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Opportunity Overview</w:t>
      </w:r>
    </w:p>
    <w:tbl>
      <w:tblPr>
        <w:tblStyle w:val="Table1"/>
        <w:tblpPr w:leftFromText="180" w:rightFromText="180" w:topFromText="180" w:bottomFromText="180" w:vertAnchor="text" w:horzAnchor="text" w:tblpX="-811.5463917525773" w:tblpY="0"/>
        <w:tblW w:w="10787.628865979383" w:type="dxa"/>
        <w:jc w:val="left"/>
        <w:tbl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color="808080" w:space="0" w:sz="2" w:val="single"/>
          <w:insideV w:color="808080" w:space="0" w:sz="2" w:val="single"/>
        </w:tblBorders>
        <w:tblLayout w:type="fixed"/>
        <w:tblLook w:val="0400"/>
      </w:tblPr>
      <w:tblGrid>
        <w:gridCol w:w="2033.8144329896907"/>
        <w:gridCol w:w="3325.3608247422676"/>
        <w:gridCol w:w="341.44329896907215"/>
        <w:gridCol w:w="1900.2061855670102"/>
        <w:gridCol w:w="3186.8041237113407"/>
        <w:tblGridChange w:id="0">
          <w:tblGrid>
            <w:gridCol w:w="2033.8144329896907"/>
            <w:gridCol w:w="3325.3608247422676"/>
            <w:gridCol w:w="341.44329896907215"/>
            <w:gridCol w:w="1900.2061855670102"/>
            <w:gridCol w:w="3186.804123711340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-179.99999999999997" w:firstLine="0"/>
              <w:jc w:val="righ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Opportunity Name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Fastly CDN and Security Services Expansion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Sales Stage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POC/Evaluation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AE Name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 Taylor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Forecast Category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Upside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Opportunity Description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Expand Fastly’s presence at CWT beyond current EdgeWAF implementation to include CDN services, focusing on migrating from (or partially replacing) Akamai and CloudFront. The near-term focus now includes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two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pilots: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WordPress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(Greenfield website migration)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application (newly added to the CDN POC)</w:t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 time, the intent is to consolidate more CDN workloads across CWT. The environment remains fluid, with multiple internal teams (Security, DevOps, Network) defining roles, certificate management, and DNS strategies.</w:t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Known Gaps &amp; Challenges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Multiple CDN solutions in use (Akamai, CloudFront), partial vs. full replacement not yet confirmed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Akamai renewal in April; potential timeline risk if CWT opts for short-term extension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SHI relationship still evolving (procurement path unclear)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DOJ lawsuit (GBT acquiring CWT) adds budget uncertainty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“Analytics” pilot domain(s) require final DNS origin mapping and clarity on who manages certificates long term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Internal alignment on roles/responsibilities for Fastly CDN and WAF updates (agent-based vs. Edge)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Initiatives &amp; Outcomes</w:t>
      </w:r>
    </w:p>
    <w:tbl>
      <w:tblPr>
        <w:tblStyle w:val="Table2"/>
        <w:tblW w:w="10800.0" w:type="dxa"/>
        <w:jc w:val="left"/>
        <w:tblInd w:w="-83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363"/>
        <w:gridCol w:w="5037"/>
        <w:gridCol w:w="296"/>
        <w:gridCol w:w="5104"/>
        <w:tblGridChange w:id="0">
          <w:tblGrid>
            <w:gridCol w:w="363"/>
            <w:gridCol w:w="5037"/>
            <w:gridCol w:w="296"/>
            <w:gridCol w:w="510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Top Initiatives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4984d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Positive Business Outcomes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Kubernetes/containers modernization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  <w:color w:val="4984d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Better protection for web properties with integrated WAF, reduced maintenance of agent deployments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Reduced operational complexity, better caching performance, and improved cost efficiency (especially AWS egress costs)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Improved automation and deployment capabilities with Fastly integrated into the CI/CD workflow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Consolidation of CDN services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Enhanced security posture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Identified Pain (MEDDPP</w:t>
      </w:r>
      <w:r w:rsidDel="00000000" w:rsidR="00000000" w:rsidRPr="00000000">
        <w:rPr>
          <w:b w:val="1"/>
          <w:color w:val="eb1a0c"/>
          <w:u w:val="single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CC)</w:t>
      </w:r>
    </w:p>
    <w:tbl>
      <w:tblPr>
        <w:tblStyle w:val="Table3"/>
        <w:tblW w:w="10800.0" w:type="dxa"/>
        <w:jc w:val="left"/>
        <w:tblInd w:w="-83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533"/>
        <w:gridCol w:w="3867"/>
        <w:gridCol w:w="296"/>
        <w:gridCol w:w="1507"/>
        <w:gridCol w:w="3597"/>
        <w:tblGridChange w:id="0">
          <w:tblGrid>
            <w:gridCol w:w="1533"/>
            <w:gridCol w:w="3867"/>
            <w:gridCol w:w="296"/>
            <w:gridCol w:w="1507"/>
            <w:gridCol w:w="359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Business Pains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4984d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Technical Pains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 Pains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Multiple CDN providers creating overhead</w:t>
            </w:r>
          </w:p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Poor developer experience with current CDN setup</w:t>
            </w:r>
          </w:p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Lack of consistent caching strategy</w:t>
            </w:r>
          </w:p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No personal touch with AWS/CloudFront service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Technical Pains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Maintenance of agents for WAF implementation</w:t>
            </w:r>
          </w:p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Limitations with current Akamai setup (slow purge times)</w:t>
            </w:r>
          </w:p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Challenges with AWS network configuration</w:t>
            </w:r>
          </w:p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CloudFront limitations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Size of Pain ($)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 - Infrastructure costs and operational inefficiency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Size of Pain ($)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- Significant engineering time spent maintaining current solution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Who’s Impacted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DevOps team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Security team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End users experiencing performance issues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Who’s Impacted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Ben's AME DevOps team</w:t>
            </w:r>
          </w:p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Security team (Sebastian's group)</w:t>
            </w:r>
          </w:p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Website development team</w:t>
            </w:r>
          </w:p>
        </w:tc>
      </w:tr>
    </w:tbl>
    <w:p w:rsidR="00000000" w:rsidDel="00000000" w:rsidP="00000000" w:rsidRDefault="00000000" w:rsidRPr="00000000" w14:paraId="00000053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Making Roles (M</w:t>
      </w:r>
      <w:r w:rsidDel="00000000" w:rsidR="00000000" w:rsidRPr="00000000">
        <w:rPr>
          <w:b w:val="1"/>
          <w:color w:val="eb1a0c"/>
          <w:u w:val="single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DDPPI</w:t>
      </w:r>
      <w:r w:rsidDel="00000000" w:rsidR="00000000" w:rsidRPr="00000000">
        <w:rPr>
          <w:b w:val="1"/>
          <w:color w:val="eb1a0c"/>
          <w:u w:val="single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C)</w:t>
      </w:r>
    </w:p>
    <w:tbl>
      <w:tblPr>
        <w:tblStyle w:val="Table4"/>
        <w:tblW w:w="10800.0" w:type="dxa"/>
        <w:jc w:val="left"/>
        <w:tblInd w:w="-84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530"/>
        <w:gridCol w:w="5670"/>
        <w:gridCol w:w="3600"/>
        <w:tblGridChange w:id="0">
          <w:tblGrid>
            <w:gridCol w:w="1530"/>
            <w:gridCol w:w="5670"/>
            <w:gridCol w:w="36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Name &amp; Title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How do you know?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Economic Buyer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Unknown - May require engagement with CWT leadership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identify through future discussions with Ben/Sebastian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Technical Buyer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 Pteck and Matt McGraw, Principal DevOps 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technical contact, manages AME team, heavily involved in CDN decisions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Champion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 Principal DevOps 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Actively working with Fastly team, promoted engagement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Coach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Sebastian, Senior Director of Cybersecurity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Existing relationship with Fastly security team, can help navigate organizational structure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Influencers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Matthew, Cal, Bharan - DevOps engineers</w:t>
            </w:r>
          </w:p>
          <w:p w:rsidR="00000000" w:rsidDel="00000000" w:rsidP="00000000" w:rsidRDefault="00000000" w:rsidRPr="00000000" w14:paraId="00000065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Paul and Nectar - Security team in Philippines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Another security team in Canada (did training for their team separate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Attending meetings, working on technical implementation</w:t>
            </w:r>
          </w:p>
          <w:p w:rsidR="00000000" w:rsidDel="00000000" w:rsidP="00000000" w:rsidRDefault="00000000" w:rsidRPr="00000000" w14:paraId="00000068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-Attending meetings, working on technical implementation</w:t>
            </w:r>
          </w:p>
        </w:tc>
      </w:tr>
    </w:tbl>
    <w:p w:rsidR="00000000" w:rsidDel="00000000" w:rsidP="00000000" w:rsidRDefault="00000000" w:rsidRPr="00000000" w14:paraId="0000006A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(MEDDP</w:t>
      </w:r>
      <w:r w:rsidDel="00000000" w:rsidR="00000000" w:rsidRPr="00000000">
        <w:rPr>
          <w:b w:val="1"/>
          <w:color w:val="eb1a0c"/>
          <w:u w:val="single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ICC)</w:t>
      </w:r>
    </w:p>
    <w:tbl>
      <w:tblPr>
        <w:tblStyle w:val="Table5"/>
        <w:tblW w:w="10807.422680412368" w:type="dxa"/>
        <w:jc w:val="left"/>
        <w:tblInd w:w="-83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3726.185567010309"/>
        <w:gridCol w:w="3830.1030927835045"/>
        <w:gridCol w:w="3251.1340206185564"/>
        <w:tblGridChange w:id="0">
          <w:tblGrid>
            <w:gridCol w:w="3726.185567010309"/>
            <w:gridCol w:w="3830.1030927835045"/>
            <w:gridCol w:w="3251.1340206185564"/>
          </w:tblGrid>
        </w:tblGridChange>
      </w:tblGrid>
      <w:tr>
        <w:trPr>
          <w:cantSplit w:val="0"/>
          <w:trHeight w:val="409.76240335051546" w:hRule="atLeast"/>
          <w:tblHeader w:val="0"/>
        </w:trPr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Partner Name and Title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Contact Name, Title, and Email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Position to Help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1"/>
                <w:szCs w:val="21"/>
                <w:highlight w:val="white"/>
                <w:rtl w:val="0"/>
              </w:rPr>
              <w:t xml:space="preserve">SHI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1"/>
                <w:szCs w:val="21"/>
                <w:highlight w:val="white"/>
                <w:rtl w:val="0"/>
              </w:rPr>
              <w:t xml:space="preserve">Mira_Elmore@shi.com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SHI – Mira Elmore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Purchasing route, quotes/contract alignment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Relationship needs strengthening for final T&amp;Cs</w:t>
            </w:r>
          </w:p>
        </w:tc>
      </w:tr>
    </w:tbl>
    <w:p w:rsidR="00000000" w:rsidDel="00000000" w:rsidP="00000000" w:rsidRDefault="00000000" w:rsidRPr="00000000" w14:paraId="00000073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Criteria (ME</w:t>
      </w:r>
      <w:r w:rsidDel="00000000" w:rsidR="00000000" w:rsidRPr="00000000">
        <w:rPr>
          <w:b w:val="1"/>
          <w:color w:val="eb1a0c"/>
          <w:u w:val="single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DPPICC)</w:t>
      </w:r>
    </w:p>
    <w:tbl>
      <w:tblPr>
        <w:tblStyle w:val="Table6"/>
        <w:tblW w:w="10800.0" w:type="dxa"/>
        <w:jc w:val="left"/>
        <w:tblInd w:w="-83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7203"/>
        <w:gridCol w:w="360"/>
        <w:gridCol w:w="3237"/>
        <w:tblGridChange w:id="0">
          <w:tblGrid>
            <w:gridCol w:w="7203"/>
            <w:gridCol w:w="360"/>
            <w:gridCol w:w="323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Required Capabilities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b1a0c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Metrics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Integrated CDN and WAF solution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Successful integration with both components working together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Automation/Terraform integration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Ability to manage CDN via infrastructure as code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Instant cache purging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&lt;150ms purge time vs. Akamai's 15-20 minutes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Origin shield/request collapsing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Measurable reduction in origin traffic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Developer-friendly configuration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000000" w:space="0" w:sz="0" w:val="nil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VCL-based configuration with programmatic control</w:t>
            </w:r>
          </w:p>
        </w:tc>
      </w:tr>
    </w:tbl>
    <w:p w:rsidR="00000000" w:rsidDel="00000000" w:rsidP="00000000" w:rsidRDefault="00000000" w:rsidRPr="00000000" w14:paraId="00000086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Overview (HWDI &amp; Better)</w:t>
      </w:r>
    </w:p>
    <w:tbl>
      <w:tblPr>
        <w:tblStyle w:val="Table7"/>
        <w:tblW w:w="10916.0" w:type="dxa"/>
        <w:jc w:val="left"/>
        <w:tblInd w:w="-83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0916"/>
        <w:tblGridChange w:id="0">
          <w:tblGrid>
            <w:gridCol w:w="1091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 of the Proposed Solution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 (MEDDPPIC</w:t>
      </w:r>
      <w:r w:rsidDel="00000000" w:rsidR="00000000" w:rsidRPr="00000000">
        <w:rPr>
          <w:b w:val="1"/>
          <w:color w:val="eb1a0c"/>
          <w:u w:val="single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)</w:t>
      </w:r>
    </w:p>
    <w:tbl>
      <w:tblPr>
        <w:tblStyle w:val="Table8"/>
        <w:tblW w:w="10890.0" w:type="dxa"/>
        <w:jc w:val="left"/>
        <w:tblInd w:w="-83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363"/>
        <w:gridCol w:w="2700"/>
        <w:gridCol w:w="1800"/>
        <w:gridCol w:w="6027"/>
        <w:tblGridChange w:id="0">
          <w:tblGrid>
            <w:gridCol w:w="363"/>
            <w:gridCol w:w="2700"/>
            <w:gridCol w:w="1800"/>
            <w:gridCol w:w="602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shd w:fill="eb1a0c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Competitor</w:t>
            </w:r>
          </w:p>
        </w:tc>
        <w:tc>
          <w:tcPr>
            <w:gridSpan w:val="2"/>
            <w:shd w:fill="eb1a0c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Competitor Strengths | Competitor Weaknesses | Our Differentiation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Akamai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Strengths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Strengths&lt;br&gt;• Incumbent for some properties&lt;br&gt;• Large network of POPs&lt;br&gt;• Established relationship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Weaknesses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Slow propagation times (15-20 min)&lt;br&gt;• Complex configuration&lt;br&gt;• Fading customer service relationship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Our Differentiators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Instant purging (150ms)&lt;br&gt;• Better programmability with VCL• Integrated WAF already in use&lt;br&gt;• Strong customer service relationship</w:t>
            </w:r>
          </w:p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AWS CloudFront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Strengths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Strengths&lt;br&gt;• Already in use for some properties&lt;br&gt;• Tight AWS integration&lt;br&gt;• Familiar to team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Weaknesses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Limited programmability&lt;br&gt;• No personalized support&lt;br&gt;• Network/configuration challenges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Our Differentiators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Superior caching control&lt;br&gt;• Personalized service&lt;br&gt;• Integrated security&lt;br&gt;• Better performance metrics</w:t>
            </w:r>
          </w:p>
        </w:tc>
      </w:tr>
    </w:tbl>
    <w:p w:rsidR="00000000" w:rsidDel="00000000" w:rsidP="00000000" w:rsidRDefault="00000000" w:rsidRPr="00000000" w14:paraId="000000AD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Proof Points (</w:t>
      </w:r>
      <w:r w:rsidDel="00000000" w:rsidR="00000000" w:rsidRPr="00000000">
        <w:rPr>
          <w:b w:val="1"/>
          <w:color w:val="eb1a0c"/>
          <w:u w:val="single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EDDPPICC)</w:t>
      </w:r>
    </w:p>
    <w:tbl>
      <w:tblPr>
        <w:tblStyle w:val="Table9"/>
        <w:tblW w:w="10916.0" w:type="dxa"/>
        <w:jc w:val="left"/>
        <w:tblInd w:w="-83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363"/>
        <w:gridCol w:w="4050"/>
        <w:gridCol w:w="6503"/>
        <w:tblGridChange w:id="0">
          <w:tblGrid>
            <w:gridCol w:w="363"/>
            <w:gridCol w:w="4050"/>
            <w:gridCol w:w="650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shd w:fill="eb1a0c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Customer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Solution Implemented &amp; Business Outcomes Achieved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CWT Security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Successfully implemented Fastly EdgeWAF with 21 of 24 sites in blocking mode. Team is satisfied with performance and ease of management.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Forrester TEI Study Customers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1089% ROI with Fastly edge cloud platform&lt;br&gt;• $2.6M in profit increase&lt;br&gt;• 50% improvement in operational efficiency&lt;br&gt;• 90%+ cache hit ratios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Weather Industry Example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Successful implementation of aggressive caching with instant purge for rapidly changing data during high-demand periods</w:t>
            </w:r>
          </w:p>
        </w:tc>
      </w:tr>
    </w:tbl>
    <w:p w:rsidR="00000000" w:rsidDel="00000000" w:rsidP="00000000" w:rsidRDefault="00000000" w:rsidRPr="00000000" w14:paraId="000000BA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Process (MED</w:t>
      </w:r>
      <w:r w:rsidDel="00000000" w:rsidR="00000000" w:rsidRPr="00000000">
        <w:rPr>
          <w:b w:val="1"/>
          <w:color w:val="eb1a0c"/>
          <w:u w:val="single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PPICC)</w:t>
      </w:r>
    </w:p>
    <w:tbl>
      <w:tblPr>
        <w:tblStyle w:val="Table10"/>
        <w:tblW w:w="10893.0" w:type="dxa"/>
        <w:jc w:val="left"/>
        <w:tblInd w:w="-83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363"/>
        <w:gridCol w:w="5310"/>
        <w:gridCol w:w="2610"/>
        <w:gridCol w:w="2610"/>
        <w:tblGridChange w:id="0">
          <w:tblGrid>
            <w:gridCol w:w="363"/>
            <w:gridCol w:w="5310"/>
            <w:gridCol w:w="2610"/>
            <w:gridCol w:w="26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shd w:fill="eb1a0c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Step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Evaluate POC scope (WordPress + “Analytics” + partial Akamai replacement) – In progress (Feb–Mar)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 partial vs. full Akamai renewal – Matt &amp; Sebastian, target late March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Finalize decisions &amp; approvals – CWT Leadership, early Q2 (April)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 Process (MEDD</w:t>
      </w:r>
      <w:r w:rsidDel="00000000" w:rsidR="00000000" w:rsidRPr="00000000">
        <w:rPr>
          <w:b w:val="1"/>
          <w:color w:val="eb1a0c"/>
          <w:u w:val="single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PICC)</w:t>
      </w:r>
    </w:p>
    <w:tbl>
      <w:tblPr>
        <w:tblStyle w:val="Table11"/>
        <w:tblW w:w="10893.0" w:type="dxa"/>
        <w:jc w:val="left"/>
        <w:tblInd w:w="-83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363"/>
        <w:gridCol w:w="5310"/>
        <w:gridCol w:w="2610"/>
        <w:gridCol w:w="2610"/>
        <w:tblGridChange w:id="0">
          <w:tblGrid>
            <w:gridCol w:w="363"/>
            <w:gridCol w:w="5310"/>
            <w:gridCol w:w="2610"/>
            <w:gridCol w:w="26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shd w:fill="eb1a0c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Step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Draft SOW/Quote with correct term length (12 vs. 8 mo) – March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Partner procurement via SHI – March–Early April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Sign-off &amp; PO – Early Q2 (April)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after="60" w:before="160" w:line="240" w:lineRule="auto"/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Next Steps</w:t>
      </w:r>
    </w:p>
    <w:tbl>
      <w:tblPr>
        <w:tblStyle w:val="Table12"/>
        <w:tblW w:w="10916.000000000002" w:type="dxa"/>
        <w:jc w:val="left"/>
        <w:tblInd w:w="-83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356"/>
        <w:gridCol w:w="5317"/>
        <w:gridCol w:w="2610"/>
        <w:gridCol w:w="2633"/>
        <w:tblGridChange w:id="0">
          <w:tblGrid>
            <w:gridCol w:w="356"/>
            <w:gridCol w:w="5317"/>
            <w:gridCol w:w="2610"/>
            <w:gridCol w:w="263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shd w:fill="eb1a0c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Action Item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shd w:fill="eb1a0c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Strengthen SHI 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(Chris, Mickey)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Ongoing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Influence Partial Akamai Shift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(Chris, Vicken) – Ongoing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Confirm WordPress Pilot Scope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(Ben, Fastly SE) – By mid-March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Finalize Quote &amp; Contract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(Chris, Catherine) – Late March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DNS/Origin for Analytics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– CWT network team must define a public DNS name (obfuscated recommended) for the new origin IP, replace current direct IP in Fastly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Certificate Strategy – Decide whether to continue uploading Digicert or switch to Fastly-managed cert for automation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Analytics WAF/Automation – Next steps with Paul/Nectar to incorporate Edge WAF config if needed, and dictionary-based traffic splitting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431.99999999999994" w:top="431.99999999999994" w:left="1440" w:right="1440" w:header="57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Confidential | ©</w:t>
    </w:r>
    <w:r w:rsidDel="00000000" w:rsidR="00000000" w:rsidRPr="00000000">
      <w:rPr>
        <w:color w:val="595959"/>
        <w:sz w:val="16"/>
        <w:szCs w:val="16"/>
        <w:rtl w:val="0"/>
      </w:rPr>
      <w:t xml:space="preserve">2024 Fastly, Inc.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sz w:val="18"/>
        <w:szCs w:val="18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298123</wp:posOffset>
          </wp:positionH>
          <wp:positionV relativeFrom="page">
            <wp:posOffset>435603</wp:posOffset>
          </wp:positionV>
          <wp:extent cx="1190625" cy="41132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625" cy="4113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13"/>
      <w:tblW w:w="4452.0" w:type="dxa"/>
      <w:jc w:val="left"/>
      <w:tblInd w:w="585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050"/>
      <w:gridCol w:w="402"/>
      <w:tblGridChange w:id="0">
        <w:tblGrid>
          <w:gridCol w:w="4050"/>
          <w:gridCol w:w="402"/>
        </w:tblGrid>
      </w:tblGridChange>
    </w:tblGrid>
    <w:tr>
      <w:trPr>
        <w:cantSplit w:val="0"/>
        <w:tblHeader w:val="0"/>
      </w:trPr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F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Fastly Value Selling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1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1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288" w:right="0" w:firstLine="0"/>
            <w:jc w:val="righ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Deal Review Template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Merge w:val="continue"/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10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6MFWALO1vl8dWTXpXydfv9QGxw==">CgMxLjA4AHIhMXdfeUNObG5xdnRmM0RUSlUwNFV1QjRHLTJwU1BFbzQ3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