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dev-client.js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