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0C23FD85" w14:textId="5155001E" w:rsidR="007437B9" w:rsidRPr="00D87226" w:rsidRDefault="00E92A3E" w:rsidP="00742D7C">
      <w:pPr>
        <w:rPr>
          <w:rFonts w:ascii="Adobe Garamond Pro" w:hAnsi="Adobe Garamond Pro"/>
          <w:lang w:val="en-US"/>
        </w:rPr>
      </w:pPr>
      <w:r w:rsidRPr="00D87226">
        <w:rPr>
          <w:rFonts w:ascii="Adobe Garamond Pro" w:hAnsi="Adobe Garamond Pro"/>
          <w:lang w:val="en-US"/>
        </w:rPr>
        <w:t>30 de abril de 2019</w:t>
      </w:r>
    </w:p>
    <w:p w14:paraId="44F268D9" w14:textId="6F6D1DB4" w:rsidR="00216693" w:rsidRPr="00D87226" w:rsidRDefault="00216693" w:rsidP="00742D7C">
      <w:pPr>
        <w:rPr>
          <w:rFonts w:ascii="Adobe Garamond Pro" w:hAnsi="Adobe Garamond Pro"/>
          <w:lang w:val="en-US"/>
        </w:rPr>
      </w:pPr>
    </w:p>
    <w:p w14:paraId="48198178" w14:textId="682E92B6" w:rsidR="00B3643B" w:rsidRPr="00D87226" w:rsidRDefault="00B3643B" w:rsidP="00B3643B">
      <w:pPr>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B3643B">
      <w:pPr>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3B95B192" w14:textId="5938E876" w:rsidR="00EB662E" w:rsidRPr="00D87226" w:rsidRDefault="00EB662E" w:rsidP="00B3643B">
      <w:pPr>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63A6CA32" w14:textId="77777777" w:rsidR="006B22C7" w:rsidRPr="00D87226" w:rsidRDefault="006B22C7" w:rsidP="002F3C5C">
      <w:pPr>
        <w:jc w:val="center"/>
        <w:rPr>
          <w:rFonts w:ascii="Adobe Garamond Pro" w:hAnsi="Adobe Garamond Pro"/>
          <w:b/>
          <w:lang w:val="en-US"/>
        </w:rPr>
      </w:pPr>
    </w:p>
    <w:p w14:paraId="4F3062E2" w14:textId="0CC7E11B" w:rsidR="004D5BB3" w:rsidRPr="00D87226" w:rsidRDefault="004D5BB3" w:rsidP="003A3AC6">
      <w:pPr>
        <w:rPr>
          <w:rFonts w:ascii="Adobe Garamond Pro" w:hAnsi="Adobe Garamond Pro"/>
          <w:highlight w:val="yellow"/>
          <w:lang w:val="en-US"/>
        </w:rPr>
      </w:pPr>
      <w:r w:rsidRPr="00D87226">
        <w:rPr>
          <w:rFonts w:ascii="Adobe Garamond Pro" w:hAnsi="Adobe Garamond Pro"/>
          <w:b/>
          <w:highlight w:val="yellow"/>
          <w:lang w:val="en-US"/>
        </w:rPr>
        <w:t xml:space="preserve">Translator’s </w:t>
      </w:r>
      <w:r w:rsidR="00390D8D" w:rsidRPr="00D87226">
        <w:rPr>
          <w:rFonts w:ascii="Adobe Garamond Pro" w:hAnsi="Adobe Garamond Pro"/>
          <w:b/>
          <w:highlight w:val="yellow"/>
          <w:lang w:val="en-US"/>
        </w:rPr>
        <w:t>Introduction</w:t>
      </w:r>
    </w:p>
    <w:p w14:paraId="3220C6AB" w14:textId="05671B6A" w:rsidR="004D5BB3" w:rsidRPr="00D87226" w:rsidRDefault="004D5BB3" w:rsidP="00742D7C">
      <w:pPr>
        <w:rPr>
          <w:rFonts w:ascii="Adobe Garamond Pro" w:hAnsi="Adobe Garamond Pro"/>
          <w:highlight w:val="yellow"/>
          <w:lang w:val="en-US"/>
        </w:rPr>
      </w:pPr>
    </w:p>
    <w:p w14:paraId="7A401246" w14:textId="77777777" w:rsidR="00133DF1" w:rsidRPr="00D87226" w:rsidRDefault="00133DF1" w:rsidP="00133DF1">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Historical background</w:t>
      </w:r>
    </w:p>
    <w:p w14:paraId="0709F91A" w14:textId="77777777"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What’s scholia</w:t>
      </w:r>
    </w:p>
    <w:p w14:paraId="24A5FCB1" w14:textId="77777777"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What’s popol wuj</w:t>
      </w:r>
    </w:p>
    <w:p w14:paraId="50D19950" w14:textId="63EDB419" w:rsidR="00133DF1" w:rsidRPr="00D87226" w:rsidRDefault="007160F0" w:rsidP="00122B05">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Justify</w:t>
      </w:r>
      <w:r w:rsidR="00133DF1" w:rsidRPr="00D87226">
        <w:rPr>
          <w:rFonts w:ascii="Adobe Garamond Pro" w:hAnsi="Adobe Garamond Pro"/>
          <w:highlight w:val="yellow"/>
          <w:lang w:val="en-US"/>
        </w:rPr>
        <w:t xml:space="preserve"> </w:t>
      </w:r>
      <w:r w:rsidRPr="00D87226">
        <w:rPr>
          <w:rFonts w:ascii="Adobe Garamond Pro" w:hAnsi="Adobe Garamond Pro"/>
          <w:highlight w:val="yellow"/>
          <w:lang w:val="en-US"/>
        </w:rPr>
        <w:t>choice of text</w:t>
      </w:r>
    </w:p>
    <w:p w14:paraId="269FDEA1" w14:textId="77CA5D6A"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Popol Wuj not in isolation</w:t>
      </w:r>
    </w:p>
    <w:p w14:paraId="296EADBC" w14:textId="312317D2" w:rsidR="00133DF1" w:rsidRPr="00D87226" w:rsidRDefault="00133DF1"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cite Quiroa</w:t>
      </w:r>
    </w:p>
    <w:p w14:paraId="2A55ACFB" w14:textId="1BA14595" w:rsidR="007160F0" w:rsidRPr="00D87226" w:rsidRDefault="007160F0" w:rsidP="00133DF1">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improve English-language scholarship</w:t>
      </w:r>
    </w:p>
    <w:p w14:paraId="1C6CC490" w14:textId="775D494A" w:rsidR="0020768D" w:rsidRPr="00D87226" w:rsidRDefault="0020768D" w:rsidP="00122B05">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Explain process</w:t>
      </w:r>
      <w:r w:rsidR="00DC797A" w:rsidRPr="00D87226">
        <w:rPr>
          <w:rFonts w:ascii="Adobe Garamond Pro" w:hAnsi="Adobe Garamond Pro"/>
          <w:highlight w:val="yellow"/>
          <w:lang w:val="en-US"/>
        </w:rPr>
        <w:t xml:space="preserve"> (diplomatic &gt; standardized &gt; translation)</w:t>
      </w:r>
    </w:p>
    <w:p w14:paraId="39CBD3A0" w14:textId="77777777" w:rsidR="0020768D" w:rsidRPr="00D87226" w:rsidRDefault="0020768D" w:rsidP="0020768D">
      <w:pPr>
        <w:pStyle w:val="PargrafodaLista"/>
        <w:numPr>
          <w:ilvl w:val="1"/>
          <w:numId w:val="1"/>
        </w:numPr>
        <w:rPr>
          <w:rFonts w:ascii="Adobe Garamond Pro" w:hAnsi="Adobe Garamond Pro"/>
          <w:bCs/>
          <w:highlight w:val="yellow"/>
        </w:rPr>
      </w:pPr>
      <w:r w:rsidRPr="00D87226">
        <w:rPr>
          <w:rFonts w:ascii="Adobe Garamond Pro" w:hAnsi="Adobe Garamond Pro"/>
          <w:highlight w:val="yellow"/>
          <w:lang w:val="en-US"/>
        </w:rPr>
        <w:t xml:space="preserve">The transcription below has been standardized to reflect contemporary Spanish orthography and accent patterns. The diplomatic transcription of the manuscript can be found at </w:t>
      </w:r>
      <w:hyperlink r:id="rId8" w:history="1">
        <w:r w:rsidRPr="00D87226">
          <w:rPr>
            <w:rStyle w:val="Hyperlink"/>
            <w:rFonts w:ascii="Adobe Garamond Pro" w:hAnsi="Adobe Garamond Pro"/>
            <w:bCs/>
            <w:highlight w:val="yellow"/>
          </w:rPr>
          <w:t>https://tinyurl.com/github-escolios</w:t>
        </w:r>
      </w:hyperlink>
      <w:r w:rsidRPr="00D87226">
        <w:rPr>
          <w:rFonts w:ascii="Adobe Garamond Pro" w:hAnsi="Adobe Garamond Pro"/>
          <w:bCs/>
          <w:highlight w:val="yellow"/>
        </w:rPr>
        <w:t>.</w:t>
      </w:r>
    </w:p>
    <w:p w14:paraId="292D8BBD" w14:textId="1915768A" w:rsidR="0020768D" w:rsidRPr="00D87226" w:rsidRDefault="00DC797A" w:rsidP="0020768D">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Consulted Ximénez original + Scherzer, make sure he’s cited</w:t>
      </w:r>
    </w:p>
    <w:p w14:paraId="5A085714" w14:textId="43512E5F" w:rsidR="00122B05" w:rsidRPr="00D87226" w:rsidRDefault="00122B05" w:rsidP="00122B05">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Define priorities / approach</w:t>
      </w:r>
    </w:p>
    <w:p w14:paraId="4C6B5CBA" w14:textId="00F85628" w:rsidR="00122B05"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i</w:t>
      </w:r>
      <w:r w:rsidR="009C3B2F" w:rsidRPr="00D87226">
        <w:rPr>
          <w:rFonts w:ascii="Adobe Garamond Pro" w:hAnsi="Adobe Garamond Pro"/>
          <w:highlight w:val="yellow"/>
          <w:lang w:val="en-US"/>
        </w:rPr>
        <w:t>dentify important characteristics of the text</w:t>
      </w:r>
      <w:r w:rsidRPr="00D87226">
        <w:rPr>
          <w:rFonts w:ascii="Adobe Garamond Pro" w:hAnsi="Adobe Garamond Pro"/>
          <w:highlight w:val="yellow"/>
          <w:lang w:val="en-US"/>
        </w:rPr>
        <w:t xml:space="preserve"> and </w:t>
      </w:r>
      <w:r w:rsidR="009C3B2F" w:rsidRPr="00D87226">
        <w:rPr>
          <w:rFonts w:ascii="Adobe Garamond Pro" w:hAnsi="Adobe Garamond Pro"/>
          <w:highlight w:val="yellow"/>
          <w:lang w:val="en-US"/>
        </w:rPr>
        <w:t>how those informed priorities</w:t>
      </w:r>
    </w:p>
    <w:p w14:paraId="520DDDCC" w14:textId="789F8856" w:rsidR="004A1F0A" w:rsidRPr="00D87226" w:rsidRDefault="004A1F0A" w:rsidP="004A1F0A">
      <w:pPr>
        <w:pStyle w:val="PargrafodaLista"/>
        <w:numPr>
          <w:ilvl w:val="2"/>
          <w:numId w:val="1"/>
        </w:numPr>
        <w:rPr>
          <w:rFonts w:ascii="Adobe Garamond Pro" w:hAnsi="Adobe Garamond Pro"/>
          <w:highlight w:val="yellow"/>
          <w:lang w:val="en-US"/>
        </w:rPr>
      </w:pPr>
      <w:r w:rsidRPr="00D87226">
        <w:rPr>
          <w:rFonts w:ascii="Adobe Garamond Pro" w:hAnsi="Adobe Garamond Pro"/>
          <w:highlight w:val="yellow"/>
          <w:lang w:val="en-US"/>
        </w:rPr>
        <w:t>diction</w:t>
      </w:r>
      <w:r w:rsidR="00D13FB9" w:rsidRPr="00D87226">
        <w:rPr>
          <w:rFonts w:ascii="Adobe Garamond Pro" w:hAnsi="Adobe Garamond Pro"/>
          <w:highlight w:val="yellow"/>
          <w:lang w:val="en-US"/>
        </w:rPr>
        <w:t xml:space="preserve"> appropriate for time period, attempt to maintain neutral dialect (e.g. “stories of the origin” rather than “origin stories,” “boisterous” rather than “racket”)</w:t>
      </w:r>
    </w:p>
    <w:p w14:paraId="1B3E3B7D" w14:textId="795675CC" w:rsidR="00D13FB9" w:rsidRPr="00D87226" w:rsidRDefault="00D13FB9" w:rsidP="004A1F0A">
      <w:pPr>
        <w:pStyle w:val="PargrafodaLista"/>
        <w:numPr>
          <w:ilvl w:val="2"/>
          <w:numId w:val="1"/>
        </w:numPr>
        <w:rPr>
          <w:rFonts w:ascii="Adobe Garamond Pro" w:hAnsi="Adobe Garamond Pro"/>
          <w:highlight w:val="yellow"/>
          <w:lang w:val="en-US"/>
        </w:rPr>
      </w:pPr>
      <w:r w:rsidRPr="00D87226">
        <w:rPr>
          <w:rFonts w:ascii="Adobe Garamond Pro" w:hAnsi="Adobe Garamond Pro"/>
          <w:highlight w:val="yellow"/>
          <w:lang w:val="en-US"/>
        </w:rPr>
        <w:t>nonstandard syntax, occasionally unclear meaning</w:t>
      </w:r>
    </w:p>
    <w:p w14:paraId="67B5271C" w14:textId="77777777" w:rsidR="00122B05"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reference theoretical perspectives</w:t>
      </w:r>
    </w:p>
    <w:p w14:paraId="5567870F" w14:textId="379BD236" w:rsidR="009C3B2F"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p</w:t>
      </w:r>
      <w:r w:rsidR="009C3B2F" w:rsidRPr="00D87226">
        <w:rPr>
          <w:rFonts w:ascii="Adobe Garamond Pro" w:hAnsi="Adobe Garamond Pro"/>
          <w:highlight w:val="yellow"/>
          <w:lang w:val="en-US"/>
        </w:rPr>
        <w:t>rovide specific examples of how this was translated</w:t>
      </w:r>
    </w:p>
    <w:p w14:paraId="7B728647" w14:textId="59FD1840" w:rsidR="00122B05" w:rsidRPr="00D87226" w:rsidRDefault="00122B05" w:rsidP="00122B05">
      <w:pPr>
        <w:pStyle w:val="PargrafodaLista"/>
        <w:numPr>
          <w:ilvl w:val="1"/>
          <w:numId w:val="1"/>
        </w:numPr>
        <w:rPr>
          <w:rFonts w:ascii="Adobe Garamond Pro" w:hAnsi="Adobe Garamond Pro"/>
          <w:highlight w:val="yellow"/>
          <w:lang w:val="en-US"/>
        </w:rPr>
      </w:pPr>
      <w:r w:rsidRPr="00D87226">
        <w:rPr>
          <w:rFonts w:ascii="Adobe Garamond Pro" w:hAnsi="Adobe Garamond Pro"/>
          <w:highlight w:val="yellow"/>
          <w:lang w:val="en-US"/>
        </w:rPr>
        <w:t>strengths / weaknesses of approach</w:t>
      </w:r>
    </w:p>
    <w:p w14:paraId="7F9E3E77" w14:textId="258E5D23" w:rsidR="004D5BB3" w:rsidRPr="00D87226" w:rsidRDefault="00122B05" w:rsidP="00742D7C">
      <w:pPr>
        <w:pStyle w:val="PargrafodaLista"/>
        <w:numPr>
          <w:ilvl w:val="0"/>
          <w:numId w:val="1"/>
        </w:numPr>
        <w:rPr>
          <w:rFonts w:ascii="Adobe Garamond Pro" w:hAnsi="Adobe Garamond Pro"/>
          <w:highlight w:val="yellow"/>
          <w:lang w:val="en-US"/>
        </w:rPr>
      </w:pPr>
      <w:r w:rsidRPr="00D87226">
        <w:rPr>
          <w:rFonts w:ascii="Adobe Garamond Pro" w:hAnsi="Adobe Garamond Pro"/>
          <w:highlight w:val="yellow"/>
          <w:lang w:val="en-US"/>
        </w:rPr>
        <w:t>Demonstrate awareness of audience</w:t>
      </w:r>
    </w:p>
    <w:p w14:paraId="3E5ABB79" w14:textId="5E142EE8" w:rsidR="00595E5C" w:rsidRPr="00D87226" w:rsidRDefault="006644A5" w:rsidP="00D87226">
      <w:pPr>
        <w:pStyle w:val="PargrafodaLista"/>
        <w:numPr>
          <w:ilvl w:val="0"/>
          <w:numId w:val="1"/>
        </w:numPr>
        <w:rPr>
          <w:rFonts w:ascii="Adobe Garamond Pro" w:hAnsi="Adobe Garamond Pro"/>
        </w:rPr>
      </w:pPr>
      <w:r w:rsidRPr="00D87226">
        <w:rPr>
          <w:rFonts w:ascii="Adobe Garamond Pro" w:hAnsi="Adobe Garamond Pro"/>
          <w:highlight w:val="yellow"/>
          <w:lang w:val="en-US"/>
        </w:rPr>
        <w:t>Format notes: new paragraphs are indicated by indents</w:t>
      </w:r>
      <w:r w:rsidR="00CD1646" w:rsidRPr="00D87226">
        <w:rPr>
          <w:rFonts w:ascii="Adobe Garamond Pro" w:hAnsi="Adobe Garamond Pro"/>
          <w:highlight w:val="yellow"/>
          <w:lang w:val="en-US"/>
        </w:rPr>
        <w:t xml:space="preserve"> and horizontal border lines</w:t>
      </w:r>
      <w:r w:rsidRPr="00D87226">
        <w:rPr>
          <w:rFonts w:ascii="Adobe Garamond Pro" w:hAnsi="Adobe Garamond Pro"/>
          <w:highlight w:val="yellow"/>
          <w:lang w:val="en-US"/>
        </w:rPr>
        <w:t>. Sometimes line breaks have been introduced in order to keep pace between English and Spanis</w:t>
      </w:r>
      <w:r w:rsidR="00D87226" w:rsidRPr="00D87226">
        <w:rPr>
          <w:rFonts w:ascii="Adobe Garamond Pro" w:hAnsi="Adobe Garamond Pro"/>
          <w:highlight w:val="yellow"/>
          <w:lang w:val="en-US"/>
        </w:rPr>
        <w:t>h.</w:t>
      </w:r>
    </w:p>
    <w:p w14:paraId="47585E29" w14:textId="3CC403F8" w:rsidR="00D87226" w:rsidRPr="00D87226" w:rsidRDefault="00D87226" w:rsidP="00D87226">
      <w:pPr>
        <w:rPr>
          <w:rFonts w:ascii="Adobe Garamond Pro" w:hAnsi="Adobe Garamond Pro"/>
        </w:rPr>
      </w:pPr>
    </w:p>
    <w:p w14:paraId="46D928A5" w14:textId="7C548428" w:rsidR="00D87226" w:rsidRDefault="00204B6B" w:rsidP="00204B6B">
      <w:pPr>
        <w:jc w:val="center"/>
        <w:rPr>
          <w:rFonts w:ascii="Adobe Garamond Pro" w:hAnsi="Adobe Garamond Pro"/>
        </w:rPr>
      </w:pPr>
      <w:r>
        <w:rPr>
          <w:rFonts w:ascii="Adobe Garamond Pro" w:hAnsi="Adobe Garamond Pro"/>
          <w:b/>
        </w:rPr>
        <w:t>Format Note</w:t>
      </w:r>
    </w:p>
    <w:p w14:paraId="515EDD74" w14:textId="77777777" w:rsidR="00204B6B" w:rsidRPr="00204B6B" w:rsidRDefault="00204B6B" w:rsidP="00D87226">
      <w:pPr>
        <w:rPr>
          <w:rFonts w:ascii="Adobe Garamond Pro" w:hAnsi="Adobe Garamond Pro"/>
        </w:rPr>
      </w:pPr>
      <w:bookmarkStart w:id="0" w:name="_GoBack"/>
      <w:bookmarkEnd w:id="0"/>
    </w:p>
    <w:p w14:paraId="56D3D784" w14:textId="77777777" w:rsidR="00D87226" w:rsidRPr="00D87226" w:rsidRDefault="00D87226" w:rsidP="00D87226">
      <w:pPr>
        <w:rPr>
          <w:rFonts w:ascii="Adobe Garamond Pro" w:hAnsi="Adobe Garamond Pro"/>
        </w:rPr>
      </w:pPr>
    </w:p>
    <w:p w14:paraId="53CFC793" w14:textId="316D4A1C" w:rsidR="006508DA" w:rsidRPr="00D87226" w:rsidRDefault="006508DA">
      <w:pPr>
        <w:rPr>
          <w:rFonts w:ascii="Adobe Garamond Pro" w:hAnsi="Adobe Garamond Pro"/>
        </w:rPr>
      </w:pPr>
      <w:r w:rsidRPr="00D87226">
        <w:rPr>
          <w:rFonts w:ascii="Adobe Garamond Pro" w:hAnsi="Adobe Garamond Pro"/>
        </w:rPr>
        <w:br w:type="page"/>
      </w: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238CB482" w14:textId="3153F36D" w:rsidR="001E0C04"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 El Doctor Pedro Apiano, cosmógrafo del Emperador Carlos Quinto, demarcando la isla</w:t>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ellos unos a otros en sus fiestas, y desde un pueblo a otro en sus festividades, se le ha de corresponder con lo mismo número y especie que él dió al otro cuando fue su </w:t>
            </w:r>
            <w:r w:rsidRPr="00D87226">
              <w:rPr>
                <w:rFonts w:ascii="Adobe Garamond Pro" w:hAnsi="Adobe Garamond Pro"/>
                <w:lang w:val="en-US"/>
              </w:rPr>
              <w:lastRenderedPageBreak/>
              <w:t>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 xml:space="preserve">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 él que es cacique o principal como el mazegual. </w:t>
            </w:r>
            <w:r w:rsidR="00CC143A" w:rsidRPr="00D87226">
              <w:rPr>
                <w:rFonts w:ascii="Adobe Garamond Pro" w:hAnsi="Adobe Garamond Pro"/>
                <w:lang w:val="en-US"/>
              </w:rPr>
              <w:br/>
            </w:r>
            <w:r w:rsidR="00CC143A" w:rsidRPr="00D87226">
              <w:rPr>
                <w:rFonts w:ascii="Adobe Garamond Pro" w:hAnsi="Adobe Garamond Pro"/>
                <w:lang w:val="en-US"/>
              </w:rPr>
              <w:br/>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 xml:space="preserve">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 todos los que tiran a su destrucción y acabamiento valiéndose de su miseria para tener atrevimiento a lo que no se atrevieran </w:t>
            </w:r>
            <w:r w:rsidR="00CC143A" w:rsidRPr="00D87226">
              <w:rPr>
                <w:rFonts w:ascii="Adobe Garamond Pro" w:hAnsi="Adobe Garamond Pro"/>
                <w:lang w:val="en-US"/>
              </w:rPr>
              <w:br/>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4BDA3A2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 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w:t>
            </w:r>
            <w:r w:rsidRPr="00D87226">
              <w:rPr>
                <w:rFonts w:ascii="Adobe Garamond Pro" w:hAnsi="Adobe Garamond Pro"/>
                <w:lang w:val="en-US"/>
              </w:rPr>
              <w:lastRenderedPageBreak/>
              <w:t xml:space="preserve">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their celebrations, and when one village invites another to its festivities, each host must correspond exactly in number and kind to what he had received as a guest. </w:t>
            </w:r>
            <w:r w:rsidR="00CC143A" w:rsidRPr="00D87226">
              <w:rPr>
                <w:rFonts w:ascii="Adobe Garamond Pro" w:hAnsi="Adobe Garamond Pro"/>
                <w:lang w:val="en-US"/>
              </w:rPr>
              <w:br/>
            </w:r>
            <w:r w:rsidR="00CC143A" w:rsidRPr="00D87226">
              <w:rPr>
                <w:rFonts w:ascii="Adobe Garamond Pro" w:hAnsi="Adobe Garamond Pro"/>
                <w:lang w:val="en-US"/>
              </w:rPr>
              <w:br/>
            </w:r>
            <w:r w:rsidRPr="00D87226">
              <w:rPr>
                <w:rFonts w:ascii="Adobe Garamond Pro" w:hAnsi="Adobe Garamond Pro"/>
                <w:lang w:val="en-US"/>
              </w:rPr>
              <w:lastRenderedPageBreak/>
              <w:t xml:space="preserve">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xml:space="preserve">. </w:t>
            </w:r>
            <w:r w:rsidRPr="00D87226">
              <w:rPr>
                <w:rFonts w:ascii="Adobe Garamond Pro" w:hAnsi="Adobe Garamond Pro"/>
                <w:lang w:val="en-US"/>
              </w:rPr>
              <w:lastRenderedPageBreak/>
              <w:t>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 by all these who throw them toward destruction and termination, taking advantage of their wretchedness to dare to do what they would not otherwise;</w:t>
            </w:r>
            <w:r w:rsidR="00CC143A" w:rsidRPr="00D87226">
              <w:rPr>
                <w:rFonts w:ascii="Adobe Garamond Pro" w:hAnsi="Adobe Garamond Pro"/>
                <w:lang w:val="en-US"/>
              </w:rPr>
              <w:br/>
            </w:r>
            <w:r w:rsidRPr="00D87226">
              <w:rPr>
                <w:rFonts w:ascii="Adobe Garamond Pro" w:hAnsi="Adobe Garamond Pro"/>
                <w:lang w:val="en-US"/>
              </w:rPr>
              <w:lastRenderedPageBreak/>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7F96F019"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que en sí envuelven, que con la cortedad de su talento no reparan en esto. Y aquí se conoce la malicia de la bestia infernal, cómo les sugirió mentiras tan adecuadas a sus </w:t>
            </w:r>
            <w:r w:rsidRPr="00D87226">
              <w:rPr>
                <w:rFonts w:ascii="Adobe Garamond Pro" w:hAnsi="Adobe Garamond Pro"/>
                <w:lang w:val="en-US"/>
              </w:rPr>
              <w:lastRenderedPageBreak/>
              <w:t>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9C085B" w:rsidRPr="00D87226">
              <w:rPr>
                <w:rFonts w:ascii="Adobe Garamond Pro" w:hAnsi="Adobe Garamond Pro"/>
                <w:lang w:val="en-US"/>
              </w:rPr>
              <w:br/>
            </w:r>
            <w:r w:rsidR="009C085B" w:rsidRPr="00D87226">
              <w:rPr>
                <w:rFonts w:ascii="Adobe Garamond Pro" w:hAnsi="Adobe Garamond Pro"/>
                <w:lang w:val="en-US"/>
              </w:rPr>
              <w:br/>
            </w:r>
            <w:r w:rsidRPr="00D87226">
              <w:rPr>
                <w:rFonts w:ascii="Adobe Garamond Pro" w:hAnsi="Adobe Garamond Pro"/>
                <w:lang w:val="en-US"/>
              </w:rPr>
              <w:lastRenderedPageBreak/>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de su honra y culto, y no permite compañía en sus adoraciónes, y así aunque nos parezca cosa de poca monta es cosa de mucho peso en el divino acatamiento.</w:t>
            </w:r>
          </w:p>
        </w:tc>
        <w:tc>
          <w:tcPr>
            <w:tcW w:w="4675" w:type="dxa"/>
          </w:tcPr>
          <w:p w14:paraId="035FF919" w14:textId="1DEACDC6"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 surrounding them, for with such a dearth of understanding they do not notice this. And here the evil of the infernal beast is made known, how he insinuated lies so tailored to their </w:t>
            </w:r>
            <w:r w:rsidRPr="00D87226">
              <w:rPr>
                <w:rFonts w:ascii="Adobe Garamond Pro" w:hAnsi="Adobe Garamond Pro"/>
                <w:lang w:val="en-US"/>
              </w:rPr>
              <w:lastRenderedPageBreak/>
              <w:t xml:space="preserve">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4"/>
            </w:r>
            <w:r w:rsidRPr="00D87226">
              <w:rPr>
                <w:rFonts w:ascii="Adobe Garamond Pro" w:hAnsi="Adobe Garamond Pro"/>
                <w:lang w:val="en-US"/>
              </w:rPr>
              <w:t>,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 xml:space="preserve">Just so do I </w:t>
            </w:r>
            <w:r w:rsidRPr="00D87226">
              <w:rPr>
                <w:rFonts w:ascii="Adobe Garamond Pro" w:hAnsi="Adobe Garamond Pro"/>
                <w:lang w:val="en-US"/>
              </w:rPr>
              <w:lastRenderedPageBreak/>
              <w:t>understand it to happen with these Indians and their errors with these weeds that the devil sowed among them in these stories</w:t>
            </w:r>
            <w:r w:rsidR="003725FA" w:rsidRPr="00D87226">
              <w:rPr>
                <w:rFonts w:ascii="Adobe Garamond Pro" w:hAnsi="Adobe Garamond Pro"/>
                <w:lang w:val="en-US"/>
              </w:rPr>
              <w:t xml:space="preserve"> of their </w:t>
            </w:r>
            <w:r w:rsidR="003725FA" w:rsidRPr="00D87226">
              <w:rPr>
                <w:rFonts w:ascii="Adobe Garamond Pro" w:hAnsi="Adobe Garamond Pro"/>
                <w:lang w:val="en-US"/>
              </w:rPr>
              <w:t>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 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48AFFCD2"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Theologia Indorum</w:t>
            </w:r>
            <w:r w:rsidRPr="00D87226">
              <w:rPr>
                <w:rFonts w:ascii="Adobe Garamond Pro" w:hAnsi="Adobe Garamond Pro"/>
                <w:lang w:val="en-US"/>
              </w:rPr>
              <w:t xml:space="preserve"> a que estos indios descienden de las diez tribus que se perdieron de los judíos, y que no volvieron a su patria, y así </w:t>
            </w:r>
            <w:r w:rsidRPr="00D87226">
              <w:rPr>
                <w:rFonts w:ascii="Adobe Garamond Pro" w:hAnsi="Adobe Garamond Pro"/>
                <w:lang w:val="en-US"/>
              </w:rPr>
              <w:lastRenderedPageBreak/>
              <w:t xml:space="preserve">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 [porfes], 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 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B06456" w:rsidRPr="00D87226">
              <w:rPr>
                <w:rFonts w:ascii="Adobe Garamond Pro" w:hAnsi="Adobe Garamond Pro"/>
                <w:lang w:val="en-US"/>
              </w:rPr>
              <w:br/>
            </w:r>
            <w:r w:rsidRPr="00D87226">
              <w:rPr>
                <w:rFonts w:ascii="Adobe Garamond Pro" w:hAnsi="Adobe Garamond Pro"/>
                <w:lang w:val="en-US"/>
              </w:rPr>
              <w:lastRenderedPageBreak/>
              <w:t>Y Xuchinque</w:t>
            </w:r>
            <w:r w:rsidRPr="00D87226">
              <w:rPr>
                <w:rFonts w:ascii="Tahoma" w:hAnsi="Tahoma" w:cs="Tahoma"/>
                <w:lang w:val="en-US"/>
              </w:rPr>
              <w:t>ꜩ</w:t>
            </w:r>
            <w:r w:rsidRPr="00D87226">
              <w:rPr>
                <w:rFonts w:ascii="Adobe Garamond Pro" w:hAnsi="Adobe Garamond Pro"/>
                <w:lang w:val="en-US"/>
              </w:rPr>
              <w:t xml:space="preserve">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 veráslos con mucho cuidado acudir a la iglesia más en días que ellos celebran, que </w:t>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hacen muy lindas memorias de su gentilidad. De estas cosas, y otras </w:t>
            </w:r>
            <w:r w:rsidRPr="00D87226">
              <w:rPr>
                <w:rFonts w:ascii="Adobe Garamond Pro" w:hAnsi="Adobe Garamond Pro"/>
                <w:lang w:val="en-US"/>
              </w:rPr>
              <w:lastRenderedPageBreak/>
              <w:t xml:space="preserve">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gloria aun no habiendo podido convertir a la fe verdadera más que a siete españoles por su sumo trabajo y desvelo en su oficio de </w:t>
            </w:r>
            <w:r w:rsidRPr="00D87226">
              <w:rPr>
                <w:rFonts w:ascii="Adobe Garamond Pro" w:hAnsi="Adobe Garamond Pro"/>
                <w:lang w:val="en-US"/>
              </w:rPr>
              <w:lastRenderedPageBreak/>
              <w:t xml:space="preserve">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 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 xml:space="preserve">aquellos que saben leer para que de ellos se difundiera a los demás por falta de libros en su idioma que tratan de la fe católica más que las dos partes de su teología del Nuestro Padre fray Domingo de Vico, y el catecismo que como no han pasado de manuscritos, es muy raro el que se halla, y tengo por experiencia que los indios que han tenido dicha de leerlos </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 como papagayos sin inteligencia alguna de lo que habían aprendido. Yo quisiera, que me dijera el que tal intentó, qué hubiera sacado,</w:t>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 de los indios, y menoscabo de su pobreza, cosa tan vedada, y justamente por su Majestad en sus Leyes de Indias.</w:t>
            </w:r>
            <w:r w:rsidR="00CF7B05" w:rsidRPr="00D87226">
              <w:rPr>
                <w:rFonts w:ascii="Adobe Garamond Pro" w:hAnsi="Adobe Garamond Pro"/>
                <w:lang w:val="en-US"/>
              </w:rPr>
              <w:br/>
            </w:r>
            <w:r w:rsidRPr="00D87226">
              <w:rPr>
                <w:rFonts w:ascii="Adobe Garamond Pro" w:hAnsi="Adobe Garamond Pro"/>
                <w:lang w:val="en-US"/>
              </w:rPr>
              <w:lastRenderedPageBreak/>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0401809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xml:space="preserve">, and who did not return to their homeland; and thus </w:t>
            </w:r>
            <w:r w:rsidRPr="00D87226">
              <w:rPr>
                <w:rFonts w:ascii="Adobe Garamond Pro" w:hAnsi="Adobe Garamond Pro"/>
                <w:lang w:val="en-US"/>
              </w:rPr>
              <w:lastRenderedPageBreak/>
              <w:t>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 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w:t>
            </w:r>
            <w:r w:rsidRPr="00D87226">
              <w:rPr>
                <w:rFonts w:ascii="Adobe Garamond Pro" w:hAnsi="Adobe Garamond Pro"/>
                <w:lang w:val="en-US"/>
              </w:rPr>
              <w:lastRenderedPageBreak/>
              <w:t>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 you will see them diligently</w:t>
            </w:r>
            <w:r w:rsidRPr="00D87226">
              <w:rPr>
                <w:rFonts w:ascii="Adobe Garamond Pro" w:hAnsi="Adobe Garamond Pro"/>
              </w:rPr>
              <w:t xml:space="preserve"> </w:t>
            </w:r>
            <w:r w:rsidRPr="00D87226">
              <w:rPr>
                <w:rFonts w:ascii="Adobe Garamond Pro" w:hAnsi="Adobe Garamond Pro"/>
                <w:lang w:val="en-US"/>
              </w:rPr>
              <w:t xml:space="preserve">attending church more on the days that they celebrate than </w:t>
            </w:r>
            <w:r w:rsidRPr="00D87226">
              <w:rPr>
                <w:rFonts w:ascii="Adobe Garamond Pro" w:hAnsi="Adobe Garamond Pro"/>
                <w:lang w:val="en-US"/>
              </w:rPr>
              <w:lastRenderedPageBreak/>
              <w:t>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earlier Fathers gave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Father can hear them and then in secret they make sweet memories of their paganism. Based on these things, and many others that have </w:t>
            </w:r>
            <w:r w:rsidRPr="00D87226">
              <w:rPr>
                <w:rFonts w:ascii="Adobe Garamond Pro" w:hAnsi="Adobe Garamond Pro"/>
                <w:lang w:val="en-US"/>
              </w:rPr>
              <w:lastRenderedPageBreak/>
              <w:t>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 Even to him who does not reap any fruit from his work I guarantee many crowns of glory, such as are enjoyed by the Apostle James, on whose vigil I write this, many crowns of glory even without having been able to convert to the true faith more than seven Spaniards through his great and tireless work in his</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6"/>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7"/>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B06456" w:rsidRPr="00D87226">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8"/>
            </w:r>
            <w:r w:rsidRPr="00D87226">
              <w:rPr>
                <w:rFonts w:ascii="Adobe Garamond Pro" w:hAnsi="Adobe Garamond Pro"/>
                <w:lang w:val="en-US"/>
              </w:rPr>
              <w:t xml:space="preserve"> Fray Bartolomé de las </w:t>
            </w:r>
            <w:r w:rsidRPr="00D87226">
              <w:rPr>
                <w:rFonts w:ascii="Adobe Garamond Pro" w:hAnsi="Adobe Garamond Pro"/>
                <w:lang w:val="en-US"/>
              </w:rPr>
              <w:lastRenderedPageBreak/>
              <w:t>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9"/>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 which are very rarely found since they remain only in manuscript form, and I know from experience that the Indians who have had the good fortune to read them</w:t>
            </w:r>
            <w:r w:rsidR="00B06456" w:rsidRPr="00D87226">
              <w:rPr>
                <w:rFonts w:ascii="Adobe Garamond Pro" w:hAnsi="Adobe Garamond Pro"/>
                <w:lang w:val="en-US"/>
              </w:rPr>
              <w:br/>
            </w:r>
            <w:r w:rsidRPr="00D87226">
              <w:rPr>
                <w:rFonts w:ascii="Adobe Garamond Pro" w:hAnsi="Adobe Garamond Pro"/>
                <w:lang w:val="en-US"/>
              </w:rPr>
              <w:lastRenderedPageBreak/>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work, he managed to get them to know Christian doctrine like parrots without any understanding of what they had learned. I would like him who tried this to tell me what he would have gotten out of it</w:t>
            </w:r>
            <w:r w:rsidR="00B06456" w:rsidRPr="00D87226">
              <w:rPr>
                <w:rFonts w:ascii="Adobe Garamond Pro" w:hAnsi="Adobe Garamond Pro"/>
                <w:lang w:val="en-US"/>
              </w:rPr>
              <w:br/>
            </w:r>
            <w:r w:rsidRPr="00D87226">
              <w:rPr>
                <w:rFonts w:ascii="Adobe Garamond Pro" w:hAnsi="Adobe Garamond Pro"/>
                <w:lang w:val="en-US"/>
              </w:rPr>
              <w:lastRenderedPageBreak/>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4"/>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of their poverty, which was justly prohibited by His Majesty in his Laws of the Indies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CF7B05" w:rsidRPr="00D87226">
              <w:rPr>
                <w:rFonts w:ascii="Adobe Garamond Pro" w:hAnsi="Adobe Garamond Pro"/>
                <w:lang w:val="en-US"/>
              </w:rPr>
              <w:br/>
            </w:r>
            <w:r w:rsidRPr="00D87226">
              <w:rPr>
                <w:rFonts w:ascii="Adobe Garamond Pro" w:hAnsi="Adobe Garamond Pro"/>
                <w:lang w:val="en-US"/>
              </w:rPr>
              <w:lastRenderedPageBreak/>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8"/>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39"/>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6175D737"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 judaísmo, a la secta de Mahoma, de Lutero, y de Calvino. Y más comunmente las hechiceras,</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 los maltratos, que suelen tener con gente de mal alma, causando en sus malos tratos, mil desesperaciones en estos miserables, y que blasfemen el Santo nombre de Dios,</w:t>
            </w:r>
            <w:r w:rsidR="00B06456" w:rsidRPr="00D87226">
              <w:rPr>
                <w:rFonts w:ascii="Adobe Garamond Pro" w:hAnsi="Adobe Garamond Pro"/>
                <w:lang w:val="en-US"/>
              </w:rPr>
              <w:br/>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tequios</w:t>
            </w:r>
            <w:r w:rsidRPr="00D87226">
              <w:rPr>
                <w:rStyle w:val="Refdenotaderodap"/>
                <w:rFonts w:ascii="Adobe Garamond Pro" w:hAnsi="Adobe Garamond Pro"/>
                <w:lang w:val="en-US"/>
              </w:rPr>
              <w:footnoteReference w:id="40"/>
            </w:r>
            <w:r w:rsidRPr="00D87226">
              <w:rPr>
                <w:rFonts w:ascii="Adobe Garamond Pro" w:hAnsi="Adobe Garamond Pro"/>
                <w:lang w:val="en-US"/>
              </w:rPr>
              <w:t xml:space="preserve">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 y que ojalá se hallarán entre otras naciones. Todo cuanto yo alcanzaré escribiré en estos escolios,</w:t>
            </w:r>
            <w:r w:rsidR="00B06456" w:rsidRPr="00D87226">
              <w:rPr>
                <w:rFonts w:ascii="Adobe Garamond Pro" w:hAnsi="Adobe Garamond Pro"/>
                <w:lang w:val="en-US"/>
              </w:rPr>
              <w:br/>
            </w:r>
            <w:r w:rsidR="00B06456" w:rsidRPr="00D87226">
              <w:rPr>
                <w:rFonts w:ascii="Adobe Garamond Pro" w:hAnsi="Adobe Garamond Pro"/>
                <w:lang w:val="en-US"/>
              </w:rPr>
              <w:br/>
            </w:r>
            <w:r w:rsidRPr="00D87226">
              <w:rPr>
                <w:rFonts w:ascii="Adobe Garamond Pro" w:hAnsi="Adobe Garamond Pro"/>
                <w:lang w:val="en-US"/>
              </w:rPr>
              <w:lastRenderedPageBreak/>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06CD36EC"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 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B06456" w:rsidRPr="00D87226">
              <w:rPr>
                <w:rFonts w:ascii="Adobe Garamond Pro" w:hAnsi="Adobe Garamond Pro"/>
                <w:lang w:val="en-US"/>
              </w:rPr>
              <w:br/>
            </w:r>
            <w:r w:rsidR="004577B9" w:rsidRPr="00D87226">
              <w:rPr>
                <w:rFonts w:ascii="Adobe Garamond Pro" w:hAnsi="Adobe Garamond Pro"/>
                <w:lang w:val="en-US"/>
              </w:rPr>
              <w:lastRenderedPageBreak/>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but rather exclusively remember the mistreatment that they tend to receive from people with corrupted souls, who by their poor treatment cause great despair among these miserable ones; and so they blaspheme the Holy name of God</w:t>
            </w:r>
            <w:r w:rsidR="00B06456" w:rsidRPr="00D87226">
              <w:rPr>
                <w:rFonts w:ascii="Adobe Garamond Pro" w:hAnsi="Adobe Garamond Pro"/>
                <w:lang w:val="en-US"/>
              </w:rPr>
              <w:br/>
            </w:r>
            <w:r w:rsidR="004577B9" w:rsidRPr="00D87226">
              <w:rPr>
                <w:rFonts w:ascii="Adobe Garamond Pro" w:hAnsi="Adobe Garamond Pro"/>
                <w:lang w:val="en-US"/>
              </w:rPr>
              <w:lastRenderedPageBreak/>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 that God willing will be found among other peoples. I will write in these scholia all that I can,</w:t>
            </w:r>
            <w:r w:rsidR="00B06456" w:rsidRPr="00D87226">
              <w:rPr>
                <w:rFonts w:ascii="Adobe Garamond Pro" w:hAnsi="Adobe Garamond Pro"/>
                <w:lang w:val="en-US"/>
              </w:rPr>
              <w:br/>
            </w:r>
            <w:r w:rsidR="004577B9" w:rsidRPr="00D87226">
              <w:rPr>
                <w:rFonts w:ascii="Adobe Garamond Pro" w:hAnsi="Adobe Garamond Pro"/>
                <w:lang w:val="en-US"/>
              </w:rPr>
              <w:lastRenderedPageBreak/>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09DDDB8F" w:rsidR="00F875FA" w:rsidRPr="00D87226" w:rsidRDefault="00F875FA" w:rsidP="00F875FA">
      <w:pPr>
        <w:rPr>
          <w:rFonts w:ascii="Adobe Garamond Pro" w:hAnsi="Adobe Garamond Pro"/>
          <w:b/>
          <w:lang w:val="en-US"/>
        </w:rPr>
      </w:pP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9"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0"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3C4D1467"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1"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2"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3"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14"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5E1638D6" w14:textId="156F9D2E"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1564FBA2"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 ...</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15"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16"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90813" w14:textId="77777777" w:rsidR="007A6C5D" w:rsidRDefault="007A6C5D" w:rsidP="00742D7C">
      <w:r>
        <w:separator/>
      </w:r>
    </w:p>
  </w:endnote>
  <w:endnote w:type="continuationSeparator" w:id="0">
    <w:p w14:paraId="1AEEBF49" w14:textId="77777777" w:rsidR="007A6C5D" w:rsidRDefault="007A6C5D"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304D3" w14:textId="77777777" w:rsidR="007A6C5D" w:rsidRDefault="007A6C5D" w:rsidP="00742D7C">
      <w:r>
        <w:separator/>
      </w:r>
    </w:p>
  </w:footnote>
  <w:footnote w:type="continuationSeparator" w:id="0">
    <w:p w14:paraId="71376920" w14:textId="77777777" w:rsidR="007A6C5D" w:rsidRDefault="007A6C5D"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74E03221" w14:textId="77777777" w:rsidR="00C96122" w:rsidRPr="002766EB" w:rsidRDefault="00C96122" w:rsidP="00742D7C">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2">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3">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4">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biblical</w:t>
      </w:r>
      <w:r w:rsidR="00B06456">
        <w:rPr>
          <w:rFonts w:ascii="Adobe Garamond Pro" w:hAnsi="Adobe Garamond Pro"/>
        </w:rPr>
        <w:t xml:space="preserve">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7">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8">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9">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0">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1">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2">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3">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4">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5">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6">
    <w:p w14:paraId="1395A3D1" w14:textId="77777777"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7">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8">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9">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0">
    <w:p w14:paraId="2E30598E" w14:textId="77777777" w:rsidR="00C96122" w:rsidRPr="00EC7265" w:rsidRDefault="00C96122" w:rsidP="000A4AC5">
      <w:pPr>
        <w:pStyle w:val="Textodenotaderodap"/>
        <w:rPr>
          <w:rFonts w:ascii="Adobe Garamond Pro" w:hAnsi="Adobe Garamond Pro"/>
        </w:rPr>
      </w:pPr>
      <w:r w:rsidRPr="00EC7265">
        <w:rPr>
          <w:rStyle w:val="Refdenotaderodap"/>
          <w:rFonts w:ascii="Adobe Garamond Pro" w:hAnsi="Adobe Garamond Pro"/>
        </w:rPr>
        <w:footnoteRef/>
      </w:r>
      <w:r w:rsidRPr="00EC7265">
        <w:rPr>
          <w:rFonts w:ascii="Adobe Garamond Pro" w:hAnsi="Adobe Garamond Pro"/>
        </w:rPr>
        <w:t xml:space="preserve"> </w:t>
      </w:r>
      <w:hyperlink r:id="rId3" w:history="1">
        <w:r>
          <w:rPr>
            <w:rStyle w:val="Hyperlink"/>
            <w:rFonts w:ascii="Adobe Garamond Pro" w:hAnsi="Adobe Garamond Pro"/>
          </w:rPr>
          <w:t>T</w:t>
        </w:r>
        <w:r w:rsidRPr="00EC7265">
          <w:rPr>
            <w:rStyle w:val="Hyperlink"/>
            <w:rFonts w:ascii="Adobe Garamond Pro" w:hAnsi="Adobe Garamond Pro"/>
          </w:rPr>
          <w:t>equio</w:t>
        </w:r>
      </w:hyperlink>
      <w:r w:rsidRPr="00EC7265">
        <w:rPr>
          <w:rFonts w:ascii="Adobe Garamond Pro" w:hAnsi="Adobe Garamond Pro"/>
        </w:rPr>
        <w:t xml:space="preserve">, del náhuatl </w:t>
      </w:r>
      <w:r w:rsidRPr="00EC7265">
        <w:rPr>
          <w:rFonts w:ascii="Adobe Garamond Pro" w:hAnsi="Adobe Garamond Pro"/>
          <w:i/>
        </w:rPr>
        <w:t>tequitl</w:t>
      </w:r>
      <w:r w:rsidRPr="00EC7265">
        <w:rPr>
          <w:rFonts w:ascii="Adobe Garamond Pro" w:hAnsi="Adobe Garamond Pro"/>
        </w:rPr>
        <w:t xml:space="preserve"> 'tributo', 'trabajo'.</w:t>
      </w:r>
      <w:r>
        <w:rPr>
          <w:rFonts w:ascii="Adobe Garamond Pro" w:hAnsi="Adobe Garamond Pro"/>
        </w:rPr>
        <w:t xml:space="preserve"> </w:t>
      </w:r>
      <w:r w:rsidRPr="00EC7265">
        <w:rPr>
          <w:rFonts w:ascii="Adobe Garamond Pro" w:hAnsi="Adobe Garamond Pro"/>
        </w:rPr>
        <w:t>m. Méx. Tarea o faena que se realiza para pagar un tributo.</w:t>
      </w:r>
      <w:r>
        <w:rPr>
          <w:rFonts w:ascii="Adobe Garamond Pro" w:hAnsi="Adobe Garamond Pro"/>
        </w:rPr>
        <w:t xml:space="preserve"> (DLE/RAE)</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7C1B"/>
    <w:rsid w:val="00016F08"/>
    <w:rsid w:val="00052394"/>
    <w:rsid w:val="000530DA"/>
    <w:rsid w:val="00061542"/>
    <w:rsid w:val="000625A6"/>
    <w:rsid w:val="0006360F"/>
    <w:rsid w:val="00064B5C"/>
    <w:rsid w:val="00065C66"/>
    <w:rsid w:val="0006718F"/>
    <w:rsid w:val="000769B6"/>
    <w:rsid w:val="0009225B"/>
    <w:rsid w:val="000A1460"/>
    <w:rsid w:val="000A4AC5"/>
    <w:rsid w:val="000C2C75"/>
    <w:rsid w:val="000D0188"/>
    <w:rsid w:val="000E4F57"/>
    <w:rsid w:val="000E6EEE"/>
    <w:rsid w:val="000F0D11"/>
    <w:rsid w:val="000F7190"/>
    <w:rsid w:val="001137F3"/>
    <w:rsid w:val="001172D3"/>
    <w:rsid w:val="00122B05"/>
    <w:rsid w:val="00124EDF"/>
    <w:rsid w:val="00133DF1"/>
    <w:rsid w:val="00140622"/>
    <w:rsid w:val="00156DEA"/>
    <w:rsid w:val="00171009"/>
    <w:rsid w:val="00184C5E"/>
    <w:rsid w:val="001863CC"/>
    <w:rsid w:val="001E0C04"/>
    <w:rsid w:val="001E2F0C"/>
    <w:rsid w:val="001E7B17"/>
    <w:rsid w:val="001F6FFD"/>
    <w:rsid w:val="00204B6B"/>
    <w:rsid w:val="0020768D"/>
    <w:rsid w:val="00215422"/>
    <w:rsid w:val="00216693"/>
    <w:rsid w:val="00245860"/>
    <w:rsid w:val="002740E4"/>
    <w:rsid w:val="00297860"/>
    <w:rsid w:val="002A20AD"/>
    <w:rsid w:val="002B042F"/>
    <w:rsid w:val="002B25F3"/>
    <w:rsid w:val="002B3BC1"/>
    <w:rsid w:val="002D10C8"/>
    <w:rsid w:val="002D5828"/>
    <w:rsid w:val="002E2F27"/>
    <w:rsid w:val="002F1081"/>
    <w:rsid w:val="002F37D5"/>
    <w:rsid w:val="002F3C5C"/>
    <w:rsid w:val="00305177"/>
    <w:rsid w:val="00312786"/>
    <w:rsid w:val="00327117"/>
    <w:rsid w:val="003350E5"/>
    <w:rsid w:val="0034661D"/>
    <w:rsid w:val="00352628"/>
    <w:rsid w:val="003725FA"/>
    <w:rsid w:val="00377392"/>
    <w:rsid w:val="0038113B"/>
    <w:rsid w:val="00385A21"/>
    <w:rsid w:val="00386F50"/>
    <w:rsid w:val="00390D8D"/>
    <w:rsid w:val="00391276"/>
    <w:rsid w:val="003A3AC6"/>
    <w:rsid w:val="003D5982"/>
    <w:rsid w:val="003E6B35"/>
    <w:rsid w:val="003F45DD"/>
    <w:rsid w:val="00400AE8"/>
    <w:rsid w:val="00400D26"/>
    <w:rsid w:val="00427FBA"/>
    <w:rsid w:val="00432362"/>
    <w:rsid w:val="00437F58"/>
    <w:rsid w:val="0044232B"/>
    <w:rsid w:val="004577B9"/>
    <w:rsid w:val="00460D73"/>
    <w:rsid w:val="00465553"/>
    <w:rsid w:val="004A0E9A"/>
    <w:rsid w:val="004A1F0A"/>
    <w:rsid w:val="004B2905"/>
    <w:rsid w:val="004B2BDA"/>
    <w:rsid w:val="004D0239"/>
    <w:rsid w:val="004D5BB3"/>
    <w:rsid w:val="0050213D"/>
    <w:rsid w:val="00507B85"/>
    <w:rsid w:val="00511526"/>
    <w:rsid w:val="00516805"/>
    <w:rsid w:val="005225BB"/>
    <w:rsid w:val="00541AAE"/>
    <w:rsid w:val="00553F15"/>
    <w:rsid w:val="0055544E"/>
    <w:rsid w:val="00556D39"/>
    <w:rsid w:val="00557BD2"/>
    <w:rsid w:val="0058599E"/>
    <w:rsid w:val="00595E5C"/>
    <w:rsid w:val="005C6CE1"/>
    <w:rsid w:val="005D0BDD"/>
    <w:rsid w:val="005E57AF"/>
    <w:rsid w:val="005F20B4"/>
    <w:rsid w:val="00603586"/>
    <w:rsid w:val="00613C7F"/>
    <w:rsid w:val="00637F88"/>
    <w:rsid w:val="00640325"/>
    <w:rsid w:val="006508DA"/>
    <w:rsid w:val="006546D0"/>
    <w:rsid w:val="0065615E"/>
    <w:rsid w:val="006610F0"/>
    <w:rsid w:val="006644A5"/>
    <w:rsid w:val="00675FEC"/>
    <w:rsid w:val="006868CC"/>
    <w:rsid w:val="006B22C7"/>
    <w:rsid w:val="006C11D6"/>
    <w:rsid w:val="006C41E9"/>
    <w:rsid w:val="006C50A9"/>
    <w:rsid w:val="006C5C4C"/>
    <w:rsid w:val="006E17C7"/>
    <w:rsid w:val="006F1548"/>
    <w:rsid w:val="006F6C28"/>
    <w:rsid w:val="006F7D41"/>
    <w:rsid w:val="007052AC"/>
    <w:rsid w:val="007160F0"/>
    <w:rsid w:val="00741EC6"/>
    <w:rsid w:val="00742D7C"/>
    <w:rsid w:val="007437B9"/>
    <w:rsid w:val="00745C49"/>
    <w:rsid w:val="00760D30"/>
    <w:rsid w:val="007618C4"/>
    <w:rsid w:val="00762114"/>
    <w:rsid w:val="00774E2B"/>
    <w:rsid w:val="0078025F"/>
    <w:rsid w:val="00784297"/>
    <w:rsid w:val="007856A3"/>
    <w:rsid w:val="007A4321"/>
    <w:rsid w:val="007A4DB3"/>
    <w:rsid w:val="007A6C5D"/>
    <w:rsid w:val="007B74AD"/>
    <w:rsid w:val="007C450D"/>
    <w:rsid w:val="007C4D35"/>
    <w:rsid w:val="007C71E3"/>
    <w:rsid w:val="007E6F2B"/>
    <w:rsid w:val="007F4319"/>
    <w:rsid w:val="007F63D8"/>
    <w:rsid w:val="00805DB7"/>
    <w:rsid w:val="00811DEE"/>
    <w:rsid w:val="008527B6"/>
    <w:rsid w:val="00856790"/>
    <w:rsid w:val="00857231"/>
    <w:rsid w:val="008611A8"/>
    <w:rsid w:val="00872E7C"/>
    <w:rsid w:val="0087484D"/>
    <w:rsid w:val="00883633"/>
    <w:rsid w:val="008A1E40"/>
    <w:rsid w:val="008B0A08"/>
    <w:rsid w:val="008B1DF5"/>
    <w:rsid w:val="008E6CEC"/>
    <w:rsid w:val="0090781D"/>
    <w:rsid w:val="00913219"/>
    <w:rsid w:val="009369CD"/>
    <w:rsid w:val="0094562A"/>
    <w:rsid w:val="00951EDB"/>
    <w:rsid w:val="00956B4A"/>
    <w:rsid w:val="00957C60"/>
    <w:rsid w:val="00963723"/>
    <w:rsid w:val="00982589"/>
    <w:rsid w:val="009918C3"/>
    <w:rsid w:val="009A16A6"/>
    <w:rsid w:val="009A4E42"/>
    <w:rsid w:val="009B2665"/>
    <w:rsid w:val="009B2EF4"/>
    <w:rsid w:val="009C0065"/>
    <w:rsid w:val="009C00E0"/>
    <w:rsid w:val="009C085B"/>
    <w:rsid w:val="009C3B2F"/>
    <w:rsid w:val="009C7590"/>
    <w:rsid w:val="009D2E48"/>
    <w:rsid w:val="009F2803"/>
    <w:rsid w:val="009F3B0E"/>
    <w:rsid w:val="009F4780"/>
    <w:rsid w:val="009F5E33"/>
    <w:rsid w:val="009F600A"/>
    <w:rsid w:val="00A2175D"/>
    <w:rsid w:val="00A23B22"/>
    <w:rsid w:val="00A375B6"/>
    <w:rsid w:val="00A46E08"/>
    <w:rsid w:val="00A50D68"/>
    <w:rsid w:val="00A53754"/>
    <w:rsid w:val="00A728A3"/>
    <w:rsid w:val="00A9121B"/>
    <w:rsid w:val="00A973EA"/>
    <w:rsid w:val="00AB33A0"/>
    <w:rsid w:val="00AB7DD0"/>
    <w:rsid w:val="00AC2776"/>
    <w:rsid w:val="00AD082C"/>
    <w:rsid w:val="00B06456"/>
    <w:rsid w:val="00B13A3B"/>
    <w:rsid w:val="00B17921"/>
    <w:rsid w:val="00B230C8"/>
    <w:rsid w:val="00B34ED6"/>
    <w:rsid w:val="00B3643B"/>
    <w:rsid w:val="00B43A72"/>
    <w:rsid w:val="00B50B09"/>
    <w:rsid w:val="00B5222A"/>
    <w:rsid w:val="00B64F45"/>
    <w:rsid w:val="00B67BF2"/>
    <w:rsid w:val="00B731A7"/>
    <w:rsid w:val="00B76207"/>
    <w:rsid w:val="00B85536"/>
    <w:rsid w:val="00B87D53"/>
    <w:rsid w:val="00B9536E"/>
    <w:rsid w:val="00BA7B5B"/>
    <w:rsid w:val="00BB0302"/>
    <w:rsid w:val="00BB6BF1"/>
    <w:rsid w:val="00BD43D2"/>
    <w:rsid w:val="00BE07C5"/>
    <w:rsid w:val="00BE2222"/>
    <w:rsid w:val="00BF576E"/>
    <w:rsid w:val="00C10B78"/>
    <w:rsid w:val="00C137D4"/>
    <w:rsid w:val="00C27E35"/>
    <w:rsid w:val="00C442AE"/>
    <w:rsid w:val="00C44C59"/>
    <w:rsid w:val="00C4613D"/>
    <w:rsid w:val="00C56106"/>
    <w:rsid w:val="00C65CAE"/>
    <w:rsid w:val="00C76C1F"/>
    <w:rsid w:val="00C76C30"/>
    <w:rsid w:val="00C91A89"/>
    <w:rsid w:val="00C96122"/>
    <w:rsid w:val="00C979F7"/>
    <w:rsid w:val="00CA58B3"/>
    <w:rsid w:val="00CB0A38"/>
    <w:rsid w:val="00CB3E1F"/>
    <w:rsid w:val="00CC143A"/>
    <w:rsid w:val="00CC24FE"/>
    <w:rsid w:val="00CC6A8E"/>
    <w:rsid w:val="00CD1646"/>
    <w:rsid w:val="00CE1B85"/>
    <w:rsid w:val="00CE6701"/>
    <w:rsid w:val="00CF75A8"/>
    <w:rsid w:val="00CF7B05"/>
    <w:rsid w:val="00D04FD9"/>
    <w:rsid w:val="00D13FB9"/>
    <w:rsid w:val="00D2086B"/>
    <w:rsid w:val="00D26FE4"/>
    <w:rsid w:val="00D333D7"/>
    <w:rsid w:val="00D44046"/>
    <w:rsid w:val="00D4493C"/>
    <w:rsid w:val="00D54865"/>
    <w:rsid w:val="00D60A4C"/>
    <w:rsid w:val="00D70163"/>
    <w:rsid w:val="00D74EE7"/>
    <w:rsid w:val="00D862E3"/>
    <w:rsid w:val="00D8675C"/>
    <w:rsid w:val="00D87226"/>
    <w:rsid w:val="00DA76F2"/>
    <w:rsid w:val="00DB0206"/>
    <w:rsid w:val="00DC2974"/>
    <w:rsid w:val="00DC797A"/>
    <w:rsid w:val="00DF1535"/>
    <w:rsid w:val="00DF6F86"/>
    <w:rsid w:val="00E01CA1"/>
    <w:rsid w:val="00E040FE"/>
    <w:rsid w:val="00E067DB"/>
    <w:rsid w:val="00E07F84"/>
    <w:rsid w:val="00E1525E"/>
    <w:rsid w:val="00E213FD"/>
    <w:rsid w:val="00E22DEC"/>
    <w:rsid w:val="00E2692E"/>
    <w:rsid w:val="00E33214"/>
    <w:rsid w:val="00E50456"/>
    <w:rsid w:val="00E53586"/>
    <w:rsid w:val="00E55EDD"/>
    <w:rsid w:val="00E70756"/>
    <w:rsid w:val="00E72A68"/>
    <w:rsid w:val="00E745C2"/>
    <w:rsid w:val="00E9288E"/>
    <w:rsid w:val="00E92A3E"/>
    <w:rsid w:val="00EA13E7"/>
    <w:rsid w:val="00EB05E2"/>
    <w:rsid w:val="00EB4506"/>
    <w:rsid w:val="00EB662E"/>
    <w:rsid w:val="00EB792E"/>
    <w:rsid w:val="00EC0CA6"/>
    <w:rsid w:val="00ED1992"/>
    <w:rsid w:val="00ED2D49"/>
    <w:rsid w:val="00ED44E3"/>
    <w:rsid w:val="00ED7534"/>
    <w:rsid w:val="00EE3358"/>
    <w:rsid w:val="00EF3B6B"/>
    <w:rsid w:val="00F0033F"/>
    <w:rsid w:val="00F04D57"/>
    <w:rsid w:val="00F07DC8"/>
    <w:rsid w:val="00F14084"/>
    <w:rsid w:val="00F21EF6"/>
    <w:rsid w:val="00F30009"/>
    <w:rsid w:val="00F35E3E"/>
    <w:rsid w:val="00F37BDA"/>
    <w:rsid w:val="00F45277"/>
    <w:rsid w:val="00F5428D"/>
    <w:rsid w:val="00F60B99"/>
    <w:rsid w:val="00F875FA"/>
    <w:rsid w:val="00F935B3"/>
    <w:rsid w:val="00F944DE"/>
    <w:rsid w:val="00FA2E67"/>
    <w:rsid w:val="00FB2CB4"/>
    <w:rsid w:val="00FC1A8B"/>
    <w:rsid w:val="00FE5E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A3B"/>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github-escolios" TargetMode="External"/><Relationship Id="rId13" Type="http://schemas.openxmlformats.org/officeDocument/2006/relationships/hyperlink" Target="https://dle.rae.e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tlle.rae.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chive.org/details/historiadelaprov01ximgu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lle.rae.es" TargetMode="External"/><Relationship Id="rId5" Type="http://schemas.openxmlformats.org/officeDocument/2006/relationships/webSettings" Target="webSettings.xml"/><Relationship Id="rId15" Type="http://schemas.openxmlformats.org/officeDocument/2006/relationships/hyperlink" Target="https://ntlle.rae.es/" TargetMode="External"/><Relationship Id="rId10" Type="http://schemas.openxmlformats.org/officeDocument/2006/relationships/hyperlink" Target="https://archive.org/details/cosmographiaapia00ap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rary.osu.edu/projects/popolwuj/" TargetMode="External"/><Relationship Id="rId14" Type="http://schemas.openxmlformats.org/officeDocument/2006/relationships/hyperlink" Target="https://www.perseus.tufts.edu/hopper/text?doc=Perseus:text:1999.04.0059:entry=salt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le.rae.es/?id=ZWX2hAv" TargetMode="External"/><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AAFB-5840-0D43-BCFB-DC7E62E1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6472</Words>
  <Characters>34951</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283</cp:revision>
  <dcterms:created xsi:type="dcterms:W3CDTF">2019-04-20T15:32:00Z</dcterms:created>
  <dcterms:modified xsi:type="dcterms:W3CDTF">2019-04-22T17:36:00Z</dcterms:modified>
</cp:coreProperties>
</file>