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595DBDDE"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0B7B5311" w:rsidR="008611A8" w:rsidRPr="00D87226" w:rsidRDefault="008611A8" w:rsidP="005460D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w:t>
            </w:r>
            <w:r w:rsidRPr="00D87226">
              <w:rPr>
                <w:rFonts w:ascii="Adobe Garamond Pro" w:hAnsi="Adobe Garamond Pro"/>
                <w:lang w:val="en-US"/>
              </w:rPr>
              <w:lastRenderedPageBreak/>
              <w:t>gloria aun no habiendo podido convertir a 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w:t>
            </w:r>
            <w:r w:rsidR="005460DB">
              <w:rPr>
                <w:rFonts w:ascii="Adobe Garamond Pro" w:hAnsi="Adobe Garamond Pro"/>
                <w:lang w:val="en-US"/>
              </w:rPr>
              <w:br/>
            </w:r>
            <w:r w:rsidRPr="00D87226">
              <w:rPr>
                <w:rFonts w:ascii="Adobe Garamond Pro" w:hAnsi="Adobe Garamond Pro"/>
                <w:lang w:val="en-US"/>
              </w:rPr>
              <w:lastRenderedPageBreak/>
              <w:t>el Illustrísimo y 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que como no han pasado de manuscritos, es muy raro el que se halla, y tengo por experiencia que los indios que han tenido</w:t>
            </w:r>
            <w:r w:rsidR="005460DB">
              <w:rPr>
                <w:rFonts w:ascii="Adobe Garamond Pro" w:hAnsi="Adobe Garamond Pro"/>
                <w:lang w:val="en-US"/>
              </w:rPr>
              <w:t xml:space="preserve"> </w:t>
            </w:r>
            <w:r w:rsidRPr="00D87226">
              <w:rPr>
                <w:rFonts w:ascii="Adobe Garamond Pro" w:hAnsi="Adobe Garamond Pro"/>
                <w:lang w:val="en-US"/>
              </w:rPr>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como papagayos sin inteligencia alguna de lo que habían aprendido. Yo quisiera, que me dijera el que tal intentó,</w:t>
            </w:r>
            <w:r w:rsidR="005460DB">
              <w:rPr>
                <w:rFonts w:ascii="Adobe Garamond Pro" w:hAnsi="Adobe Garamond Pro"/>
                <w:lang w:val="en-US"/>
              </w:rPr>
              <w:t xml:space="preserve"> </w:t>
            </w:r>
            <w:r w:rsidRPr="00D87226">
              <w:rPr>
                <w:rFonts w:ascii="Adobe Garamond Pro" w:hAnsi="Adobe Garamond Pro"/>
                <w:lang w:val="en-US"/>
              </w:rPr>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de los indios, y menoscabo de su pobreza, cosa tan vedada, y justamente por</w:t>
            </w:r>
            <w:r w:rsidR="005460DB">
              <w:rPr>
                <w:rFonts w:ascii="Adobe Garamond Pro" w:hAnsi="Adobe Garamond Pro"/>
                <w:lang w:val="en-US"/>
              </w:rPr>
              <w:t xml:space="preserve"> </w:t>
            </w:r>
            <w:r w:rsidRPr="00D87226">
              <w:rPr>
                <w:rFonts w:ascii="Adobe Garamond Pro" w:hAnsi="Adobe Garamond Pro"/>
                <w:lang w:val="en-US"/>
              </w:rPr>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7F0579B8"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w:t>
            </w:r>
            <w:r w:rsidR="00D53B3F">
              <w:rPr>
                <w:rStyle w:val="Refdenotaderodap"/>
                <w:rFonts w:ascii="Adobe Garamond Pro" w:hAnsi="Adobe Garamond Pro"/>
                <w:lang w:val="en-US"/>
              </w:rPr>
              <w:footnoteReference w:id="26"/>
            </w:r>
            <w:r w:rsidRPr="00D87226">
              <w:rPr>
                <w:rFonts w:ascii="Adobe Garamond Pro" w:hAnsi="Adobe Garamond Pro"/>
                <w:lang w:val="en-US"/>
              </w:rPr>
              <w:t>. Even to him who does not reap any fruit from his work I guarantee many crowns of glory, such as are enjoyed by the Apostle James, on whose vigil I write this, many crowns of</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glory</w:t>
            </w:r>
            <w:r w:rsidR="005460DB">
              <w:rPr>
                <w:rFonts w:ascii="Adobe Garamond Pro" w:hAnsi="Adobe Garamond Pro"/>
                <w:lang w:val="en-US"/>
              </w:rPr>
              <w:t xml:space="preserve"> </w:t>
            </w:r>
            <w:r w:rsidRPr="00D87226">
              <w:rPr>
                <w:rFonts w:ascii="Adobe Garamond Pro" w:hAnsi="Adobe Garamond Pro"/>
                <w:lang w:val="en-US"/>
              </w:rPr>
              <w:t>even without having been able to convert to</w:t>
            </w:r>
            <w:r w:rsidR="005460DB">
              <w:rPr>
                <w:rFonts w:ascii="Adobe Garamond Pro" w:hAnsi="Adobe Garamond Pro"/>
                <w:lang w:val="en-US"/>
              </w:rPr>
              <w:t xml:space="preserve"> </w:t>
            </w:r>
            <w:r w:rsidRPr="00D87226">
              <w:rPr>
                <w:rFonts w:ascii="Adobe Garamond Pro" w:hAnsi="Adobe Garamond Pro"/>
                <w:lang w:val="en-US"/>
              </w:rPr>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7"/>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8"/>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5460DB">
              <w:rPr>
                <w:rFonts w:ascii="Adobe Garamond Pro" w:hAnsi="Adobe Garamond Pro"/>
                <w:lang w:val="en-US"/>
              </w:rPr>
              <w:t xml:space="preserve"> </w:t>
            </w:r>
            <w:r w:rsidRPr="00D87226">
              <w:rPr>
                <w:rFonts w:ascii="Adobe Garamond Pro" w:hAnsi="Adobe Garamond Pro"/>
                <w:lang w:val="en-US"/>
              </w:rPr>
              <w:lastRenderedPageBreak/>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9"/>
            </w:r>
            <w:r w:rsidRPr="00D87226">
              <w:rPr>
                <w:rFonts w:ascii="Adobe Garamond Pro" w:hAnsi="Adobe Garamond Pro"/>
                <w:lang w:val="en-US"/>
              </w:rPr>
              <w:t xml:space="preserve"> Fray Bartolomé de las 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30"/>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w:t>
            </w:r>
            <w:r w:rsidR="005460DB">
              <w:rPr>
                <w:rFonts w:ascii="Adobe Garamond Pro" w:hAnsi="Adobe Garamond Pro"/>
                <w:lang w:val="en-US"/>
              </w:rPr>
              <w:br/>
            </w:r>
            <w:r w:rsidRPr="00D87226">
              <w:rPr>
                <w:rFonts w:ascii="Adobe Garamond Pro" w:hAnsi="Adobe Garamond Pro"/>
                <w:lang w:val="en-US"/>
              </w:rPr>
              <w:lastRenderedPageBreak/>
              <w:t>which are very rarely found since they remain only in manuscript form, and I know from experience that the Indians who have had 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4"/>
            </w:r>
            <w:r w:rsidRPr="00D87226">
              <w:rPr>
                <w:rFonts w:ascii="Adobe Garamond Pro" w:hAnsi="Adobe Garamond Pro"/>
                <w:lang w:val="en-US"/>
              </w:rPr>
              <w:t xml:space="preserve"> work, he managed to get them to know Christian </w:t>
            </w:r>
            <w:r w:rsidRPr="00D87226">
              <w:rPr>
                <w:rFonts w:ascii="Adobe Garamond Pro" w:hAnsi="Adobe Garamond Pro"/>
                <w:lang w:val="en-US"/>
              </w:rPr>
              <w:lastRenderedPageBreak/>
              <w:t>doctrine like parrots without any understanding of what they had learned. I would like him who tried this to tell me 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5"/>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w:t>
            </w:r>
            <w:r w:rsidRPr="00D87226">
              <w:rPr>
                <w:rFonts w:ascii="Adobe Garamond Pro" w:hAnsi="Adobe Garamond Pro"/>
                <w:lang w:val="en-US"/>
              </w:rPr>
              <w:lastRenderedPageBreak/>
              <w:t>the Indians and to the deepening</w:t>
            </w:r>
            <w:r w:rsidRPr="00D87226">
              <w:rPr>
                <w:rStyle w:val="Refdenotaderodap"/>
                <w:rFonts w:ascii="Adobe Garamond Pro" w:hAnsi="Adobe Garamond Pro"/>
                <w:lang w:val="en-US"/>
              </w:rPr>
              <w:footnoteReference w:id="37"/>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t>His Majesty in his Laws of the Indies</w:t>
            </w:r>
            <w:r w:rsidRPr="00D87226">
              <w:rPr>
                <w:rStyle w:val="Refdenotaderodap"/>
                <w:rFonts w:ascii="Adobe Garamond Pro" w:hAnsi="Adobe Garamond Pro"/>
                <w:lang w:val="en-US"/>
              </w:rPr>
              <w:footnoteReference w:id="38"/>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9"/>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40"/>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21A37CEE"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judaísmo, a la secta de Mahoma, de Lutero, y de Calvino.</w:t>
            </w:r>
            <w:r w:rsidR="005460DB">
              <w:rPr>
                <w:rFonts w:ascii="Adobe Garamond Pro" w:hAnsi="Adobe Garamond Pro"/>
                <w:lang w:val="en-US"/>
              </w:rPr>
              <w:t xml:space="preserve"> </w:t>
            </w:r>
            <w:r w:rsidRPr="00D87226">
              <w:rPr>
                <w:rFonts w:ascii="Adobe Garamond Pro" w:hAnsi="Adobe Garamond Pro"/>
                <w:lang w:val="en-US"/>
              </w:rPr>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los maltratos, que suelen tener con gente de mal alma,</w:t>
            </w:r>
            <w:r w:rsidR="005460DB">
              <w:rPr>
                <w:rFonts w:ascii="Adobe Garamond Pro" w:hAnsi="Adobe Garamond Pro"/>
                <w:lang w:val="en-US"/>
              </w:rPr>
              <w:t xml:space="preserve"> </w:t>
            </w:r>
            <w:r w:rsidRPr="00D87226">
              <w:rPr>
                <w:rFonts w:ascii="Adobe Garamond Pro" w:hAnsi="Adobe Garamond Pro"/>
                <w:lang w:val="en-US"/>
              </w:rPr>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5460DB">
              <w:rPr>
                <w:rFonts w:ascii="Adobe Garamond Pro" w:hAnsi="Adobe Garamond Pro"/>
                <w:lang w:val="en-US"/>
              </w:rPr>
              <w:br/>
            </w:r>
            <w:r w:rsidR="005460DB">
              <w:rPr>
                <w:rFonts w:ascii="Adobe Garamond Pro" w:hAnsi="Adobe Garamond Pro"/>
                <w:lang w:val="en-US"/>
              </w:rPr>
              <w:br/>
            </w:r>
            <w:bookmarkStart w:id="0" w:name="_GoBack"/>
            <w:bookmarkEnd w:id="0"/>
            <w:r w:rsidRPr="00D87226">
              <w:rPr>
                <w:rFonts w:ascii="Adobe Garamond Pro" w:hAnsi="Adobe Garamond Pro"/>
                <w:lang w:val="en-US"/>
              </w:rPr>
              <w:lastRenderedPageBreak/>
              <w:t>y que ojalá se hallarán entre otras naciones.</w:t>
            </w:r>
            <w:r w:rsidR="005460DB">
              <w:rPr>
                <w:rFonts w:ascii="Adobe Garamond Pro" w:hAnsi="Adobe Garamond Pro"/>
                <w:lang w:val="en-US"/>
              </w:rPr>
              <w:t xml:space="preserve"> </w:t>
            </w:r>
            <w:r w:rsidRPr="00D87226">
              <w:rPr>
                <w:rFonts w:ascii="Adobe Garamond Pro" w:hAnsi="Adobe Garamond Pro"/>
                <w:lang w:val="en-US"/>
              </w:rPr>
              <w:t>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322AF3AB"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xml:space="preserve">, or the majority of them do; for seen rightly, our own ancestors made even greater mistakes, and there are still many made today when people are more capable and better taught, and every day we are seeing great shame as people apostatize from the faith, crossing over to </w:t>
            </w:r>
            <w:r w:rsidR="004577B9" w:rsidRPr="00D87226">
              <w:rPr>
                <w:rFonts w:ascii="Adobe Garamond Pro" w:hAnsi="Adobe Garamond Pro"/>
                <w:lang w:val="en-US"/>
              </w:rPr>
              <w:lastRenderedPageBreak/>
              <w:t>Judaism, to the sect of Mohammed, that of Luther, and that of Calvin.</w:t>
            </w:r>
            <w:r w:rsidR="005460DB">
              <w:rPr>
                <w:rFonts w:ascii="Adobe Garamond Pro" w:hAnsi="Adobe Garamond Pro"/>
                <w:lang w:val="en-US"/>
              </w:rPr>
              <w:t xml:space="preserve"> </w:t>
            </w:r>
            <w:r w:rsidR="004577B9" w:rsidRPr="00D87226">
              <w:rPr>
                <w:rFonts w:ascii="Adobe Garamond Pro" w:hAnsi="Adobe Garamond Pro"/>
                <w:lang w:val="en-US"/>
              </w:rPr>
              <w:t>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xml:space="preserve">, but rather exclusively remember the </w:t>
            </w:r>
            <w:r w:rsidR="004577B9" w:rsidRPr="00D87226">
              <w:rPr>
                <w:rFonts w:ascii="Adobe Garamond Pro" w:hAnsi="Adobe Garamond Pro"/>
                <w:lang w:val="en-US"/>
              </w:rPr>
              <w:lastRenderedPageBreak/>
              <w:t>mistreatment that they tend to receive from people with corrupted souls,</w:t>
            </w:r>
            <w:r w:rsidR="005460DB">
              <w:rPr>
                <w:rFonts w:ascii="Adobe Garamond Pro" w:hAnsi="Adobe Garamond Pro"/>
                <w:lang w:val="en-US"/>
              </w:rPr>
              <w:t xml:space="preserve"> </w:t>
            </w:r>
            <w:r w:rsidR="004577B9" w:rsidRPr="00D87226">
              <w:rPr>
                <w:rFonts w:ascii="Adobe Garamond Pro" w:hAnsi="Adobe Garamond Pro"/>
                <w:lang w:val="en-US"/>
              </w:rPr>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93367A">
              <w:rPr>
                <w:rFonts w:ascii="Adobe Garamond Pro" w:hAnsi="Adobe Garamond Pro"/>
                <w:lang w:val="en-US"/>
              </w:rPr>
              <w:t xml:space="preserve"> </w:t>
            </w:r>
            <w:r w:rsidR="004577B9" w:rsidRPr="00D87226">
              <w:rPr>
                <w:rFonts w:ascii="Adobe Garamond Pro" w:hAnsi="Adobe Garamond Pro"/>
                <w:lang w:val="en-US"/>
              </w:rPr>
              <w:lastRenderedPageBreak/>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9413" w14:textId="77777777" w:rsidR="00C02B48" w:rsidRDefault="00C02B48" w:rsidP="00742D7C">
      <w:r>
        <w:separator/>
      </w:r>
    </w:p>
  </w:endnote>
  <w:endnote w:type="continuationSeparator" w:id="0">
    <w:p w14:paraId="6D78F708" w14:textId="77777777" w:rsidR="00C02B48" w:rsidRDefault="00C02B48"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D71B" w14:textId="77777777" w:rsidR="00C02B48" w:rsidRDefault="00C02B48" w:rsidP="00742D7C">
      <w:r>
        <w:separator/>
      </w:r>
    </w:p>
  </w:footnote>
  <w:footnote w:type="continuationSeparator" w:id="0">
    <w:p w14:paraId="49E3430C" w14:textId="77777777" w:rsidR="00C02B48" w:rsidRDefault="00C02B48"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4D3409E7" w14:textId="516441FC" w:rsidR="00D53B3F" w:rsidRPr="00D53B3F" w:rsidRDefault="00D53B3F">
      <w:pPr>
        <w:pStyle w:val="Textodenotaderodap"/>
        <w:rPr>
          <w:rFonts w:ascii="Adobe Garamond Pro" w:hAnsi="Adobe Garamond Pro"/>
          <w:lang w:val="en-US"/>
        </w:rPr>
      </w:pPr>
      <w:r w:rsidRPr="00D53B3F">
        <w:rPr>
          <w:rStyle w:val="Refdenotaderodap"/>
          <w:rFonts w:ascii="Adobe Garamond Pro" w:hAnsi="Adobe Garamond Pro"/>
        </w:rPr>
        <w:footnoteRef/>
      </w:r>
      <w:r w:rsidRPr="00D53B3F">
        <w:rPr>
          <w:rFonts w:ascii="Adobe Garamond Pro" w:hAnsi="Adobe Garamond Pro"/>
        </w:rPr>
        <w:t xml:space="preserve"> </w:t>
      </w:r>
      <w:r w:rsidRPr="00D53B3F">
        <w:rPr>
          <w:rFonts w:ascii="Adobe Garamond Pro" w:hAnsi="Adobe Garamond Pro"/>
          <w:lang w:val="en-US"/>
        </w:rPr>
        <w:t>See 1 Corinthians 3:7, “So neither the one who plants nor the one who waters is anything, but only God who gives the growth” (NRSVCE).</w:t>
      </w:r>
    </w:p>
  </w:footnote>
  <w:footnote w:id="27">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8">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9">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30">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1">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2">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3">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4">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5">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6">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7">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8">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9">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40">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5828"/>
    <w:rsid w:val="002E2F27"/>
    <w:rsid w:val="002F1081"/>
    <w:rsid w:val="002F37D5"/>
    <w:rsid w:val="002F3C5C"/>
    <w:rsid w:val="002F6765"/>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E3B62"/>
    <w:rsid w:val="004F3545"/>
    <w:rsid w:val="004F47EF"/>
    <w:rsid w:val="0050213D"/>
    <w:rsid w:val="00507B85"/>
    <w:rsid w:val="00510639"/>
    <w:rsid w:val="00510FFA"/>
    <w:rsid w:val="00511526"/>
    <w:rsid w:val="0051642A"/>
    <w:rsid w:val="00516805"/>
    <w:rsid w:val="00516F61"/>
    <w:rsid w:val="005225BB"/>
    <w:rsid w:val="00541AAE"/>
    <w:rsid w:val="00543045"/>
    <w:rsid w:val="00544FD5"/>
    <w:rsid w:val="005460DB"/>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367A"/>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02B48"/>
    <w:rsid w:val="00C10B78"/>
    <w:rsid w:val="00C12929"/>
    <w:rsid w:val="00C137D4"/>
    <w:rsid w:val="00C21CF6"/>
    <w:rsid w:val="00C22AB2"/>
    <w:rsid w:val="00C27E35"/>
    <w:rsid w:val="00C41751"/>
    <w:rsid w:val="00C442AE"/>
    <w:rsid w:val="00C44C59"/>
    <w:rsid w:val="00C4613D"/>
    <w:rsid w:val="00C51166"/>
    <w:rsid w:val="00C56106"/>
    <w:rsid w:val="00C616E9"/>
    <w:rsid w:val="00C62974"/>
    <w:rsid w:val="00C65CAE"/>
    <w:rsid w:val="00C76116"/>
    <w:rsid w:val="00C76C1F"/>
    <w:rsid w:val="00C76C30"/>
    <w:rsid w:val="00C91A89"/>
    <w:rsid w:val="00C94E2F"/>
    <w:rsid w:val="00C96122"/>
    <w:rsid w:val="00C9628F"/>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3B3F"/>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 w:val="00FE6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2B8F6-80A1-7144-9341-049FEF25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7351</Words>
  <Characters>39697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12</cp:revision>
  <cp:lastPrinted>2019-04-22T22:31:00Z</cp:lastPrinted>
  <dcterms:created xsi:type="dcterms:W3CDTF">2019-04-22T22:29:00Z</dcterms:created>
  <dcterms:modified xsi:type="dcterms:W3CDTF">2019-04-26T19:35:00Z</dcterms:modified>
</cp:coreProperties>
</file>