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44F268D9" w14:textId="677EDA5D" w:rsidR="00216693" w:rsidRDefault="00E92A3E" w:rsidP="00742D7C">
      <w:pPr>
        <w:rPr>
          <w:rFonts w:ascii="Adobe Garamond Pro" w:hAnsi="Adobe Garamond Pro"/>
          <w:lang w:val="en-US"/>
        </w:rPr>
      </w:pPr>
      <w:r w:rsidRPr="00D87226">
        <w:rPr>
          <w:rFonts w:ascii="Adobe Garamond Pro" w:hAnsi="Adobe Garamond Pro"/>
          <w:lang w:val="en-US"/>
        </w:rPr>
        <w:t>30 de abril de 2019</w:t>
      </w:r>
    </w:p>
    <w:p w14:paraId="088C085E" w14:textId="77777777" w:rsidR="00014E09" w:rsidRPr="00D87226" w:rsidRDefault="00014E09" w:rsidP="00742D7C">
      <w:pPr>
        <w:rPr>
          <w:rFonts w:ascii="Adobe Garamond Pro" w:hAnsi="Adobe Garamond Pro"/>
          <w:lang w:val="en-US"/>
        </w:rPr>
      </w:pPr>
    </w:p>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F29A4CF" w:rsidR="006B22C7" w:rsidRDefault="00EB662E" w:rsidP="007205DA">
      <w:pPr>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w:t>
      </w:r>
      <w:r w:rsidR="00895792">
        <w:rPr>
          <w:rFonts w:ascii="Adobe Garamond Pro" w:hAnsi="Adobe Garamond Pro"/>
          <w:lang w:val="en-US"/>
        </w:rPr>
        <w:lastRenderedPageBreak/>
        <w:t>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which has historically treated 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645EE931"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p>
    <w:p w14:paraId="47585E29" w14:textId="595DBDDE" w:rsidR="00D87226" w:rsidRPr="00D87226" w:rsidRDefault="00945B63" w:rsidP="003A1CF5">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bookmarkStart w:id="0" w:name="_GoBack"/>
      <w:bookmarkEnd w:id="0"/>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71FF0FFD"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3E23AF56"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w:t>
            </w:r>
            <w:r w:rsidRPr="00D87226">
              <w:rPr>
                <w:rFonts w:ascii="Adobe Garamond Pro" w:hAnsi="Adobe Garamond Pro"/>
                <w:lang w:val="en-US"/>
              </w:rPr>
              <w:lastRenderedPageBreak/>
              <w:t>ellos unos a otros en sus fiestas, y desde un pueblo a otro en sus festividades, 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w:t>
            </w:r>
            <w:r w:rsidR="00722F70">
              <w:rPr>
                <w:rFonts w:ascii="Adobe Garamond Pro" w:hAnsi="Adobe Garamond Pro"/>
                <w:lang w:val="en-US"/>
              </w:rPr>
              <w:t xml:space="preserve"> </w:t>
            </w:r>
            <w:r w:rsidRPr="00D87226">
              <w:rPr>
                <w:rFonts w:ascii="Adobe Garamond Pro" w:hAnsi="Adobe Garamond Pro"/>
                <w:lang w:val="en-US"/>
              </w:rPr>
              <w:t xml:space="preserve">él que es </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6CFD1CC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w:t>
            </w:r>
            <w:r w:rsidRPr="00D87226">
              <w:rPr>
                <w:rFonts w:ascii="Adobe Garamond Pro" w:hAnsi="Adobe Garamond Pro"/>
                <w:lang w:val="en-US"/>
              </w:rPr>
              <w:lastRenderedPageBreak/>
              <w:t xml:space="preserve">their celebrations, 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lastRenderedPageBreak/>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w:t>
            </w:r>
            <w:r w:rsidR="00722F70">
              <w:rPr>
                <w:rFonts w:ascii="Adobe Garamond Pro" w:hAnsi="Adobe Garamond Pro"/>
                <w:lang w:val="en-US"/>
              </w:rPr>
              <w:br/>
            </w:r>
            <w:r w:rsidRPr="00D87226">
              <w:rPr>
                <w:rFonts w:ascii="Adobe Garamond Pro" w:hAnsi="Adobe Garamond Pro"/>
                <w:lang w:val="en-US"/>
              </w:rPr>
              <w:lastRenderedPageBreak/>
              <w:t>by all these who throw 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1180CC6C"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 xml:space="preserve">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w:t>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zeladorde su honra y culto, y no permite compañía en sus adoraciónes, y así aunque nos parezca cosa de poca monta es cosa de mucho peso en el divino acatamiento.</w:t>
            </w:r>
          </w:p>
        </w:tc>
        <w:tc>
          <w:tcPr>
            <w:tcW w:w="4675" w:type="dxa"/>
          </w:tcPr>
          <w:p w14:paraId="035FF919" w14:textId="13A25E62"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w:t>
            </w:r>
            <w:r w:rsidR="00F21547" w:rsidRPr="00D87226">
              <w:rPr>
                <w:rStyle w:val="Refdenotaderodap"/>
                <w:rFonts w:ascii="Adobe Garamond Pro" w:hAnsi="Adobe Garamond Pro"/>
                <w:lang w:val="en-US"/>
              </w:rPr>
              <w:footnoteReference w:id="14"/>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788EC25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25159E">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w:t>
            </w:r>
            <w:r w:rsidRPr="00D87226">
              <w:rPr>
                <w:rFonts w:ascii="Adobe Garamond Pro" w:hAnsi="Adobe Garamond Pro"/>
                <w:lang w:val="en-US"/>
              </w:rPr>
              <w:lastRenderedPageBreak/>
              <w:t xml:space="preserve">hacen muy lindas 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gloria aun no habiendo podido convertir a </w:t>
            </w:r>
            <w:r w:rsidRPr="00D87226">
              <w:rPr>
                <w:rFonts w:ascii="Adobe Garamond Pro" w:hAnsi="Adobe Garamond Pro"/>
                <w:lang w:val="en-US"/>
              </w:rPr>
              <w:lastRenderedPageBreak/>
              <w:t xml:space="preserve">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 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 que como no han pasado de manuscritos, es muy raro el que se halla, y tengo por experiencia que los indios que han tenido</w:t>
            </w:r>
            <w:r w:rsidR="001A25B3">
              <w:rPr>
                <w:rFonts w:ascii="Adobe Garamond Pro" w:hAnsi="Adobe Garamond Pro"/>
                <w:lang w:val="en-US"/>
              </w:rPr>
              <w:br/>
            </w:r>
            <w:r w:rsidRPr="00D87226">
              <w:rPr>
                <w:rFonts w:ascii="Adobe Garamond Pro" w:hAnsi="Adobe Garamond Pro"/>
                <w:lang w:val="en-US"/>
              </w:rPr>
              <w:lastRenderedPageBreak/>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 como papagayos sin inteligencia alguna de lo que habían aprendido. Yo quisiera, que me dijera el que tal intentó,</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 de los indios, y menoscabo de su pobreza, cosa tan vedada, y justamente por</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su 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4491B498"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w:t>
            </w:r>
            <w:r w:rsidRPr="00D87226">
              <w:rPr>
                <w:rFonts w:ascii="Adobe Garamond Pro" w:hAnsi="Adobe Garamond Pro"/>
                <w:lang w:val="en-US"/>
              </w:rPr>
              <w:lastRenderedPageBreak/>
              <w:t>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w:t>
            </w:r>
            <w:r w:rsidR="0025159E">
              <w:rPr>
                <w:rFonts w:ascii="Adobe Garamond Pro" w:hAnsi="Adobe Garamond Pro"/>
                <w:lang w:val="en-US"/>
              </w:rPr>
              <w:br/>
            </w:r>
            <w:r w:rsidRPr="00D87226">
              <w:rPr>
                <w:rFonts w:ascii="Adobe Garamond Pro" w:hAnsi="Adobe Garamond Pro"/>
                <w:lang w:val="en-US"/>
              </w:rPr>
              <w:lastRenderedPageBreak/>
              <w:t>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w:t>
            </w:r>
            <w:r w:rsidR="00A24860">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earlier Fathers gave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Father can hear them and then in secret they make </w:t>
            </w:r>
            <w:r w:rsidRPr="00D87226">
              <w:rPr>
                <w:rFonts w:ascii="Adobe Garamond Pro" w:hAnsi="Adobe Garamond Pro"/>
                <w:lang w:val="en-US"/>
              </w:rPr>
              <w:lastRenderedPageBreak/>
              <w:t>sweet 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 Even to him who does not reap any fruit from his work I guarantee many crowns of glory, such as are enjoyed by the Apostle James, on whose vigil I write this, many crowns of glory even without having been able to convert to</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6"/>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7"/>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B06456" w:rsidRPr="00D87226">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8"/>
            </w:r>
            <w:r w:rsidRPr="00D87226">
              <w:rPr>
                <w:rFonts w:ascii="Adobe Garamond Pro" w:hAnsi="Adobe Garamond Pro"/>
                <w:lang w:val="en-US"/>
              </w:rPr>
              <w:t xml:space="preserve"> Fray Bartolomé de las </w:t>
            </w:r>
            <w:r w:rsidRPr="00D87226">
              <w:rPr>
                <w:rFonts w:ascii="Adobe Garamond Pro" w:hAnsi="Adobe Garamond Pro"/>
                <w:lang w:val="en-US"/>
              </w:rPr>
              <w:lastRenderedPageBreak/>
              <w:t>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9"/>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 which are very rarely found since they remain only in manuscript form, and I know from experience that the Indians who have had </w:t>
            </w:r>
            <w:r w:rsidRPr="00D87226">
              <w:rPr>
                <w:rFonts w:ascii="Adobe Garamond Pro" w:hAnsi="Adobe Garamond Pro"/>
                <w:lang w:val="en-US"/>
              </w:rPr>
              <w:lastRenderedPageBreak/>
              <w:t>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work, he managed to get them to know Christian doctrine like parrots without any understanding of what they had learned. I would like him who tried this to tell me </w:t>
            </w:r>
            <w:r w:rsidRPr="00D87226">
              <w:rPr>
                <w:rFonts w:ascii="Adobe Garamond Pro" w:hAnsi="Adobe Garamond Pro"/>
                <w:lang w:val="en-US"/>
              </w:rPr>
              <w:lastRenderedPageBreak/>
              <w:t>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4"/>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of their poverty, which was justly prohibited by</w:t>
            </w:r>
            <w:r w:rsidR="00257D3A">
              <w:rPr>
                <w:rFonts w:ascii="Adobe Garamond Pro" w:hAnsi="Adobe Garamond Pro"/>
                <w:lang w:val="en-US"/>
              </w:rPr>
              <w:br/>
            </w:r>
            <w:r w:rsidRPr="00D87226">
              <w:rPr>
                <w:rFonts w:ascii="Adobe Garamond Pro" w:hAnsi="Adobe Garamond Pro"/>
                <w:lang w:val="en-US"/>
              </w:rPr>
              <w:lastRenderedPageBreak/>
              <w:t>His Majesty in his Laws of the Indies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8"/>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39"/>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42797E30"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 judaísmo, a la secta de Mahoma, de Lutero, y de Calvino.</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 los maltratos, que suelen tener con gente de mal alma,</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causando en sus malos tratos, mil desesperaciones en estos miserables, y que blasfemen el 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tequios</w:t>
            </w:r>
            <w:r w:rsidRPr="00D87226">
              <w:rPr>
                <w:rStyle w:val="Refdenotaderodap"/>
                <w:rFonts w:ascii="Adobe Garamond Pro" w:hAnsi="Adobe Garamond Pro"/>
                <w:lang w:val="en-US"/>
              </w:rPr>
              <w:footnoteReference w:id="40"/>
            </w:r>
            <w:r w:rsidRPr="00D87226">
              <w:rPr>
                <w:rFonts w:ascii="Adobe Garamond Pro" w:hAnsi="Adobe Garamond Pro"/>
                <w:lang w:val="en-US"/>
              </w:rPr>
              <w:t xml:space="preserve">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que ojalá se hallarán entre otras naciones. 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503D6489"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w:t>
            </w:r>
            <w:r w:rsidR="00257D3A">
              <w:rPr>
                <w:rFonts w:ascii="Adobe Garamond Pro" w:hAnsi="Adobe Garamond Pro"/>
                <w:lang w:val="en-US"/>
              </w:rPr>
              <w:br/>
            </w:r>
            <w:r w:rsidR="004577B9" w:rsidRPr="00D87226">
              <w:rPr>
                <w:rFonts w:ascii="Adobe Garamond Pro" w:hAnsi="Adobe Garamond Pro"/>
                <w:lang w:val="en-US"/>
              </w:rPr>
              <w:lastRenderedPageBreak/>
              <w:t>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but rather exclusively remember the mistreatment that they tend to receive from people with corrupted souls,</w:t>
            </w:r>
            <w:r w:rsidR="00257D3A">
              <w:rPr>
                <w:rFonts w:ascii="Adobe Garamond Pro" w:hAnsi="Adobe Garamond Pro"/>
                <w:lang w:val="en-US"/>
              </w:rPr>
              <w:br/>
            </w:r>
            <w:r w:rsidR="004577B9" w:rsidRPr="00D87226">
              <w:rPr>
                <w:rFonts w:ascii="Adobe Garamond Pro" w:hAnsi="Adobe Garamond Pro"/>
                <w:lang w:val="en-US"/>
              </w:rPr>
              <w:lastRenderedPageBreak/>
              <w:t>who by their poor treatment cause great despair among these miserable ones; and so they blaspheme the 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257D3A">
              <w:rPr>
                <w:rFonts w:ascii="Adobe Garamond Pro" w:hAnsi="Adobe Garamond Pro"/>
                <w:lang w:val="en-US"/>
              </w:rPr>
              <w:br/>
            </w:r>
            <w:r w:rsidR="004577B9" w:rsidRPr="00D87226">
              <w:rPr>
                <w:rFonts w:ascii="Adobe Garamond Pro" w:hAnsi="Adobe Garamond Pro"/>
                <w:lang w:val="en-US"/>
              </w:rPr>
              <w:lastRenderedPageBreak/>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7D8F44C1" w:rsidR="00257D3A" w:rsidRDefault="00257D3A" w:rsidP="00F875FA">
      <w:pPr>
        <w:rPr>
          <w:rFonts w:ascii="Adobe Garamond Pro" w:hAnsi="Adobe Garamond Pro"/>
          <w:b/>
          <w:lang w:val="en-US"/>
        </w:rPr>
      </w:pPr>
    </w:p>
    <w:p w14:paraId="7C4DA93B" w14:textId="77777777" w:rsidR="00257D3A" w:rsidRDefault="00257D3A">
      <w:pPr>
        <w:rPr>
          <w:rFonts w:ascii="Adobe Garamond Pro" w:hAnsi="Adobe Garamond Pro"/>
          <w:b/>
          <w:lang w:val="en-US"/>
        </w:rPr>
      </w:pPr>
      <w:r>
        <w:rPr>
          <w:rFonts w:ascii="Adobe Garamond Pro" w:hAnsi="Adobe Garamond Pro"/>
          <w:b/>
          <w:lang w:val="en-US"/>
        </w:rPr>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E798" w14:textId="77777777" w:rsidR="00FE60C9" w:rsidRDefault="00FE60C9" w:rsidP="00742D7C">
      <w:r>
        <w:separator/>
      </w:r>
    </w:p>
  </w:endnote>
  <w:endnote w:type="continuationSeparator" w:id="0">
    <w:p w14:paraId="4F6E250C" w14:textId="77777777" w:rsidR="00FE60C9" w:rsidRDefault="00FE60C9"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B8D4" w14:textId="77777777" w:rsidR="00FE60C9" w:rsidRDefault="00FE60C9" w:rsidP="00742D7C">
      <w:r>
        <w:separator/>
      </w:r>
    </w:p>
  </w:footnote>
  <w:footnote w:type="continuationSeparator" w:id="0">
    <w:p w14:paraId="5E08ED1C" w14:textId="77777777" w:rsidR="00FE60C9" w:rsidRDefault="00FE60C9"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2">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3">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4">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7">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8">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9">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0">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1">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2">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3">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4">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5">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6">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7">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8">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9">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0">
    <w:p w14:paraId="2E30598E" w14:textId="77777777" w:rsidR="00C96122" w:rsidRPr="00EC7265" w:rsidRDefault="00C96122" w:rsidP="000A4AC5">
      <w:pPr>
        <w:pStyle w:val="Textodenotaderodap"/>
        <w:rPr>
          <w:rFonts w:ascii="Adobe Garamond Pro" w:hAnsi="Adobe Garamond Pro"/>
        </w:rPr>
      </w:pPr>
      <w:r w:rsidRPr="00EC7265">
        <w:rPr>
          <w:rStyle w:val="Refdenotaderodap"/>
          <w:rFonts w:ascii="Adobe Garamond Pro" w:hAnsi="Adobe Garamond Pro"/>
        </w:rPr>
        <w:footnoteRef/>
      </w:r>
      <w:r w:rsidRPr="00EC7265">
        <w:rPr>
          <w:rFonts w:ascii="Adobe Garamond Pro" w:hAnsi="Adobe Garamond Pro"/>
        </w:rPr>
        <w:t xml:space="preserve"> </w:t>
      </w:r>
      <w:hyperlink r:id="rId3" w:history="1">
        <w:r>
          <w:rPr>
            <w:rStyle w:val="Hyperlink"/>
            <w:rFonts w:ascii="Adobe Garamond Pro" w:hAnsi="Adobe Garamond Pro"/>
          </w:rPr>
          <w:t>T</w:t>
        </w:r>
        <w:r w:rsidRPr="00EC7265">
          <w:rPr>
            <w:rStyle w:val="Hyperlink"/>
            <w:rFonts w:ascii="Adobe Garamond Pro" w:hAnsi="Adobe Garamond Pro"/>
          </w:rPr>
          <w:t>equio</w:t>
        </w:r>
      </w:hyperlink>
      <w:r w:rsidRPr="00EC7265">
        <w:rPr>
          <w:rFonts w:ascii="Adobe Garamond Pro" w:hAnsi="Adobe Garamond Pro"/>
        </w:rPr>
        <w:t xml:space="preserve">, del náhuatl </w:t>
      </w:r>
      <w:r w:rsidRPr="00EC7265">
        <w:rPr>
          <w:rFonts w:ascii="Adobe Garamond Pro" w:hAnsi="Adobe Garamond Pro"/>
          <w:i/>
        </w:rPr>
        <w:t>tequitl</w:t>
      </w:r>
      <w:r w:rsidRPr="00EC7265">
        <w:rPr>
          <w:rFonts w:ascii="Adobe Garamond Pro" w:hAnsi="Adobe Garamond Pro"/>
        </w:rPr>
        <w:t xml:space="preserve"> 'tributo', 'trabajo'.</w:t>
      </w:r>
      <w:r>
        <w:rPr>
          <w:rFonts w:ascii="Adobe Garamond Pro" w:hAnsi="Adobe Garamond Pro"/>
        </w:rPr>
        <w:t xml:space="preserve"> </w:t>
      </w:r>
      <w:r w:rsidRPr="00EC7265">
        <w:rPr>
          <w:rFonts w:ascii="Adobe Garamond Pro" w:hAnsi="Adobe Garamond Pro"/>
        </w:rPr>
        <w:t>m. Méx. Tarea o faena que se realiza para pagar un tributo.</w:t>
      </w:r>
      <w:r>
        <w:rPr>
          <w:rFonts w:ascii="Adobe Garamond Pro" w:hAnsi="Adobe Garamond Pro"/>
        </w:rPr>
        <w:t xml:space="preserve"> (DLE/RAE)</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90664"/>
    <w:rsid w:val="0009225B"/>
    <w:rsid w:val="000A1460"/>
    <w:rsid w:val="000A415C"/>
    <w:rsid w:val="000A4AC5"/>
    <w:rsid w:val="000B6F7C"/>
    <w:rsid w:val="000C2C75"/>
    <w:rsid w:val="000D0188"/>
    <w:rsid w:val="000D6EC0"/>
    <w:rsid w:val="000E4451"/>
    <w:rsid w:val="000E4F57"/>
    <w:rsid w:val="000E6EEE"/>
    <w:rsid w:val="000F097B"/>
    <w:rsid w:val="000F0D11"/>
    <w:rsid w:val="000F7190"/>
    <w:rsid w:val="00101BC1"/>
    <w:rsid w:val="00103A44"/>
    <w:rsid w:val="00112B94"/>
    <w:rsid w:val="001137F3"/>
    <w:rsid w:val="001158A3"/>
    <w:rsid w:val="001169D9"/>
    <w:rsid w:val="001172D3"/>
    <w:rsid w:val="001227A1"/>
    <w:rsid w:val="00122B05"/>
    <w:rsid w:val="00124EDF"/>
    <w:rsid w:val="00133DF1"/>
    <w:rsid w:val="00140622"/>
    <w:rsid w:val="00144919"/>
    <w:rsid w:val="00156DEA"/>
    <w:rsid w:val="0016684C"/>
    <w:rsid w:val="00171009"/>
    <w:rsid w:val="00172554"/>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4B6B"/>
    <w:rsid w:val="0020768D"/>
    <w:rsid w:val="00215422"/>
    <w:rsid w:val="00216693"/>
    <w:rsid w:val="00245860"/>
    <w:rsid w:val="0025159E"/>
    <w:rsid w:val="002535F7"/>
    <w:rsid w:val="00257D3A"/>
    <w:rsid w:val="00263DBA"/>
    <w:rsid w:val="0027337F"/>
    <w:rsid w:val="002740E4"/>
    <w:rsid w:val="00290975"/>
    <w:rsid w:val="00297860"/>
    <w:rsid w:val="002A20AD"/>
    <w:rsid w:val="002B042F"/>
    <w:rsid w:val="002B25F3"/>
    <w:rsid w:val="002B3BC1"/>
    <w:rsid w:val="002D10C8"/>
    <w:rsid w:val="002D5828"/>
    <w:rsid w:val="002E2F27"/>
    <w:rsid w:val="002F1081"/>
    <w:rsid w:val="002F37D5"/>
    <w:rsid w:val="002F3C5C"/>
    <w:rsid w:val="002F6765"/>
    <w:rsid w:val="00305177"/>
    <w:rsid w:val="00312786"/>
    <w:rsid w:val="0031300A"/>
    <w:rsid w:val="00327117"/>
    <w:rsid w:val="003350E5"/>
    <w:rsid w:val="0034661D"/>
    <w:rsid w:val="00352628"/>
    <w:rsid w:val="003545CE"/>
    <w:rsid w:val="0035622B"/>
    <w:rsid w:val="003575E7"/>
    <w:rsid w:val="003725FA"/>
    <w:rsid w:val="00375866"/>
    <w:rsid w:val="00377392"/>
    <w:rsid w:val="003804E3"/>
    <w:rsid w:val="0038113B"/>
    <w:rsid w:val="00385A21"/>
    <w:rsid w:val="00386F50"/>
    <w:rsid w:val="00390D8D"/>
    <w:rsid w:val="00391276"/>
    <w:rsid w:val="003972C2"/>
    <w:rsid w:val="003A18BF"/>
    <w:rsid w:val="003A1CF5"/>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612C"/>
    <w:rsid w:val="004577B9"/>
    <w:rsid w:val="00460D73"/>
    <w:rsid w:val="00465553"/>
    <w:rsid w:val="00487C37"/>
    <w:rsid w:val="004936E8"/>
    <w:rsid w:val="004A0E9A"/>
    <w:rsid w:val="004A1F0A"/>
    <w:rsid w:val="004B2905"/>
    <w:rsid w:val="004B2BDA"/>
    <w:rsid w:val="004D0239"/>
    <w:rsid w:val="004D17E1"/>
    <w:rsid w:val="004D5BB3"/>
    <w:rsid w:val="004F3545"/>
    <w:rsid w:val="004F47EF"/>
    <w:rsid w:val="0050213D"/>
    <w:rsid w:val="00507B85"/>
    <w:rsid w:val="00510639"/>
    <w:rsid w:val="00510FFA"/>
    <w:rsid w:val="00511526"/>
    <w:rsid w:val="0051642A"/>
    <w:rsid w:val="00516805"/>
    <w:rsid w:val="00516F61"/>
    <w:rsid w:val="005225BB"/>
    <w:rsid w:val="00541AAE"/>
    <w:rsid w:val="00544FD5"/>
    <w:rsid w:val="00551558"/>
    <w:rsid w:val="00553F15"/>
    <w:rsid w:val="0055544E"/>
    <w:rsid w:val="00556868"/>
    <w:rsid w:val="00556D39"/>
    <w:rsid w:val="00557BD2"/>
    <w:rsid w:val="005632BD"/>
    <w:rsid w:val="00577115"/>
    <w:rsid w:val="00581551"/>
    <w:rsid w:val="0058599E"/>
    <w:rsid w:val="00595E5C"/>
    <w:rsid w:val="005977CC"/>
    <w:rsid w:val="005A784A"/>
    <w:rsid w:val="005B6372"/>
    <w:rsid w:val="005C038B"/>
    <w:rsid w:val="005C6CE1"/>
    <w:rsid w:val="005D0BDD"/>
    <w:rsid w:val="005E05AF"/>
    <w:rsid w:val="005E3660"/>
    <w:rsid w:val="005E57AF"/>
    <w:rsid w:val="005F20B4"/>
    <w:rsid w:val="005F6C7C"/>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68CC"/>
    <w:rsid w:val="006A53C0"/>
    <w:rsid w:val="006B0A62"/>
    <w:rsid w:val="006B1C9E"/>
    <w:rsid w:val="006B22C7"/>
    <w:rsid w:val="006C11D6"/>
    <w:rsid w:val="006C41E9"/>
    <w:rsid w:val="006C50A9"/>
    <w:rsid w:val="006C5C4C"/>
    <w:rsid w:val="006E17C7"/>
    <w:rsid w:val="006F1548"/>
    <w:rsid w:val="006F2462"/>
    <w:rsid w:val="006F6C28"/>
    <w:rsid w:val="006F7D41"/>
    <w:rsid w:val="00702839"/>
    <w:rsid w:val="007052AC"/>
    <w:rsid w:val="00715C06"/>
    <w:rsid w:val="007160F0"/>
    <w:rsid w:val="007205DA"/>
    <w:rsid w:val="00722F70"/>
    <w:rsid w:val="00741EC6"/>
    <w:rsid w:val="00742D7C"/>
    <w:rsid w:val="007437B9"/>
    <w:rsid w:val="00745C49"/>
    <w:rsid w:val="00747132"/>
    <w:rsid w:val="00752147"/>
    <w:rsid w:val="00760D30"/>
    <w:rsid w:val="007618C4"/>
    <w:rsid w:val="00762114"/>
    <w:rsid w:val="00774913"/>
    <w:rsid w:val="00774E2B"/>
    <w:rsid w:val="0078025F"/>
    <w:rsid w:val="00784297"/>
    <w:rsid w:val="007856A3"/>
    <w:rsid w:val="00792850"/>
    <w:rsid w:val="007A134F"/>
    <w:rsid w:val="007A4321"/>
    <w:rsid w:val="007A4DB3"/>
    <w:rsid w:val="007A6C5D"/>
    <w:rsid w:val="007B74AD"/>
    <w:rsid w:val="007C450D"/>
    <w:rsid w:val="007C4D35"/>
    <w:rsid w:val="007C625C"/>
    <w:rsid w:val="007C71E3"/>
    <w:rsid w:val="007E6D21"/>
    <w:rsid w:val="007E6F2B"/>
    <w:rsid w:val="007F4319"/>
    <w:rsid w:val="007F50A5"/>
    <w:rsid w:val="007F63D8"/>
    <w:rsid w:val="00805DB7"/>
    <w:rsid w:val="00811092"/>
    <w:rsid w:val="00811AE9"/>
    <w:rsid w:val="00811DEE"/>
    <w:rsid w:val="008169FB"/>
    <w:rsid w:val="00836CE2"/>
    <w:rsid w:val="00836D8F"/>
    <w:rsid w:val="0083779D"/>
    <w:rsid w:val="008527B6"/>
    <w:rsid w:val="00856790"/>
    <w:rsid w:val="00857231"/>
    <w:rsid w:val="008611A8"/>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31061"/>
    <w:rsid w:val="009369CD"/>
    <w:rsid w:val="0094562A"/>
    <w:rsid w:val="00945ACC"/>
    <w:rsid w:val="00945B63"/>
    <w:rsid w:val="00947332"/>
    <w:rsid w:val="00951EDB"/>
    <w:rsid w:val="00956B4A"/>
    <w:rsid w:val="00957546"/>
    <w:rsid w:val="00957A42"/>
    <w:rsid w:val="00957C60"/>
    <w:rsid w:val="0096169B"/>
    <w:rsid w:val="00963723"/>
    <w:rsid w:val="00966724"/>
    <w:rsid w:val="00982589"/>
    <w:rsid w:val="009918C3"/>
    <w:rsid w:val="0099525C"/>
    <w:rsid w:val="009A16A6"/>
    <w:rsid w:val="009A2CE2"/>
    <w:rsid w:val="009A4E42"/>
    <w:rsid w:val="009B2665"/>
    <w:rsid w:val="009B2EF4"/>
    <w:rsid w:val="009B3200"/>
    <w:rsid w:val="009C0065"/>
    <w:rsid w:val="009C00E0"/>
    <w:rsid w:val="009C085B"/>
    <w:rsid w:val="009C1D4E"/>
    <w:rsid w:val="009C3B2F"/>
    <w:rsid w:val="009C7590"/>
    <w:rsid w:val="009D2E48"/>
    <w:rsid w:val="009E0D5C"/>
    <w:rsid w:val="009F092C"/>
    <w:rsid w:val="009F2803"/>
    <w:rsid w:val="009F3B0E"/>
    <w:rsid w:val="009F4780"/>
    <w:rsid w:val="009F5E33"/>
    <w:rsid w:val="009F5F85"/>
    <w:rsid w:val="009F600A"/>
    <w:rsid w:val="00A10C81"/>
    <w:rsid w:val="00A12076"/>
    <w:rsid w:val="00A12A22"/>
    <w:rsid w:val="00A211EB"/>
    <w:rsid w:val="00A2175D"/>
    <w:rsid w:val="00A23B22"/>
    <w:rsid w:val="00A24860"/>
    <w:rsid w:val="00A2678E"/>
    <w:rsid w:val="00A30307"/>
    <w:rsid w:val="00A375B6"/>
    <w:rsid w:val="00A46E08"/>
    <w:rsid w:val="00A50D68"/>
    <w:rsid w:val="00A51910"/>
    <w:rsid w:val="00A53748"/>
    <w:rsid w:val="00A53754"/>
    <w:rsid w:val="00A728A3"/>
    <w:rsid w:val="00A74A14"/>
    <w:rsid w:val="00A9121B"/>
    <w:rsid w:val="00A91F0D"/>
    <w:rsid w:val="00A973EA"/>
    <w:rsid w:val="00AB2592"/>
    <w:rsid w:val="00AB33A0"/>
    <w:rsid w:val="00AB7DD0"/>
    <w:rsid w:val="00AC2776"/>
    <w:rsid w:val="00AC6A2B"/>
    <w:rsid w:val="00AD082C"/>
    <w:rsid w:val="00AD2984"/>
    <w:rsid w:val="00AD3413"/>
    <w:rsid w:val="00B025E5"/>
    <w:rsid w:val="00B06456"/>
    <w:rsid w:val="00B13A3B"/>
    <w:rsid w:val="00B17921"/>
    <w:rsid w:val="00B230C8"/>
    <w:rsid w:val="00B34ED6"/>
    <w:rsid w:val="00B3643B"/>
    <w:rsid w:val="00B43A72"/>
    <w:rsid w:val="00B50B09"/>
    <w:rsid w:val="00B513D8"/>
    <w:rsid w:val="00B5222A"/>
    <w:rsid w:val="00B53716"/>
    <w:rsid w:val="00B56CEA"/>
    <w:rsid w:val="00B64F45"/>
    <w:rsid w:val="00B67BF2"/>
    <w:rsid w:val="00B731A7"/>
    <w:rsid w:val="00B76207"/>
    <w:rsid w:val="00B768D3"/>
    <w:rsid w:val="00B81EB7"/>
    <w:rsid w:val="00B85536"/>
    <w:rsid w:val="00B87D53"/>
    <w:rsid w:val="00B9536E"/>
    <w:rsid w:val="00B9748D"/>
    <w:rsid w:val="00BA7B5B"/>
    <w:rsid w:val="00BB0302"/>
    <w:rsid w:val="00BB6BF1"/>
    <w:rsid w:val="00BD43D2"/>
    <w:rsid w:val="00BE07C5"/>
    <w:rsid w:val="00BE2222"/>
    <w:rsid w:val="00BF576E"/>
    <w:rsid w:val="00C10B78"/>
    <w:rsid w:val="00C12929"/>
    <w:rsid w:val="00C137D4"/>
    <w:rsid w:val="00C21CF6"/>
    <w:rsid w:val="00C22AB2"/>
    <w:rsid w:val="00C27E35"/>
    <w:rsid w:val="00C41751"/>
    <w:rsid w:val="00C442AE"/>
    <w:rsid w:val="00C44C59"/>
    <w:rsid w:val="00C4613D"/>
    <w:rsid w:val="00C51166"/>
    <w:rsid w:val="00C56106"/>
    <w:rsid w:val="00C616E9"/>
    <w:rsid w:val="00C62974"/>
    <w:rsid w:val="00C65CAE"/>
    <w:rsid w:val="00C76116"/>
    <w:rsid w:val="00C76C1F"/>
    <w:rsid w:val="00C76C30"/>
    <w:rsid w:val="00C91A89"/>
    <w:rsid w:val="00C94E2F"/>
    <w:rsid w:val="00C96122"/>
    <w:rsid w:val="00C979F7"/>
    <w:rsid w:val="00CA58B3"/>
    <w:rsid w:val="00CB0A38"/>
    <w:rsid w:val="00CB3E1F"/>
    <w:rsid w:val="00CC143A"/>
    <w:rsid w:val="00CC24FE"/>
    <w:rsid w:val="00CC6A8E"/>
    <w:rsid w:val="00CD00D7"/>
    <w:rsid w:val="00CD1646"/>
    <w:rsid w:val="00CE1B85"/>
    <w:rsid w:val="00CE6396"/>
    <w:rsid w:val="00CE6701"/>
    <w:rsid w:val="00CF259F"/>
    <w:rsid w:val="00CF75A8"/>
    <w:rsid w:val="00CF7B05"/>
    <w:rsid w:val="00D04FD9"/>
    <w:rsid w:val="00D13FB9"/>
    <w:rsid w:val="00D2086B"/>
    <w:rsid w:val="00D26FE4"/>
    <w:rsid w:val="00D329F4"/>
    <w:rsid w:val="00D333D7"/>
    <w:rsid w:val="00D3518F"/>
    <w:rsid w:val="00D44046"/>
    <w:rsid w:val="00D4493C"/>
    <w:rsid w:val="00D54865"/>
    <w:rsid w:val="00D60A4C"/>
    <w:rsid w:val="00D70163"/>
    <w:rsid w:val="00D71E77"/>
    <w:rsid w:val="00D74EE7"/>
    <w:rsid w:val="00D81B38"/>
    <w:rsid w:val="00D862E3"/>
    <w:rsid w:val="00D8675C"/>
    <w:rsid w:val="00D87226"/>
    <w:rsid w:val="00DA76F2"/>
    <w:rsid w:val="00DB0206"/>
    <w:rsid w:val="00DB20D6"/>
    <w:rsid w:val="00DB5AE7"/>
    <w:rsid w:val="00DC2974"/>
    <w:rsid w:val="00DC797A"/>
    <w:rsid w:val="00DF0421"/>
    <w:rsid w:val="00DF1535"/>
    <w:rsid w:val="00DF38C1"/>
    <w:rsid w:val="00DF6F86"/>
    <w:rsid w:val="00E01CA1"/>
    <w:rsid w:val="00E040FE"/>
    <w:rsid w:val="00E067DB"/>
    <w:rsid w:val="00E07F84"/>
    <w:rsid w:val="00E1525E"/>
    <w:rsid w:val="00E213FD"/>
    <w:rsid w:val="00E22DEC"/>
    <w:rsid w:val="00E2692E"/>
    <w:rsid w:val="00E26B72"/>
    <w:rsid w:val="00E31075"/>
    <w:rsid w:val="00E33214"/>
    <w:rsid w:val="00E50456"/>
    <w:rsid w:val="00E53586"/>
    <w:rsid w:val="00E55EDD"/>
    <w:rsid w:val="00E631FD"/>
    <w:rsid w:val="00E67100"/>
    <w:rsid w:val="00E70756"/>
    <w:rsid w:val="00E72A68"/>
    <w:rsid w:val="00E745C2"/>
    <w:rsid w:val="00E74921"/>
    <w:rsid w:val="00E84E73"/>
    <w:rsid w:val="00E9288E"/>
    <w:rsid w:val="00E92A3E"/>
    <w:rsid w:val="00EA13E7"/>
    <w:rsid w:val="00EA6AB5"/>
    <w:rsid w:val="00EB05E2"/>
    <w:rsid w:val="00EB4506"/>
    <w:rsid w:val="00EB662E"/>
    <w:rsid w:val="00EB792E"/>
    <w:rsid w:val="00EC0CA6"/>
    <w:rsid w:val="00EC2AF5"/>
    <w:rsid w:val="00ED1992"/>
    <w:rsid w:val="00ED2D49"/>
    <w:rsid w:val="00ED44E3"/>
    <w:rsid w:val="00ED4DE7"/>
    <w:rsid w:val="00ED7534"/>
    <w:rsid w:val="00EE3358"/>
    <w:rsid w:val="00EE5138"/>
    <w:rsid w:val="00EF3B6B"/>
    <w:rsid w:val="00F0033F"/>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B99"/>
    <w:rsid w:val="00F62F3F"/>
    <w:rsid w:val="00F80503"/>
    <w:rsid w:val="00F82026"/>
    <w:rsid w:val="00F875FA"/>
    <w:rsid w:val="00F935B3"/>
    <w:rsid w:val="00F944DE"/>
    <w:rsid w:val="00FA2578"/>
    <w:rsid w:val="00FA2E67"/>
    <w:rsid w:val="00FA4488"/>
    <w:rsid w:val="00FA72DA"/>
    <w:rsid w:val="00FB2CB4"/>
    <w:rsid w:val="00FC1A8B"/>
    <w:rsid w:val="00FE5EB1"/>
    <w:rsid w:val="00FE6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le.rae.es/?id=ZWX2hAv" TargetMode="External"/><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6EDC-72D0-574E-B264-63EB62EF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7351</Words>
  <Characters>39697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7</cp:revision>
  <cp:lastPrinted>2019-04-22T22:31:00Z</cp:lastPrinted>
  <dcterms:created xsi:type="dcterms:W3CDTF">2019-04-22T22:29:00Z</dcterms:created>
  <dcterms:modified xsi:type="dcterms:W3CDTF">2019-04-22T22:45:00Z</dcterms:modified>
</cp:coreProperties>
</file>