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rPr>
          <w:u w:val="single"/>
        </w:rPr>
      </w:pPr>
      <w:r>
        <w:rPr>
          <w:u w:val="single"/>
          <w:rtl w:val="0"/>
          <w:lang w:val="en-US" w:bidi="en-US" w:eastAsia="en-US"/>
        </w:rPr>
        <w:t xml:space="preserve">JAX </w:t>
      </w:r>
      <w:r>
        <w:rPr>
          <w:u w:val="single"/>
          <w:rtl w:val="0"/>
          <w:lang w:val="en-US" w:bidi="en-US" w:eastAsia="en-US"/>
        </w:rPr>
        <w:t xml:space="preserve">RomeroNNV Model Implmentation </w:t>
      </w:r>
      <w:r>
        <w:rPr>
          <w:u w:val="single"/>
          <w:rtl w:val="0"/>
          <w:lang w:val="en-US" w:bidi="en-US" w:eastAsia="en-US"/>
        </w:rPr>
        <w:t>M</w:t>
      </w:r>
      <w:r>
        <w:rPr>
          <w:u w:val="single"/>
          <w:rtl w:val="0"/>
          <w:lang w:val="en-US" w:bidi="en-US" w:eastAsia="en-US"/>
        </w:rPr>
        <w:t>ethods</w:t>
      </w:r>
    </w:p>
    <w:p/>
    <w:p>
      <w:r>
        <w:t>We recreated a hybrid neural ordinary differential equation model based on the RomeroNNV formulation described by Wang. The model represents the plasma state as</w:t>
      </w:r>
    </w:p>
    <w:p>
      <m:oMathPara xmlns:m="http://schemas.openxmlformats.org/officeDocument/2006/math">
        <m:oMathParaPr>
          <m:jc m:val="centerGroup"/>
        </m:oMathParaPr>
        <m:oMath>
          <m:r>
            <m:rPr>
              <m:scr m:val="roman"/>
              <m:sty m:val="i"/>
            </m:rPr>
            <m:t>x</m:t>
          </m:r>
          <m:d>
            <m:dPr>
              <m:ctrlPr>
                <w:rPr>
                  <w:rFonts w:ascii="Cambria Math" w:hAnsi="Cambria Math"/>
                  <w:i w:val="1"/>
                </w:rPr>
              </m:ctrlPr>
              <m:shp m:val="centered"/>
            </m:dPr>
            <m:e>
              <m:argPr>
                <m:argSz m:val="0"/>
              </m:argPr>
              <m:r>
                <m:rPr>
                  <m:scr m:val="roman"/>
                  <m:sty m:val="i"/>
                </m:rPr>
                <m:t>t</m:t>
              </m:r>
            </m:e>
          </m:d>
          <m:r>
            <m:rPr>
              <m:scr m:val="roman"/>
              <m:sty m:val="i"/>
            </m:rPr>
            <m:t>=</m:t>
          </m:r>
          <m:d>
            <m:dPr>
              <m:ctrlPr>
                <w:rPr>
                  <w:rFonts w:ascii="Cambria Math" w:hAnsi="Cambria Math"/>
                  <w:i w:val="1"/>
                </w:rPr>
              </m:ctrlPr>
              <m:begChr m:val="["/>
              <m:endChr m:val="]"/>
              <m:shp m:val="centered"/>
            </m:dPr>
            <m:e>
              <m:argPr>
                <m:argSz m:val="0"/>
              </m:argPr>
              <m:sSub>
                <m:sSubPr>
                  <m:ctrlPr>
                    <w:rPr>
                      <w:rFonts w:ascii="Cambria Math" w:hAnsi="Cambria Math"/>
                      <w:i w:val="1"/>
                    </w:rPr>
                  </m:ctrlPr>
                </m:sSubPr>
                <m:e>
                  <m:argPr>
                    <m:argSz m:val="0"/>
                  </m:argPr>
                  <m:r>
                    <m:rPr>
                      <m:scr m:val="roman"/>
                      <m:sty m:val="i"/>
                    </m:rPr>
                    <m:t>l</m:t>
                  </m:r>
                </m:e>
                <m:sub>
                  <m:argPr>
                    <m:argSz m:val="0"/>
                  </m:argPr>
                  <m:r>
                    <m:rPr>
                      <m:scr m:val="roman"/>
                      <m:sty m:val="i"/>
                    </m:rPr>
                    <m:t>i</m:t>
                  </m:r>
                </m:sub>
              </m:sSub>
              <m:d>
                <m:dPr>
                  <m:ctrlPr>
                    <w:rPr>
                      <w:rFonts w:ascii="Cambria Math" w:hAnsi="Cambria Math"/>
                      <w:i w:val="1"/>
                    </w:rPr>
                  </m:ctrlPr>
                  <m:shp m:val="centered"/>
                </m:dPr>
                <m:e>
                  <m:argPr>
                    <m:argSz m:val="0"/>
                  </m:argPr>
                  <m:r>
                    <m:rPr>
                      <m:scr m:val="roman"/>
                      <m:sty m:val="i"/>
                    </m:rPr>
                    <m:t>t</m:t>
                  </m:r>
                </m:e>
              </m:d>
              <m:r>
                <m:rPr>
                  <m:scr m:val="roman"/>
                  <m:sty m:val="i"/>
                </m:rPr>
                <m:t>,</m:t>
              </m:r>
              <m:sSub>
                <m:sSubPr>
                  <m:ctrlPr>
                    <w:rPr>
                      <w:rFonts w:ascii="Cambria Math" w:hAnsi="Cambria Math"/>
                      <w:i w:val="1"/>
                    </w:rPr>
                  </m:ctrlPr>
                </m:sSubPr>
                <m:e>
                  <m:argPr>
                    <m:argSz m:val="0"/>
                  </m:argPr>
                  <m:r>
                    <m:rPr>
                      <m:scr m:val="roman"/>
                      <m:sty m:val="i"/>
                    </m:rPr>
                    <m:t>I</m:t>
                  </m:r>
                </m:e>
                <m:sub>
                  <m:argPr>
                    <m:argSz m:val="0"/>
                  </m:argPr>
                  <m:r>
                    <m:rPr>
                      <m:scr m:val="roman"/>
                      <m:sty m:val="i"/>
                    </m:rPr>
                    <m:t>p</m:t>
                  </m:r>
                </m:sub>
              </m:sSub>
              <m:d>
                <m:dPr>
                  <m:ctrlPr>
                    <w:rPr>
                      <w:rFonts w:ascii="Cambria Math" w:hAnsi="Cambria Math"/>
                      <w:i w:val="1"/>
                    </w:rPr>
                  </m:ctrlPr>
                  <m:shp m:val="centered"/>
                </m:dPr>
                <m:e>
                  <m:argPr>
                    <m:argSz m:val="0"/>
                  </m:argPr>
                  <m:r>
                    <m:rPr>
                      <m:scr m:val="roman"/>
                      <m:sty m:val="i"/>
                    </m:rPr>
                    <m:t>t</m:t>
                  </m:r>
                </m:e>
              </m:d>
              <m:r>
                <m:rPr>
                  <m:scr m:val="roman"/>
                  <m:sty m:val="i"/>
                </m:rPr>
                <m:t>,V</m:t>
              </m:r>
              <m:d>
                <m:dPr>
                  <m:ctrlPr>
                    <w:rPr>
                      <w:rFonts w:ascii="Cambria Math" w:hAnsi="Cambria Math"/>
                      <w:i w:val="1"/>
                    </w:rPr>
                  </m:ctrlPr>
                  <m:shp m:val="centered"/>
                </m:dPr>
                <m:e>
                  <m:argPr>
                    <m:argSz m:val="0"/>
                  </m:argPr>
                  <m:r>
                    <m:rPr>
                      <m:scr m:val="roman"/>
                      <m:sty m:val="i"/>
                    </m:rPr>
                    <m:t>t</m:t>
                  </m:r>
                </m:e>
              </m:d>
            </m:e>
          </m:d>
        </m:oMath>
      </m:oMathPara>
    </w:p>
    <w:p>
      <w:r>
        <w:t xml:space="preserve">Where </w:t>
      </w:r>
      <m:oMathPara xmlns:m="http://schemas.openxmlformats.org/officeDocument/2006/math">
        <m:oMath>
          <m:sSub>
            <m:sSubPr>
              <m:ctrlPr>
                <w:rPr>
                  <w:rFonts w:ascii="Cambria Math" w:hAnsi="Cambria Math"/>
                  <w:i w:val="1"/>
                </w:rPr>
              </m:ctrlPr>
            </m:sSubPr>
            <m:e>
              <m:argPr>
                <m:argSz m:val="0"/>
              </m:argPr>
              <m:r>
                <m:rPr>
                  <m:scr m:val="roman"/>
                  <m:sty m:val="i"/>
                </m:rPr>
                <m:t>l</m:t>
              </m:r>
            </m:e>
            <m:sub>
              <m:argPr>
                <m:argSz m:val="0"/>
              </m:argPr>
              <m:r>
                <m:rPr>
                  <m:scr m:val="roman"/>
                  <m:sty m:val="i"/>
                </m:rPr>
                <m:t>i</m:t>
              </m:r>
            </m:sub>
          </m:sSub>
        </m:oMath>
      </m:oMathPara>
      <w:r>
        <w:t xml:space="preserve"> is the internal inductance, </w:t>
      </w:r>
      <m:oMathPara xmlns:m="http://schemas.openxmlformats.org/officeDocument/2006/math">
        <m:oMath>
          <m:sSub>
            <m:sSubPr>
              <m:ctrlPr>
                <w:rPr>
                  <w:rFonts w:ascii="Cambria Math" w:hAnsi="Cambria Math"/>
                  <w:i w:val="1"/>
                </w:rPr>
              </m:ctrlPr>
            </m:sSubPr>
            <m:e>
              <m:argPr>
                <m:argSz m:val="0"/>
              </m:argPr>
              <m:r>
                <m:rPr>
                  <m:scr m:val="roman"/>
                  <m:sty m:val="i"/>
                </m:rPr>
                <m:t>I</m:t>
              </m:r>
            </m:e>
            <m:sub>
              <m:argPr>
                <m:argSz m:val="0"/>
              </m:argPr>
              <m:r>
                <m:rPr>
                  <m:scr m:val="roman"/>
                  <m:sty m:val="i"/>
                </m:rPr>
                <m:t>p</m:t>
              </m:r>
            </m:sub>
          </m:sSub>
        </m:oMath>
      </m:oMathPara>
      <w:r>
        <w:t xml:space="preserve"> is the plasma current in mega-amperes, and </w:t>
      </w:r>
      <m:oMathPara xmlns:m="http://schemas.openxmlformats.org/officeDocument/2006/math">
        <m:oMath>
          <m:r>
            <m:rPr>
              <m:scr m:val="roman"/>
              <m:sty m:val="i"/>
            </m:rPr>
            <m:t>V=</m:t>
          </m:r>
          <m:sSub>
            <m:sSubPr>
              <m:ctrlPr>
                <w:rPr>
                  <w:rFonts w:ascii="Cambria Math" w:hAnsi="Cambria Math"/>
                  <w:i w:val="1"/>
                </w:rPr>
              </m:ctrlPr>
            </m:sSubPr>
            <m:e>
              <m:argPr>
                <m:argSz m:val="0"/>
              </m:argPr>
              <m:r>
                <m:rPr>
                  <m:scr m:val="roman"/>
                  <m:sty m:val="i"/>
                </m:rPr>
                <m:t>V</m:t>
              </m:r>
            </m:e>
            <m:sub>
              <m:argPr>
                <m:argSz m:val="0"/>
              </m:argPr>
              <m:r>
                <m:rPr>
                  <m:scr m:val="roman"/>
                  <m:sty m:val="i"/>
                </m:rPr>
                <m:t>c</m:t>
              </m:r>
            </m:sub>
          </m:sSub>
          <m:r>
            <m:rPr>
              <m:scr m:val="roman"/>
              <m:sty m:val="i"/>
            </m:rPr>
            <m:t>-</m:t>
          </m:r>
          <m:sSub>
            <m:sSubPr>
              <m:ctrlPr>
                <w:rPr>
                  <w:rFonts w:ascii="Cambria Math" w:hAnsi="Cambria Math"/>
                  <w:i w:val="1"/>
                </w:rPr>
              </m:ctrlPr>
            </m:sSubPr>
            <m:e>
              <m:argPr>
                <m:argSz m:val="0"/>
              </m:argPr>
              <m:r>
                <m:rPr>
                  <m:scr m:val="roman"/>
                  <m:sty m:val="i"/>
                </m:rPr>
                <m:t>V</m:t>
              </m:r>
            </m:e>
            <m:sub>
              <m:argPr>
                <m:argSz m:val="0"/>
              </m:argPr>
              <m:r>
                <m:rPr>
                  <m:scr m:val="roman"/>
                  <m:sty m:val="i"/>
                </m:rPr>
                <m:t>b</m:t>
              </m:r>
            </m:sub>
          </m:sSub>
        </m:oMath>
      </m:oMathPara>
      <w:r>
        <w:t xml:space="preserve"> is the internal voltage-like state. The external control input was the inductive drive signal </w:t>
      </w:r>
      <m:oMathPara xmlns:m="http://schemas.openxmlformats.org/officeDocument/2006/math">
        <m:oMath>
          <m:sSub>
            <m:sSubPr>
              <m:ctrlPr>
                <w:rPr>
                  <w:rFonts w:ascii="Cambria Math" w:hAnsi="Cambria Math"/>
                  <w:i w:val="1"/>
                </w:rPr>
              </m:ctrlPr>
            </m:sSubPr>
            <m:e>
              <m:argPr>
                <m:argSz m:val="0"/>
              </m:argPr>
              <m:r>
                <m:rPr>
                  <m:scr m:val="roman"/>
                  <m:sty m:val="i"/>
                </m:rPr>
                <m:t>V</m:t>
              </m:r>
            </m:e>
            <m:sub>
              <m:argPr>
                <m:argSz m:val="0"/>
              </m:argPr>
              <m:r>
                <m:rPr>
                  <m:scr m:val="roman"/>
                  <m:sty m:val="i"/>
                </m:rPr>
                <m:t>ind</m:t>
              </m:r>
            </m:sub>
          </m:sSub>
        </m:oMath>
      </m:oMathPara>
      <w:r>
        <w:t xml:space="preserve">, corresponding to </w:t>
      </w:r>
      <m:oMathPara xmlns:m="http://schemas.openxmlformats.org/officeDocument/2006/math">
        <m:oMath>
          <m:sSub>
            <m:sSubPr>
              <m:ctrlPr>
                <w:rPr>
                  <w:rFonts w:ascii="Cambria Math" w:hAnsi="Cambria Math"/>
                  <w:i w:val="1"/>
                </w:rPr>
              </m:ctrlPr>
            </m:sSubPr>
            <m:e>
              <m:argPr>
                <m:argSz m:val="0"/>
              </m:argPr>
              <m:r>
                <m:rPr>
                  <m:scr m:val="roman"/>
                  <m:sty m:val="i"/>
                </m:rPr>
                <m:t>V</m:t>
              </m:r>
            </m:e>
            <m:sub>
              <m:argPr>
                <m:argSz m:val="0"/>
              </m:argPr>
              <m:r>
                <m:rPr>
                  <m:scr m:val="roman"/>
                  <m:sty m:val="i"/>
                </m:rPr>
                <m:t>ind</m:t>
              </m:r>
            </m:sub>
          </m:sSub>
          <m:r>
            <m:rPr>
              <m:scr m:val="roman"/>
              <m:sty m:val="i"/>
            </m:rPr>
            <m:t>=</m:t>
          </m:r>
          <m:sSub>
            <m:sSubPr>
              <m:ctrlPr>
                <w:rPr>
                  <w:rFonts w:ascii="Cambria Math" w:hAnsi="Cambria Math"/>
                  <w:i w:val="1"/>
                </w:rPr>
              </m:ctrlPr>
            </m:sSubPr>
            <m:e>
              <m:argPr>
                <m:argSz m:val="0"/>
              </m:argPr>
              <m:r>
                <m:rPr>
                  <m:scr m:val="roman"/>
                  <m:sty m:val="i"/>
                </m:rPr>
                <m:t>V</m:t>
              </m:r>
            </m:e>
            <m:sub>
              <m:argPr>
                <m:argSz m:val="0"/>
              </m:argPr>
              <m:r>
                <m:rPr>
                  <m:scr m:val="roman"/>
                  <m:sty m:val="i"/>
                </m:rPr>
                <m:t>b</m:t>
              </m:r>
            </m:sub>
          </m:sSub>
          <m:r>
            <m:rPr>
              <m:scr m:val="roman"/>
              <m:sty m:val="i"/>
            </m:rPr>
            <m:t>-</m:t>
          </m:r>
          <m:sSub>
            <m:sSubPr>
              <m:ctrlPr>
                <w:rPr>
                  <w:rFonts w:ascii="Cambria Math" w:hAnsi="Cambria Math"/>
                  <w:i w:val="1"/>
                </w:rPr>
              </m:ctrlPr>
            </m:sSubPr>
            <m:e>
              <m:argPr>
                <m:argSz m:val="0"/>
              </m:argPr>
              <m:r>
                <m:rPr>
                  <m:scr m:val="roman"/>
                  <m:sty m:val="i"/>
                </m:rPr>
                <m:t>V</m:t>
              </m:r>
            </m:e>
            <m:sub>
              <m:argPr>
                <m:argSz m:val="0"/>
              </m:argPr>
              <m:r>
                <m:rPr>
                  <m:scr m:val="roman"/>
                  <m:sty m:val="i"/>
                </m:rPr>
                <m:t>r</m:t>
              </m:r>
            </m:sub>
          </m:sSub>
        </m:oMath>
      </m:oMathPara>
      <w:r>
        <w:t>.</w:t>
      </w:r>
    </w:p>
    <w:p/>
    <w:p>
      <w:r>
        <w:t xml:space="preserve">The model preserves the analytic Romero physics for the internal inductance and plasma-current dynamics, while replacing the analytic voltage-state equation with a neural network approximation. Specifically, the derivatives of </w:t>
      </w:r>
      <m:oMathPara xmlns:m="http://schemas.openxmlformats.org/officeDocument/2006/math">
        <m:oMath>
          <m:sSub>
            <m:sSubPr>
              <m:ctrlPr>
                <w:rPr>
                  <w:rFonts w:ascii="Cambria Math" w:hAnsi="Cambria Math"/>
                  <w:i w:val="1"/>
                </w:rPr>
              </m:ctrlPr>
            </m:sSubPr>
            <m:e>
              <m:argPr>
                <m:argSz m:val="0"/>
              </m:argPr>
              <m:r>
                <m:rPr>
                  <m:scr m:val="roman"/>
                  <m:sty m:val="i"/>
                </m:rPr>
                <m:t>l</m:t>
              </m:r>
            </m:e>
            <m:sub>
              <m:argPr>
                <m:argSz m:val="0"/>
              </m:argPr>
              <m:r>
                <m:rPr>
                  <m:scr m:val="roman"/>
                  <m:sty m:val="i"/>
                </m:rPr>
                <m:t>i</m:t>
              </m:r>
            </m:sub>
          </m:sSub>
        </m:oMath>
      </m:oMathPara>
      <w:r>
        <w:t xml:space="preserve"> and </w:t>
      </w:r>
      <m:oMathPara xmlns:m="http://schemas.openxmlformats.org/officeDocument/2006/math">
        <m:oMath>
          <m:sSub>
            <m:sSubPr>
              <m:ctrlPr>
                <w:rPr>
                  <w:rFonts w:ascii="Cambria Math" w:hAnsi="Cambria Math"/>
                  <w:i w:val="1"/>
                </w:rPr>
              </m:ctrlPr>
            </m:sSubPr>
            <m:e>
              <m:argPr>
                <m:argSz m:val="0"/>
              </m:argPr>
              <m:r>
                <m:rPr>
                  <m:scr m:val="roman"/>
                  <m:sty m:val="i"/>
                </m:rPr>
                <m:t>I</m:t>
              </m:r>
            </m:e>
            <m:sub>
              <m:argPr>
                <m:argSz m:val="0"/>
              </m:argPr>
              <m:r>
                <m:rPr>
                  <m:scr m:val="roman"/>
                  <m:sty m:val="i"/>
                </m:rPr>
                <m:t>p</m:t>
              </m:r>
            </m:sub>
          </m:sSub>
        </m:oMath>
      </m:oMathPara>
      <w:r>
        <w:t xml:space="preserve"> were computed as</w:t>
      </w:r>
    </w:p>
    <w:p>
      <m:oMathPara xmlns:m="http://schemas.openxmlformats.org/officeDocument/2006/math">
        <m:oMathParaPr>
          <m:jc m:val="centerGroup"/>
        </m:oMathParaPr>
        <m:oMath>
          <m:sSub>
            <m:sSubPr>
              <m:ctrlPr>
                <w:rPr>
                  <w:rFonts w:ascii="Cambria Math" w:hAnsi="Cambria Math"/>
                  <w:i w:val="1"/>
                </w:rPr>
              </m:ctrlPr>
            </m:sSubPr>
            <m:e>
              <m:argPr>
                <m:argSz m:val="0"/>
              </m:argPr>
              <m:acc>
                <m:accPr>
                  <m:chr m:val="̇"/>
                  <m:ctrlPr>
                    <w:rPr>
                      <w:rFonts w:ascii="Cambria Math" w:hAnsi="Cambria Math"/>
                      <w:i w:val="1"/>
                    </w:rPr>
                  </m:ctrlPr>
                </m:accPr>
                <m:e>
                  <m:argPr>
                    <m:argSz m:val="0"/>
                  </m:argPr>
                  <m:r>
                    <m:rPr>
                      <m:scr m:val="roman"/>
                      <m:sty m:val="i"/>
                    </m:rPr>
                    <m:t>l</m:t>
                  </m:r>
                </m:e>
              </m:acc>
            </m:e>
            <m:sub>
              <m:argPr>
                <m:argSz m:val="0"/>
              </m:argPr>
              <m:r>
                <m:rPr>
                  <m:scr m:val="roman"/>
                  <m:sty m:val="i"/>
                </m:rPr>
                <m:t>i</m:t>
              </m:r>
            </m:sub>
          </m:sSub>
          <m:r>
            <m:rPr>
              <m:scr m:val="roman"/>
              <m:sty m:val="i"/>
            </m:rPr>
            <m:t>=</m:t>
          </m:r>
          <m:sSub>
            <m:sSubPr>
              <m:ctrlPr>
                <w:rPr>
                  <w:rFonts w:ascii="Cambria Math" w:hAnsi="Cambria Math"/>
                  <w:i w:val="1"/>
                </w:rPr>
              </m:ctrlPr>
            </m:sSubPr>
            <m:e>
              <m:argPr>
                <m:argSz m:val="0"/>
              </m:argPr>
              <m:r>
                <m:rPr>
                  <m:scr m:val="roman"/>
                  <m:sty m:val="i"/>
                </m:rPr>
                <m:t>α</m:t>
              </m:r>
            </m:e>
            <m:sub>
              <m:argPr>
                <m:argSz m:val="0"/>
              </m:argPr>
              <m:sSub>
                <m:sSubPr>
                  <m:ctrlPr>
                    <w:rPr>
                      <w:rFonts w:ascii="Cambria Math" w:hAnsi="Cambria Math"/>
                      <w:i w:val="1"/>
                    </w:rPr>
                  </m:ctrlPr>
                </m:sSubPr>
                <m:e>
                  <m:argPr>
                    <m:argSz m:val="0"/>
                  </m:argPr>
                  <m:r>
                    <m:rPr>
                      <m:scr m:val="roman"/>
                      <m:sty m:val="i"/>
                    </m:rPr>
                    <m:t>l</m:t>
                  </m:r>
                </m:e>
                <m:sub>
                  <m:argPr>
                    <m:argSz m:val="0"/>
                  </m:argPr>
                  <m:r>
                    <m:rPr>
                      <m:scr m:val="roman"/>
                      <m:sty m:val="i"/>
                    </m:rPr>
                    <m:t>i</m:t>
                  </m:r>
                </m:sub>
              </m:sSub>
            </m:sub>
          </m:sSub>
          <m:r>
            <m:rPr>
              <m:scr m:val="roman"/>
              <m:sty m:val="i"/>
            </m:rPr>
            <m:t>∙</m:t>
          </m:r>
          <m:f>
            <m:fPr>
              <m:ctrlPr>
                <w:rPr>
                  <w:rFonts w:ascii="Cambria Math" w:hAnsi="Cambria Math"/>
                  <w:i w:val="1"/>
                </w:rPr>
              </m:ctrlPr>
              <m:type m:val="bar"/>
            </m:fPr>
            <m:num>
              <m:argPr>
                <m:argSz m:val="0"/>
              </m:argPr>
              <m:r>
                <m:rPr>
                  <m:scr m:val="roman"/>
                  <m:sty m:val="i"/>
                </m:rPr>
                <m:t>-2</m:t>
              </m:r>
              <m:sSub>
                <m:sSubPr>
                  <m:ctrlPr>
                    <w:rPr>
                      <w:rFonts w:ascii="Cambria Math" w:hAnsi="Cambria Math"/>
                      <w:i w:val="1"/>
                    </w:rPr>
                  </m:ctrlPr>
                </m:sSubPr>
                <m:e>
                  <m:argPr>
                    <m:argSz m:val="0"/>
                  </m:argPr>
                  <m:r>
                    <m:rPr>
                      <m:scr m:val="roman"/>
                      <m:sty m:val="i"/>
                    </m:rPr>
                    <m:t>V</m:t>
                  </m:r>
                </m:e>
                <m:sub>
                  <m:argPr>
                    <m:argSz m:val="0"/>
                  </m:argPr>
                  <m:r>
                    <m:rPr>
                      <m:scr m:val="roman"/>
                      <m:sty m:val="i"/>
                    </m:rPr>
                    <m:t>ind</m:t>
                  </m:r>
                </m:sub>
              </m:sSub>
              <m:r>
                <m:rPr>
                  <m:scr m:val="roman"/>
                  <m:sty m:val="i"/>
                </m:rPr>
                <m:t>-2V</m:t>
              </m:r>
            </m:num>
            <m:den>
              <m:argPr>
                <m:argSz m:val="0"/>
              </m:argPr>
              <m:r>
                <m:rPr>
                  <m:scr m:val="roman"/>
                  <m:sty m:val="i"/>
                </m:rPr>
                <m:t>C∙</m:t>
              </m:r>
              <m:sSub>
                <m:sSubPr>
                  <m:ctrlPr>
                    <w:rPr>
                      <w:rFonts w:ascii="Cambria Math" w:hAnsi="Cambria Math"/>
                      <w:i w:val="1"/>
                    </w:rPr>
                  </m:ctrlPr>
                </m:sSubPr>
                <m:e>
                  <m:argPr>
                    <m:argSz m:val="0"/>
                  </m:argPr>
                  <m:r>
                    <m:rPr>
                      <m:scr m:val="roman"/>
                      <m:sty m:val="i"/>
                    </m:rPr>
                    <m:t>I</m:t>
                  </m:r>
                </m:e>
                <m:sub>
                  <m:argPr>
                    <m:argSz m:val="0"/>
                  </m:argPr>
                  <m:r>
                    <m:rPr>
                      <m:scr m:val="roman"/>
                      <m:sty m:val="i"/>
                    </m:rPr>
                    <m:t>p</m:t>
                  </m:r>
                </m:sub>
              </m:sSub>
            </m:den>
          </m:f>
        </m:oMath>
      </m:oMathPara>
    </w:p>
    <w:p>
      <m:oMathPara xmlns:m="http://schemas.openxmlformats.org/officeDocument/2006/math">
        <m:oMathParaPr>
          <m:jc m:val="centerGroup"/>
        </m:oMathParaPr>
        <m:oMath>
          <m:sSub>
            <m:sSubPr>
              <m:ctrlPr>
                <w:rPr>
                  <w:rFonts w:ascii="Cambria Math" w:hAnsi="Cambria Math"/>
                  <w:i w:val="1"/>
                </w:rPr>
              </m:ctrlPr>
            </m:sSubPr>
            <m:e>
              <m:argPr>
                <m:argSz m:val="0"/>
              </m:argPr>
              <m:acc>
                <m:accPr>
                  <m:chr m:val="̇"/>
                  <m:ctrlPr>
                    <w:rPr>
                      <w:rFonts w:ascii="Cambria Math" w:hAnsi="Cambria Math"/>
                      <w:i w:val="1"/>
                    </w:rPr>
                  </m:ctrlPr>
                </m:accPr>
                <m:e>
                  <m:argPr>
                    <m:argSz m:val="0"/>
                  </m:argPr>
                  <m:r>
                    <m:rPr>
                      <m:scr m:val="roman"/>
                      <m:sty m:val="i"/>
                    </m:rPr>
                    <m:t>I</m:t>
                  </m:r>
                </m:e>
              </m:acc>
            </m:e>
            <m:sub>
              <m:argPr>
                <m:argSz m:val="0"/>
              </m:argPr>
              <m:r>
                <m:rPr>
                  <m:scr m:val="roman"/>
                  <m:sty m:val="i"/>
                </m:rPr>
                <m:t>p</m:t>
              </m:r>
            </m:sub>
          </m:sSub>
          <m:r>
            <m:rPr>
              <m:scr m:val="roman"/>
              <m:sty m:val="i"/>
            </m:rPr>
            <m:t>=</m:t>
          </m:r>
          <m:sSub>
            <m:sSubPr>
              <m:ctrlPr>
                <w:rPr>
                  <w:rFonts w:ascii="Cambria Math" w:hAnsi="Cambria Math"/>
                  <w:i w:val="1"/>
                </w:rPr>
              </m:ctrlPr>
            </m:sSubPr>
            <m:e>
              <m:argPr>
                <m:argSz m:val="0"/>
              </m:argPr>
              <m:r>
                <m:rPr>
                  <m:scr m:val="roman"/>
                  <m:sty m:val="i"/>
                </m:rPr>
                <m:t>α</m:t>
              </m:r>
            </m:e>
            <m:sub>
              <m:argPr>
                <m:argSz m:val="0"/>
              </m:argPr>
              <m:sSub>
                <m:sSubPr>
                  <m:ctrlPr>
                    <w:rPr>
                      <w:rFonts w:ascii="Cambria Math" w:hAnsi="Cambria Math"/>
                      <w:i w:val="1"/>
                    </w:rPr>
                  </m:ctrlPr>
                </m:sSubPr>
                <m:e>
                  <m:argPr>
                    <m:argSz m:val="0"/>
                  </m:argPr>
                  <m:r>
                    <m:rPr>
                      <m:scr m:val="roman"/>
                      <m:sty m:val="i"/>
                    </m:rPr>
                    <m:t>I</m:t>
                  </m:r>
                </m:e>
                <m:sub>
                  <m:argPr>
                    <m:argSz m:val="0"/>
                  </m:argPr>
                  <m:r>
                    <m:rPr>
                      <m:scr m:val="roman"/>
                      <m:sty m:val="i"/>
                    </m:rPr>
                    <m:t>p</m:t>
                  </m:r>
                </m:sub>
              </m:sSub>
            </m:sub>
          </m:sSub>
          <m:r>
            <m:rPr>
              <m:scr m:val="roman"/>
              <m:sty m:val="i"/>
            </m:rPr>
            <m:t>∙</m:t>
          </m:r>
          <m:f>
            <m:fPr>
              <m:ctrlPr>
                <w:rPr>
                  <w:rFonts w:ascii="Cambria Math" w:hAnsi="Cambria Math"/>
                  <w:i w:val="1"/>
                </w:rPr>
              </m:ctrlPr>
              <m:type m:val="bar"/>
            </m:fPr>
            <m:num>
              <m:argPr>
                <m:argSz m:val="0"/>
              </m:argPr>
              <m:r>
                <m:rPr>
                  <m:scr m:val="roman"/>
                  <m:sty m:val="i"/>
                </m:rPr>
                <m:t>2</m:t>
              </m:r>
              <m:sSub>
                <m:sSubPr>
                  <m:ctrlPr>
                    <w:rPr>
                      <w:rFonts w:ascii="Cambria Math" w:hAnsi="Cambria Math"/>
                      <w:i w:val="1"/>
                    </w:rPr>
                  </m:ctrlPr>
                </m:sSubPr>
                <m:e>
                  <m:argPr>
                    <m:argSz m:val="0"/>
                  </m:argPr>
                  <m:r>
                    <m:rPr>
                      <m:scr m:val="roman"/>
                      <m:sty m:val="i"/>
                    </m:rPr>
                    <m:t>V</m:t>
                  </m:r>
                </m:e>
                <m:sub>
                  <m:argPr>
                    <m:argSz m:val="0"/>
                  </m:argPr>
                  <m:r>
                    <m:rPr>
                      <m:scr m:val="roman"/>
                      <m:sty m:val="i"/>
                    </m:rPr>
                    <m:t>ind</m:t>
                  </m:r>
                </m:sub>
              </m:sSub>
              <m:r>
                <m:rPr>
                  <m:scr m:val="roman"/>
                  <m:sty m:val="i"/>
                </m:rPr>
                <m:t>+V</m:t>
              </m:r>
            </m:num>
            <m:den>
              <m:argPr>
                <m:argSz m:val="0"/>
              </m:argPr>
              <m:r>
                <m:rPr>
                  <m:scr m:val="roman"/>
                  <m:sty m:val="i"/>
                </m:rPr>
                <m:t>C∙</m:t>
              </m:r>
              <m:sSub>
                <m:sSubPr>
                  <m:ctrlPr>
                    <w:rPr>
                      <w:rFonts w:ascii="Cambria Math" w:hAnsi="Cambria Math"/>
                      <w:i w:val="1"/>
                    </w:rPr>
                  </m:ctrlPr>
                </m:sSubPr>
                <m:e>
                  <m:argPr>
                    <m:argSz m:val="0"/>
                  </m:argPr>
                  <m:r>
                    <m:rPr>
                      <m:scr m:val="roman"/>
                      <m:sty m:val="i"/>
                    </m:rPr>
                    <m:t>l</m:t>
                  </m:r>
                </m:e>
                <m:sub>
                  <m:argPr>
                    <m:argSz m:val="0"/>
                  </m:argPr>
                  <m:r>
                    <m:rPr>
                      <m:scr m:val="roman"/>
                      <m:sty m:val="i"/>
                    </m:rPr>
                    <m:t>i</m:t>
                  </m:r>
                </m:sub>
              </m:sSub>
            </m:den>
          </m:f>
        </m:oMath>
      </m:oMathPara>
    </w:p>
    <w:p>
      <w:r>
        <w:t xml:space="preserve">where C = 3.6559, </w:t>
      </w:r>
      <m:oMathPara xmlns:m="http://schemas.openxmlformats.org/officeDocument/2006/math">
        <m:oMath>
          <m:sSub>
            <m:sSubPr>
              <m:ctrlPr>
                <w:rPr>
                  <w:rFonts w:ascii="Cambria Math" w:hAnsi="Cambria Math"/>
                  <w:i w:val="1"/>
                </w:rPr>
              </m:ctrlPr>
            </m:sSubPr>
            <m:e>
              <m:argPr>
                <m:argSz m:val="0"/>
              </m:argPr>
              <m:r>
                <m:rPr>
                  <m:scr m:val="roman"/>
                  <m:sty m:val="i"/>
                </m:rPr>
                <m:t>α</m:t>
              </m:r>
            </m:e>
            <m:sub>
              <m:argPr>
                <m:argSz m:val="0"/>
              </m:argPr>
              <m:sSub>
                <m:sSubPr>
                  <m:ctrlPr>
                    <w:rPr>
                      <w:rFonts w:ascii="Cambria Math" w:hAnsi="Cambria Math"/>
                      <w:i w:val="1"/>
                    </w:rPr>
                  </m:ctrlPr>
                </m:sSubPr>
                <m:e>
                  <m:argPr>
                    <m:argSz m:val="0"/>
                  </m:argPr>
                  <m:r>
                    <m:rPr>
                      <m:scr m:val="roman"/>
                      <m:sty m:val="i"/>
                    </m:rPr>
                    <m:t>l</m:t>
                  </m:r>
                </m:e>
                <m:sub>
                  <m:argPr>
                    <m:argSz m:val="0"/>
                  </m:argPr>
                  <m:r>
                    <m:rPr>
                      <m:scr m:val="roman"/>
                      <m:sty m:val="i"/>
                    </m:rPr>
                    <m:t>i</m:t>
                  </m:r>
                </m:sub>
              </m:sSub>
            </m:sub>
          </m:sSub>
        </m:oMath>
      </m:oMathPara>
      <w:r>
        <w:rPr>
          <w:rFonts w:eastAsiaTheme="minorEastAsia"/>
        </w:rPr>
        <w:t xml:space="preserve"> &amp; </w:t>
      </w:r>
      <m:oMathPara xmlns:m="http://schemas.openxmlformats.org/officeDocument/2006/math">
        <m:oMath>
          <m:sSub>
            <m:sSubPr>
              <m:ctrlPr>
                <w:rPr>
                  <w:rFonts w:ascii="Cambria Math" w:hAnsi="Cambria Math" w:eastAsiaTheme="minorEastAsia"/>
                  <w:i w:val="1"/>
                </w:rPr>
              </m:ctrlPr>
            </m:sSubPr>
            <m:e>
              <m:argPr>
                <m:argSz m:val="0"/>
              </m:argPr>
              <m:r>
                <m:rPr>
                  <m:scr m:val="roman"/>
                  <m:sty m:val="i"/>
                </m:rPr>
                <m:t>α</m:t>
              </m:r>
            </m:e>
            <m:sub>
              <m:argPr>
                <m:argSz m:val="0"/>
              </m:argPr>
              <m:sSub>
                <m:sSubPr>
                  <m:ctrlPr>
                    <w:rPr>
                      <w:rFonts w:ascii="Cambria Math" w:hAnsi="Cambria Math" w:eastAsiaTheme="minorEastAsia"/>
                      <w:i w:val="1"/>
                    </w:rPr>
                  </m:ctrlPr>
                </m:sSubPr>
                <m:e>
                  <m:argPr>
                    <m:argSz m:val="0"/>
                  </m:argPr>
                  <m:r>
                    <m:rPr>
                      <m:scr m:val="roman"/>
                      <m:sty m:val="i"/>
                    </m:rPr>
                    <m:t>I</m:t>
                  </m:r>
                </m:e>
                <m:sub>
                  <m:argPr>
                    <m:argSz m:val="0"/>
                  </m:argPr>
                  <m:r>
                    <m:rPr>
                      <m:scr m:val="roman"/>
                      <m:sty m:val="i"/>
                    </m:rPr>
                    <m:t>p</m:t>
                  </m:r>
                </m:sub>
              </m:sSub>
            </m:sub>
          </m:sSub>
        </m:oMath>
      </m:oMathPara>
      <w:r>
        <w:t xml:space="preserve"> are trainable constants introduced to compensate for normalization constants and unit scaling present in the original implementation but not explicitly available in the manuscript. These constants were implemented as trainable JAX arrays and optimized jointly with the neural network parameters.</w:t>
      </w:r>
    </w:p>
    <w:p/>
    <w:p>
      <w:r>
        <w:t>The voltage-state derivative was modeled using a fully connected neural network,</w:t>
      </w:r>
    </w:p>
    <w:p>
      <m:oMathPara xmlns:m="http://schemas.openxmlformats.org/officeDocument/2006/math">
        <m:oMathParaPr>
          <m:jc m:val="centerGroup"/>
        </m:oMathParaPr>
        <m:oMath>
          <m:acc>
            <m:accPr>
              <m:chr m:val="̇"/>
              <m:ctrlPr>
                <w:rPr>
                  <w:rFonts w:ascii="Cambria Math" w:hAnsi="Cambria Math"/>
                  <w:i w:val="1"/>
                </w:rPr>
              </m:ctrlPr>
            </m:accPr>
            <m:e>
              <m:argPr>
                <m:argSz m:val="0"/>
              </m:argPr>
              <m:r>
                <m:rPr>
                  <m:scr m:val="roman"/>
                  <m:sty m:val="i"/>
                </m:rPr>
                <m:t>V</m:t>
              </m:r>
            </m:e>
          </m:acc>
          <m:r>
            <m:rPr>
              <m:scr m:val="roman"/>
              <m:sty m:val="i"/>
            </m:rPr>
            <m:t>=</m:t>
          </m:r>
          <m:sSub>
            <m:sSubPr>
              <m:ctrlPr>
                <w:rPr>
                  <w:rFonts w:ascii="Cambria Math" w:hAnsi="Cambria Math"/>
                  <w:i w:val="1"/>
                </w:rPr>
              </m:ctrlPr>
            </m:sSubPr>
            <m:e>
              <m:argPr>
                <m:argSz m:val="0"/>
              </m:argPr>
              <m:r>
                <m:rPr>
                  <m:scr m:val="roman"/>
                  <m:sty m:val="i"/>
                </m:rPr>
                <m:t>f</m:t>
              </m:r>
            </m:e>
            <m:sub>
              <m:argPr>
                <m:argSz m:val="0"/>
              </m:argPr>
              <m:r>
                <m:rPr>
                  <m:scr m:val="roman"/>
                  <m:sty m:val="i"/>
                </m:rPr>
                <m:t>θ</m:t>
              </m:r>
            </m:sub>
          </m:sSub>
          <m:d>
            <m:dPr>
              <m:ctrlPr>
                <w:rPr>
                  <w:rFonts w:ascii="Cambria Math" w:hAnsi="Cambria Math"/>
                  <w:i w:val="1"/>
                </w:rPr>
              </m:ctrlPr>
              <m:shp m:val="centered"/>
            </m:dPr>
            <m:e>
              <m:argPr>
                <m:argSz m:val="0"/>
              </m:argPr>
              <m:sSub>
                <m:sSubPr>
                  <m:ctrlPr>
                    <w:rPr>
                      <w:rFonts w:ascii="Cambria Math" w:hAnsi="Cambria Math"/>
                      <w:i w:val="1"/>
                    </w:rPr>
                  </m:ctrlPr>
                </m:sSubPr>
                <m:e>
                  <m:argPr>
                    <m:argSz m:val="0"/>
                  </m:argPr>
                  <m:r>
                    <m:rPr>
                      <m:scr m:val="roman"/>
                      <m:sty m:val="i"/>
                    </m:rPr>
                    <m:t>l</m:t>
                  </m:r>
                </m:e>
                <m:sub>
                  <m:argPr>
                    <m:argSz m:val="0"/>
                  </m:argPr>
                  <m:r>
                    <m:rPr>
                      <m:scr m:val="roman"/>
                      <m:sty m:val="i"/>
                    </m:rPr>
                    <m:t>i</m:t>
                  </m:r>
                </m:sub>
              </m:sSub>
              <m:r>
                <m:rPr>
                  <m:scr m:val="roman"/>
                  <m:sty m:val="i"/>
                </m:rPr>
                <m:t>,</m:t>
              </m:r>
              <m:sSub>
                <m:sSubPr>
                  <m:ctrlPr>
                    <w:rPr>
                      <w:rFonts w:ascii="Cambria Math" w:hAnsi="Cambria Math"/>
                      <w:i w:val="1"/>
                    </w:rPr>
                  </m:ctrlPr>
                </m:sSubPr>
                <m:e>
                  <m:argPr>
                    <m:argSz m:val="0"/>
                  </m:argPr>
                  <m:r>
                    <m:rPr>
                      <m:scr m:val="roman"/>
                      <m:sty m:val="i"/>
                    </m:rPr>
                    <m:t>I</m:t>
                  </m:r>
                </m:e>
                <m:sub>
                  <m:argPr>
                    <m:argSz m:val="0"/>
                  </m:argPr>
                  <m:r>
                    <m:rPr>
                      <m:scr m:val="roman"/>
                      <m:sty m:val="i"/>
                    </m:rPr>
                    <m:t>p</m:t>
                  </m:r>
                </m:sub>
              </m:sSub>
              <m:r>
                <m:rPr>
                  <m:scr m:val="roman"/>
                  <m:sty m:val="i"/>
                </m:rPr>
                <m:t>,V,</m:t>
              </m:r>
              <m:sSub>
                <m:sSubPr>
                  <m:ctrlPr>
                    <w:rPr>
                      <w:rFonts w:ascii="Cambria Math" w:hAnsi="Cambria Math"/>
                      <w:i w:val="1"/>
                    </w:rPr>
                  </m:ctrlPr>
                </m:sSubPr>
                <m:e>
                  <m:argPr>
                    <m:argSz m:val="0"/>
                  </m:argPr>
                  <m:r>
                    <m:rPr>
                      <m:scr m:val="roman"/>
                      <m:sty m:val="i"/>
                    </m:rPr>
                    <m:t>V</m:t>
                  </m:r>
                </m:e>
                <m:sub>
                  <m:argPr>
                    <m:argSz m:val="0"/>
                  </m:argPr>
                  <m:r>
                    <m:rPr>
                      <m:scr m:val="roman"/>
                      <m:sty m:val="i"/>
                    </m:rPr>
                    <m:t>ind</m:t>
                  </m:r>
                </m:sub>
              </m:sSub>
            </m:e>
          </m:d>
        </m:oMath>
      </m:oMathPara>
    </w:p>
    <w:p>
      <w:r>
        <w:t xml:space="preserve">Where </w:t>
      </w:r>
      <m:oMathPara xmlns:m="http://schemas.openxmlformats.org/officeDocument/2006/math">
        <m:oMath>
          <m:sSub>
            <m:sSubPr>
              <m:ctrlPr>
                <w:rPr>
                  <w:rFonts w:ascii="Cambria Math" w:hAnsi="Cambria Math"/>
                  <w:i w:val="1"/>
                </w:rPr>
              </m:ctrlPr>
            </m:sSubPr>
            <m:e>
              <m:argPr>
                <m:argSz m:val="0"/>
              </m:argPr>
              <m:r>
                <m:rPr>
                  <m:scr m:val="roman"/>
                  <m:sty m:val="i"/>
                </m:rPr>
                <m:t>f</m:t>
              </m:r>
            </m:e>
            <m:sub>
              <m:argPr>
                <m:argSz m:val="0"/>
              </m:argPr>
              <m:r>
                <m:rPr>
                  <m:scr m:val="roman"/>
                  <m:sty m:val="i"/>
                </m:rPr>
                <m:t>θ</m:t>
              </m:r>
            </m:sub>
          </m:sSub>
          <m:d>
            <m:dPr>
              <m:ctrlPr>
                <w:rPr>
                  <w:rFonts w:ascii="Cambria Math" w:hAnsi="Cambria Math"/>
                  <w:i w:val="1"/>
                </w:rPr>
              </m:ctrlPr>
              <m:shp m:val="centered"/>
            </m:dPr>
            <m:e>
              <m:argPr>
                <m:argSz m:val="0"/>
              </m:argPr>
              <m:r>
                <m:rPr>
                  <m:scr m:val="roman"/>
                  <m:sty m:val="i"/>
                </m:rPr>
                <m:t>∙</m:t>
              </m:r>
            </m:e>
          </m:d>
        </m:oMath>
      </m:oMathPara>
      <w:r>
        <w:t xml:space="preserve">  was an Neural Network with four inputs, one output, hidden width 32, depth 2, and softplus activation. Thus, the neural network only learned the unknown voltage dynamics, while the known physical structure for </w:t>
      </w:r>
      <m:oMathPara xmlns:m="http://schemas.openxmlformats.org/officeDocument/2006/math">
        <m:oMath>
          <m:sSub>
            <m:sSubPr>
              <m:ctrlPr>
                <w:rPr>
                  <w:rFonts w:ascii="Cambria Math" w:hAnsi="Cambria Math"/>
                  <w:i w:val="1"/>
                </w:rPr>
              </m:ctrlPr>
            </m:sSubPr>
            <m:e>
              <m:argPr>
                <m:argSz m:val="0"/>
              </m:argPr>
              <m:r>
                <m:rPr>
                  <m:scr m:val="roman"/>
                  <m:sty m:val="i"/>
                </m:rPr>
                <m:t>l</m:t>
              </m:r>
            </m:e>
            <m:sub>
              <m:argPr>
                <m:argSz m:val="0"/>
              </m:argPr>
              <m:r>
                <m:rPr>
                  <m:scr m:val="roman"/>
                  <m:sty m:val="i"/>
                </m:rPr>
                <m:t>i</m:t>
              </m:r>
            </m:sub>
          </m:sSub>
        </m:oMath>
      </m:oMathPara>
      <w:r>
        <w:t xml:space="preserve"> and </w:t>
      </w:r>
      <m:oMathPara xmlns:m="http://schemas.openxmlformats.org/officeDocument/2006/math">
        <m:oMath>
          <m:sSub>
            <m:sSubPr>
              <m:ctrlPr>
                <w:rPr>
                  <w:rFonts w:ascii="Cambria Math" w:hAnsi="Cambria Math"/>
                  <w:i w:val="1"/>
                </w:rPr>
              </m:ctrlPr>
            </m:sSubPr>
            <m:e>
              <m:argPr>
                <m:argSz m:val="0"/>
              </m:argPr>
              <m:r>
                <m:rPr>
                  <m:scr m:val="roman"/>
                  <m:sty m:val="i"/>
                </m:rPr>
                <m:t>I</m:t>
              </m:r>
            </m:e>
            <m:sub>
              <m:argPr>
                <m:argSz m:val="0"/>
              </m:argPr>
              <m:r>
                <m:rPr>
                  <m:scr m:val="roman"/>
                  <m:sty m:val="i"/>
                </m:rPr>
                <m:t>p</m:t>
              </m:r>
            </m:sub>
          </m:sSub>
        </m:oMath>
      </m:oMathPara>
      <w:r>
        <w:t xml:space="preserve"> was retained.</w:t>
      </w:r>
    </w:p>
    <w:p>
      <w:r>
        <w:t>The hybrid derivative model returned</w:t>
      </w:r>
    </w:p>
    <w:p>
      <m:oMathPara xmlns:m="http://schemas.openxmlformats.org/officeDocument/2006/math">
        <m:oMathParaPr>
          <m:jc m:val="centerGroup"/>
        </m:oMathParaPr>
        <m:oMath>
          <m:acc>
            <m:accPr>
              <m:chr m:val="̇"/>
              <m:ctrlPr>
                <w:rPr>
                  <w:rFonts w:ascii="Cambria Math" w:hAnsi="Cambria Math"/>
                  <w:i w:val="1"/>
                </w:rPr>
              </m:ctrlPr>
            </m:accPr>
            <m:e>
              <m:argPr>
                <m:argSz m:val="0"/>
              </m:argPr>
              <m:r>
                <m:rPr>
                  <m:scr m:val="roman"/>
                  <m:sty m:val="i"/>
                </m:rPr>
                <m:t>x</m:t>
              </m:r>
            </m:e>
          </m:acc>
          <m:d>
            <m:dPr>
              <m:ctrlPr>
                <w:rPr>
                  <w:rFonts w:ascii="Cambria Math" w:hAnsi="Cambria Math"/>
                  <w:i w:val="1"/>
                </w:rPr>
              </m:ctrlPr>
              <m:shp m:val="centered"/>
            </m:dPr>
            <m:e>
              <m:argPr>
                <m:argSz m:val="0"/>
              </m:argPr>
              <m:r>
                <m:rPr>
                  <m:scr m:val="roman"/>
                  <m:sty m:val="i"/>
                </m:rPr>
                <m:t>t</m:t>
              </m:r>
            </m:e>
          </m:d>
          <m:r>
            <m:rPr>
              <m:scr m:val="roman"/>
              <m:sty m:val="i"/>
            </m:rPr>
            <m:t>=</m:t>
          </m:r>
          <m:d>
            <m:dPr>
              <m:ctrlPr>
                <w:rPr>
                  <w:rFonts w:ascii="Cambria Math" w:hAnsi="Cambria Math"/>
                  <w:i w:val="1"/>
                </w:rPr>
              </m:ctrlPr>
              <m:begChr m:val="["/>
              <m:endChr m:val="]"/>
              <m:shp m:val="centered"/>
            </m:dPr>
            <m:e>
              <m:argPr>
                <m:argSz m:val="0"/>
              </m:argPr>
              <m:sSub>
                <m:sSubPr>
                  <m:ctrlPr>
                    <w:rPr>
                      <w:rFonts w:ascii="Cambria Math" w:hAnsi="Cambria Math"/>
                      <w:i w:val="1"/>
                    </w:rPr>
                  </m:ctrlPr>
                </m:sSubPr>
                <m:e>
                  <m:argPr>
                    <m:argSz m:val="0"/>
                  </m:argPr>
                  <m:acc>
                    <m:accPr>
                      <m:chr m:val="̇"/>
                      <m:ctrlPr>
                        <w:rPr>
                          <w:rFonts w:ascii="Cambria Math" w:hAnsi="Cambria Math"/>
                          <w:i w:val="1"/>
                        </w:rPr>
                      </m:ctrlPr>
                    </m:accPr>
                    <m:e>
                      <m:argPr>
                        <m:argSz m:val="0"/>
                      </m:argPr>
                      <m:r>
                        <m:rPr>
                          <m:scr m:val="roman"/>
                          <m:sty m:val="i"/>
                        </m:rPr>
                        <m:t>l</m:t>
                      </m:r>
                    </m:e>
                  </m:acc>
                </m:e>
                <m:sub>
                  <m:argPr>
                    <m:argSz m:val="0"/>
                  </m:argPr>
                  <m:r>
                    <m:rPr>
                      <m:scr m:val="roman"/>
                      <m:sty m:val="i"/>
                    </m:rPr>
                    <m:t>i</m:t>
                  </m:r>
                </m:sub>
              </m:sSub>
              <m:d>
                <m:dPr>
                  <m:ctrlPr>
                    <w:rPr>
                      <w:rFonts w:ascii="Cambria Math" w:hAnsi="Cambria Math"/>
                      <w:i w:val="1"/>
                    </w:rPr>
                  </m:ctrlPr>
                  <m:shp m:val="centered"/>
                </m:dPr>
                <m:e>
                  <m:argPr>
                    <m:argSz m:val="0"/>
                  </m:argPr>
                  <m:r>
                    <m:rPr>
                      <m:scr m:val="roman"/>
                      <m:sty m:val="i"/>
                    </m:rPr>
                    <m:t>t</m:t>
                  </m:r>
                </m:e>
              </m:d>
              <m:r>
                <m:rPr>
                  <m:scr m:val="roman"/>
                  <m:sty m:val="i"/>
                </m:rPr>
                <m:t>,</m:t>
              </m:r>
              <m:sSub>
                <m:sSubPr>
                  <m:ctrlPr>
                    <w:rPr>
                      <w:rFonts w:ascii="Cambria Math" w:hAnsi="Cambria Math"/>
                      <w:i w:val="1"/>
                    </w:rPr>
                  </m:ctrlPr>
                </m:sSubPr>
                <m:e>
                  <m:argPr>
                    <m:argSz m:val="0"/>
                  </m:argPr>
                  <m:acc>
                    <m:accPr>
                      <m:chr m:val="̇"/>
                      <m:ctrlPr>
                        <w:rPr>
                          <w:rFonts w:ascii="Cambria Math" w:hAnsi="Cambria Math"/>
                          <w:i w:val="1"/>
                        </w:rPr>
                      </m:ctrlPr>
                    </m:accPr>
                    <m:e>
                      <m:argPr>
                        <m:argSz m:val="0"/>
                      </m:argPr>
                      <m:r>
                        <m:rPr>
                          <m:scr m:val="roman"/>
                          <m:sty m:val="i"/>
                        </m:rPr>
                        <m:t>I</m:t>
                      </m:r>
                    </m:e>
                  </m:acc>
                </m:e>
                <m:sub>
                  <m:argPr>
                    <m:argSz m:val="0"/>
                  </m:argPr>
                  <m:r>
                    <m:rPr>
                      <m:scr m:val="roman"/>
                      <m:sty m:val="i"/>
                    </m:rPr>
                    <m:t>p</m:t>
                  </m:r>
                </m:sub>
              </m:sSub>
              <m:d>
                <m:dPr>
                  <m:ctrlPr>
                    <w:rPr>
                      <w:rFonts w:ascii="Cambria Math" w:hAnsi="Cambria Math"/>
                      <w:i w:val="1"/>
                    </w:rPr>
                  </m:ctrlPr>
                  <m:shp m:val="centered"/>
                </m:dPr>
                <m:e>
                  <m:argPr>
                    <m:argSz m:val="0"/>
                  </m:argPr>
                  <m:r>
                    <m:rPr>
                      <m:scr m:val="roman"/>
                      <m:sty m:val="i"/>
                    </m:rPr>
                    <m:t>t</m:t>
                  </m:r>
                </m:e>
              </m:d>
              <m:r>
                <m:rPr>
                  <m:scr m:val="roman"/>
                  <m:sty m:val="i"/>
                </m:rPr>
                <m:t>,</m:t>
              </m:r>
              <m:acc>
                <m:accPr>
                  <m:chr m:val="̇"/>
                  <m:ctrlPr>
                    <w:rPr>
                      <w:rFonts w:ascii="Cambria Math" w:hAnsi="Cambria Math"/>
                      <w:i w:val="1"/>
                    </w:rPr>
                  </m:ctrlPr>
                </m:accPr>
                <m:e>
                  <m:argPr>
                    <m:argSz m:val="0"/>
                  </m:argPr>
                  <m:r>
                    <m:rPr>
                      <m:scr m:val="roman"/>
                      <m:sty m:val="i"/>
                    </m:rPr>
                    <m:t>V</m:t>
                  </m:r>
                </m:e>
              </m:acc>
              <m:d>
                <m:dPr>
                  <m:ctrlPr>
                    <w:rPr>
                      <w:rFonts w:ascii="Cambria Math" w:hAnsi="Cambria Math"/>
                      <w:i w:val="1"/>
                    </w:rPr>
                  </m:ctrlPr>
                  <m:shp m:val="centered"/>
                </m:dPr>
                <m:e>
                  <m:argPr>
                    <m:argSz m:val="0"/>
                  </m:argPr>
                  <m:r>
                    <m:rPr>
                      <m:scr m:val="roman"/>
                      <m:sty m:val="i"/>
                    </m:rPr>
                    <m:t>t</m:t>
                  </m:r>
                </m:e>
              </m:d>
            </m:e>
          </m:d>
        </m:oMath>
      </m:oMathPara>
    </w:p>
    <w:p>
      <w:r>
        <w:t>which was integrated forward in time using a 4</w:t>
      </w:r>
      <w:r>
        <w:rPr>
          <w:vertAlign w:val="superscript"/>
        </w:rPr>
        <w:t>th</w:t>
      </w:r>
      <w:r>
        <w:t xml:space="preserve">-order Runge-Kutta scheme. The control signal </w:t>
      </w:r>
      <m:oMathPara xmlns:m="http://schemas.openxmlformats.org/officeDocument/2006/math">
        <m:oMath>
          <m:sSub>
            <m:sSubPr>
              <m:ctrlPr>
                <w:rPr>
                  <w:rFonts w:ascii="Cambria Math" w:hAnsi="Cambria Math"/>
                  <w:i w:val="1"/>
                </w:rPr>
              </m:ctrlPr>
            </m:sSubPr>
            <m:e>
              <m:argPr>
                <m:argSz m:val="0"/>
              </m:argPr>
              <m:r>
                <m:rPr>
                  <m:scr m:val="roman"/>
                  <m:sty m:val="i"/>
                </m:rPr>
                <m:t>V</m:t>
              </m:r>
            </m:e>
            <m:sub>
              <m:argPr>
                <m:argSz m:val="0"/>
              </m:argPr>
              <m:r>
                <m:rPr>
                  <m:scr m:val="roman"/>
                  <m:sty m:val="i"/>
                </m:rPr>
                <m:t>ind</m:t>
              </m:r>
            </m:sub>
          </m:sSub>
        </m:oMath>
      </m:oMathPara>
      <w:r>
        <w:t xml:space="preserve"> was interpolated between measured samples using cubic Hermite interpolation with backward-difference slopes, preserving causality in the control trajectory.</w:t>
      </w:r>
    </w:p>
    <w:p>
      <w:r>
        <w:t>Experimental plasma shots were split at the shot level into training, validation, and test sets using a 70/15/15 split. Each shot was subsequently divided into non-overlapping shooting windows of length 10 time samples using stride 10. Each window was initialized from the measured plasma state at the beginning of the segment, and trajectory loss was computed independently over each shooting interval. No continuity penalty was enforced between adjacent windows, corresponding to a zero-continuity-weight approximation of the multiple-shooting strategy described by Wang.</w:t>
      </w:r>
    </w:p>
    <w:p>
      <w:r>
        <w:t xml:space="preserve">The plasma shots consisted of irregularly sampled time-series measurements of for </w:t>
      </w:r>
      <m:oMathPara xmlns:m="http://schemas.openxmlformats.org/officeDocument/2006/math">
        <m:oMath>
          <m:sSub>
            <m:sSubPr>
              <m:ctrlPr>
                <w:rPr>
                  <w:rFonts w:ascii="Cambria Math" w:hAnsi="Cambria Math"/>
                  <w:i w:val="1"/>
                </w:rPr>
              </m:ctrlPr>
            </m:sSubPr>
            <m:e>
              <m:argPr>
                <m:argSz m:val="0"/>
              </m:argPr>
              <m:r>
                <m:rPr>
                  <m:scr m:val="roman"/>
                  <m:sty m:val="i"/>
                </m:rPr>
                <m:t>l</m:t>
              </m:r>
            </m:e>
            <m:sub>
              <m:argPr>
                <m:argSz m:val="0"/>
              </m:argPr>
              <m:r>
                <m:rPr>
                  <m:scr m:val="roman"/>
                  <m:sty m:val="i"/>
                </m:rPr>
                <m:t>i</m:t>
              </m:r>
            </m:sub>
          </m:sSub>
        </m:oMath>
      </m:oMathPara>
      <w:r>
        <w:t xml:space="preserve">, </w:t>
      </w:r>
      <m:oMathPara xmlns:m="http://schemas.openxmlformats.org/officeDocument/2006/math">
        <m:oMath>
          <m:sSub>
            <m:sSubPr>
              <m:ctrlPr>
                <w:rPr>
                  <w:rFonts w:ascii="Cambria Math" w:hAnsi="Cambria Math"/>
                  <w:i w:val="1"/>
                </w:rPr>
              </m:ctrlPr>
            </m:sSubPr>
            <m:e>
              <m:argPr>
                <m:argSz m:val="0"/>
              </m:argPr>
              <m:r>
                <m:rPr>
                  <m:scr m:val="roman"/>
                  <m:sty m:val="i"/>
                </m:rPr>
                <m:t>I</m:t>
              </m:r>
            </m:e>
            <m:sub>
              <m:argPr>
                <m:argSz m:val="0"/>
              </m:argPr>
              <m:r>
                <m:rPr>
                  <m:scr m:val="roman"/>
                  <m:sty m:val="i"/>
                </m:rPr>
                <m:t>p</m:t>
              </m:r>
            </m:sub>
          </m:sSub>
        </m:oMath>
      </m:oMathPara>
      <w:r>
        <w:rPr>
          <w:rFonts w:eastAsiaTheme="minorEastAsia"/>
        </w:rPr>
        <w:t xml:space="preserve">, V, &amp; </w:t>
      </w:r>
      <m:oMathPara xmlns:m="http://schemas.openxmlformats.org/officeDocument/2006/math">
        <m:oMath>
          <m:sSub>
            <m:sSubPr>
              <m:ctrlPr>
                <w:rPr>
                  <w:rFonts w:ascii="Cambria Math" w:hAnsi="Cambria Math" w:eastAsiaTheme="minorEastAsia"/>
                  <w:i w:val="1"/>
                </w:rPr>
              </m:ctrlPr>
            </m:sSubPr>
            <m:e>
              <m:argPr>
                <m:argSz m:val="0"/>
              </m:argPr>
              <m:r>
                <m:rPr>
                  <m:scr m:val="roman"/>
                  <m:sty m:val="i"/>
                </m:rPr>
                <m:t>V</m:t>
              </m:r>
            </m:e>
            <m:sub>
              <m:argPr>
                <m:argSz m:val="0"/>
              </m:argPr>
              <m:r>
                <m:rPr>
                  <m:scr m:val="roman"/>
                  <m:sty m:val="i"/>
                </m:rPr>
                <m:t>ind</m:t>
              </m:r>
            </m:sub>
          </m:sSub>
        </m:oMath>
      </m:oMathPara>
      <w:r>
        <w:t>. Rather than resampling all trajectories onto a uniform temporal grid during training, the original experimental sampling times were retained. Multiple-shooting segments were therefore defined directly using contiguous intervals of the measured time array. The neural ODE solver propagated the system using the local measured timestep sequence,</w:t>
      </w:r>
    </w:p>
    <w:p>
      <w:pPr>
        <w:jc w:val="center"/>
        <w:rPr>
          <w:i w:val="1"/>
          <w:iCs w:val="1"/>
        </w:rPr>
      </w:pPr>
      <w:r>
        <w:rPr>
          <w:i w:val="1"/>
          <w:iCs w:val="1"/>
        </w:rPr>
        <w:t>Δt</w:t>
      </w:r>
      <w:r>
        <w:rPr>
          <w:i w:val="1"/>
          <w:iCs w:val="1"/>
          <w:vertAlign w:val="subscript"/>
        </w:rPr>
        <w:t>k</w:t>
      </w:r>
      <w:r>
        <w:rPr>
          <w:i w:val="1"/>
          <w:iCs w:val="1"/>
        </w:rPr>
        <w:t xml:space="preserve"> = t</w:t>
      </w:r>
      <w:r>
        <w:rPr>
          <w:i w:val="1"/>
          <w:iCs w:val="1"/>
          <w:vertAlign w:val="subscript"/>
        </w:rPr>
        <w:t>k+1</w:t>
      </w:r>
      <w:r>
        <w:rPr>
          <w:i w:val="1"/>
          <w:iCs w:val="1"/>
        </w:rPr>
        <w:t>−t</w:t>
      </w:r>
      <w:r>
        <w:rPr>
          <w:i w:val="1"/>
          <w:iCs w:val="1"/>
          <w:vertAlign w:val="subscript"/>
        </w:rPr>
        <w:t>k</w:t>
      </w:r>
      <w:r>
        <w:rPr>
          <w:i w:val="1"/>
          <w:iCs w:val="1"/>
        </w:rPr>
        <w:t>,</w:t>
      </w:r>
    </w:p>
    <w:p>
      <w:r>
        <w:t>allowing the model to preserve the irregular temporal structure of the experimental discharges.</w:t>
      </w:r>
    </w:p>
    <w:p>
      <w:r>
        <w:t xml:space="preserve">To evaluate the control signal between measured samples during Runge–Kutta integration, the inductive drive signal </w:t>
      </w:r>
      <w:r>
        <w:rPr>
          <w:i w:val="1"/>
          <w:iCs w:val="1"/>
        </w:rPr>
        <w:t>V</w:t>
      </w:r>
      <w:r>
        <w:rPr>
          <w:i w:val="1"/>
          <w:iCs w:val="1"/>
          <w:vertAlign w:val="subscript"/>
        </w:rPr>
        <w:t>ind</w:t>
      </w:r>
      <w:r>
        <w:t xml:space="preserve"> was interpolated using cubic Hermite interpolation with backward-difference slope estimates. This interpolation strategy preserved causality while producing a continuously differentiable approximation of the control trajectory during numerical integration.</w:t>
      </w:r>
    </w:p>
    <w:p>
      <w:r>
        <w:t>For diagnostic analysis, comparison plotting, and residual analysis, trajectories were additionally interpolated onto regularized temporal grids using linear interpolation. These regularized grids were used only for post-training analysis and were not used during model optimization.</w:t>
      </w:r>
    </w:p>
    <w:p>
      <w:r>
        <w:t xml:space="preserve">The loss function followed the Wang-style objective by comparing only the predicted </w:t>
      </w:r>
      <m:oMathPara xmlns:m="http://schemas.openxmlformats.org/officeDocument/2006/math">
        <m:oMath>
          <m:sSub>
            <m:sSubPr>
              <m:ctrlPr>
                <w:rPr>
                  <w:rFonts w:ascii="Cambria Math" w:hAnsi="Cambria Math"/>
                  <w:i w:val="1"/>
                </w:rPr>
              </m:ctrlPr>
            </m:sSubPr>
            <m:e>
              <m:argPr>
                <m:argSz m:val="0"/>
              </m:argPr>
              <m:r>
                <m:rPr>
                  <m:scr m:val="roman"/>
                  <m:sty m:val="i"/>
                </m:rPr>
                <m:t>l</m:t>
              </m:r>
            </m:e>
            <m:sub>
              <m:argPr>
                <m:argSz m:val="0"/>
              </m:argPr>
              <m:r>
                <m:rPr>
                  <m:scr m:val="roman"/>
                  <m:sty m:val="i"/>
                </m:rPr>
                <m:t>i</m:t>
              </m:r>
            </m:sub>
          </m:sSub>
        </m:oMath>
      </m:oMathPara>
      <w:r>
        <w:t xml:space="preserve"> and </w:t>
      </w:r>
      <m:oMathPara xmlns:m="http://schemas.openxmlformats.org/officeDocument/2006/math">
        <m:oMath>
          <m:sSub>
            <m:sSubPr>
              <m:ctrlPr>
                <w:rPr>
                  <w:rFonts w:ascii="Cambria Math" w:hAnsi="Cambria Math"/>
                  <w:i w:val="1"/>
                </w:rPr>
              </m:ctrlPr>
            </m:sSubPr>
            <m:e>
              <m:argPr>
                <m:argSz m:val="0"/>
              </m:argPr>
              <m:r>
                <m:rPr>
                  <m:scr m:val="roman"/>
                  <m:sty m:val="i"/>
                </m:rPr>
                <m:t>I</m:t>
              </m:r>
            </m:e>
            <m:sub>
              <m:argPr>
                <m:argSz m:val="0"/>
              </m:argPr>
              <m:r>
                <m:rPr>
                  <m:scr m:val="roman"/>
                  <m:sty m:val="i"/>
                </m:rPr>
                <m:t>p</m:t>
              </m:r>
            </m:sub>
          </m:sSub>
        </m:oMath>
      </m:oMathPara>
      <w:r>
        <w:t xml:space="preserve"> trajectories to measured data. For each segment, relative error was computed for </w:t>
      </w:r>
      <m:oMathPara xmlns:m="http://schemas.openxmlformats.org/officeDocument/2006/math">
        <m:oMath>
          <m:sSub>
            <m:sSubPr>
              <m:ctrlPr>
                <w:rPr>
                  <w:rFonts w:ascii="Cambria Math" w:hAnsi="Cambria Math"/>
                  <w:i w:val="1"/>
                </w:rPr>
              </m:ctrlPr>
            </m:sSubPr>
            <m:e>
              <m:argPr>
                <m:argSz m:val="0"/>
              </m:argPr>
              <m:r>
                <m:rPr>
                  <m:scr m:val="roman"/>
                  <m:sty m:val="i"/>
                </m:rPr>
                <m:t>l</m:t>
              </m:r>
            </m:e>
            <m:sub>
              <m:argPr>
                <m:argSz m:val="0"/>
              </m:argPr>
              <m:r>
                <m:rPr>
                  <m:scr m:val="roman"/>
                  <m:sty m:val="i"/>
                </m:rPr>
                <m:t>i</m:t>
              </m:r>
            </m:sub>
          </m:sSub>
        </m:oMath>
      </m:oMathPara>
      <w:r>
        <w:t xml:space="preserve"> and </w:t>
      </w:r>
      <m:oMathPara xmlns:m="http://schemas.openxmlformats.org/officeDocument/2006/math">
        <m:oMath>
          <m:sSub>
            <m:sSubPr>
              <m:ctrlPr>
                <w:rPr>
                  <w:rFonts w:ascii="Cambria Math" w:hAnsi="Cambria Math"/>
                  <w:i w:val="1"/>
                </w:rPr>
              </m:ctrlPr>
            </m:sSubPr>
            <m:e>
              <m:argPr>
                <m:argSz m:val="0"/>
              </m:argPr>
              <m:r>
                <m:rPr>
                  <m:scr m:val="roman"/>
                  <m:sty m:val="i"/>
                </m:rPr>
                <m:t>I</m:t>
              </m:r>
            </m:e>
            <m:sub>
              <m:argPr>
                <m:argSz m:val="0"/>
              </m:argPr>
              <m:r>
                <m:rPr>
                  <m:scr m:val="roman"/>
                  <m:sty m:val="i"/>
                </m:rPr>
                <m:t>p</m:t>
              </m:r>
            </m:sub>
          </m:sSub>
          <m:r>
            <m:rPr>
              <m:scr m:val="roman"/>
              <m:sty m:val="i"/>
            </m:rPr>
            <m:t xml:space="preserve"> </m:t>
          </m:r>
        </m:oMath>
      </m:oMathPara>
      <w:r>
        <w:t>transformed using a Huber loss with delta = 0.1, and integrated over time using the trapezoidal rule. The voltage state V was not directly included in the primary training loss.</w:t>
      </w:r>
    </w:p>
    <w:p>
      <w:r>
        <w:t>Training was performed using AdamW in Optax with an exponential learning-rate schedule initialized at 5 x 10</w:t>
      </w:r>
      <w:r>
        <w:rPr>
          <w:vertAlign w:val="superscript"/>
        </w:rPr>
        <w:t>-3</w:t>
      </w:r>
      <w:r>
        <w:t>, decay rate 0.995 per epoch, and lower bound 1 x 10</w:t>
      </w:r>
      <w:r>
        <w:rPr>
          <w:vertAlign w:val="superscript"/>
        </w:rPr>
        <w:t>-4</w:t>
      </w:r>
      <w:r>
        <w:t>. Gradient clipping and NaN filtering were used for numerical stability. The full set of training shooting segments was included in each batch. The best model was selected using validation loss.</w:t>
      </w:r>
    </w:p>
    <w:p>
      <w:r>
        <w:t>For comparison, we also implemented the analytic Romero model in which the neural network voltage equation was replaced by the first-order analytic expression</w:t>
      </w:r>
    </w:p>
    <w:p>
      <m:oMathPara xmlns:m="http://schemas.openxmlformats.org/officeDocument/2006/math">
        <m:oMathParaPr>
          <m:jc m:val="centerGroup"/>
        </m:oMathParaPr>
        <m:oMath>
          <m:acc>
            <m:accPr>
              <m:chr m:val="̇"/>
              <m:ctrlPr>
                <w:rPr>
                  <w:rFonts w:ascii="Cambria Math" w:hAnsi="Cambria Math"/>
                  <w:i w:val="1"/>
                </w:rPr>
              </m:ctrlPr>
            </m:accPr>
            <m:e>
              <m:argPr>
                <m:argSz m:val="0"/>
              </m:argPr>
              <m:r>
                <m:rPr>
                  <m:scr m:val="roman"/>
                  <m:sty m:val="i"/>
                </m:rPr>
                <m:t>V</m:t>
              </m:r>
            </m:e>
          </m:acc>
          <m:r>
            <m:rPr>
              <m:scr m:val="roman"/>
              <m:sty m:val="i"/>
            </m:rPr>
            <m:t>=-</m:t>
          </m:r>
          <m:f>
            <m:fPr>
              <m:ctrlPr>
                <w:rPr>
                  <w:rFonts w:ascii="Cambria Math" w:hAnsi="Cambria Math"/>
                  <w:i w:val="1"/>
                </w:rPr>
              </m:ctrlPr>
              <m:type m:val="bar"/>
            </m:fPr>
            <m:num>
              <m:argPr>
                <m:argSz m:val="0"/>
              </m:argPr>
              <m:r>
                <m:rPr>
                  <m:scr m:val="roman"/>
                  <m:sty m:val="i"/>
                </m:rPr>
                <m:t>V</m:t>
              </m:r>
            </m:num>
            <m:den>
              <m:argPr>
                <m:argSz m:val="0"/>
              </m:argPr>
              <m:r>
                <m:rPr>
                  <m:scr m:val="roman"/>
                  <m:sty m:val="i"/>
                </m:rPr>
                <m:t>τ</m:t>
              </m:r>
            </m:den>
          </m:f>
          <m:r>
            <m:rPr>
              <m:scr m:val="roman"/>
              <m:sty m:val="i"/>
            </m:rPr>
            <m:t>-</m:t>
          </m:r>
          <m:f>
            <m:fPr>
              <m:ctrlPr>
                <w:rPr>
                  <w:rFonts w:ascii="Cambria Math" w:hAnsi="Cambria Math"/>
                  <w:i w:val="1"/>
                </w:rPr>
              </m:ctrlPr>
              <m:type m:val="bar"/>
            </m:fPr>
            <m:num>
              <m:argPr>
                <m:argSz m:val="0"/>
              </m:argPr>
              <m:r>
                <m:rPr>
                  <m:scr m:val="roman"/>
                  <m:sty m:val="i"/>
                </m:rPr>
                <m:t>κ</m:t>
              </m:r>
            </m:num>
            <m:den>
              <m:argPr>
                <m:argSz m:val="0"/>
              </m:argPr>
              <m:r>
                <m:rPr>
                  <m:scr m:val="roman"/>
                  <m:sty m:val="i"/>
                </m:rPr>
                <m:t>τ</m:t>
              </m:r>
            </m:den>
          </m:f>
          <m:sSub>
            <m:sSubPr>
              <m:ctrlPr>
                <w:rPr>
                  <w:rFonts w:ascii="Cambria Math" w:hAnsi="Cambria Math"/>
                  <w:i w:val="1"/>
                </w:rPr>
              </m:ctrlPr>
            </m:sSubPr>
            <m:e>
              <m:argPr>
                <m:argSz m:val="0"/>
              </m:argPr>
              <m:r>
                <m:rPr>
                  <m:scr m:val="roman"/>
                  <m:sty m:val="i"/>
                </m:rPr>
                <m:t>V</m:t>
              </m:r>
            </m:e>
            <m:sub>
              <m:argPr>
                <m:argSz m:val="0"/>
              </m:argPr>
              <m:r>
                <m:rPr>
                  <m:scr m:val="roman"/>
                  <m:sty m:val="i"/>
                </m:rPr>
                <m:t>ind</m:t>
              </m:r>
            </m:sub>
          </m:sSub>
        </m:oMath>
      </m:oMathPara>
    </w:p>
    <w:p>
      <w:r>
        <w:t xml:space="preserve">with </w:t>
      </w:r>
      <m:oMathPara xmlns:m="http://schemas.openxmlformats.org/officeDocument/2006/math">
        <m:oMath>
          <m:r>
            <m:rPr>
              <m:scr m:val="roman"/>
              <m:sty m:val="i"/>
            </m:rPr>
            <m:t>κ</m:t>
          </m:r>
        </m:oMath>
      </m:oMathPara>
      <w:r>
        <w:t xml:space="preserve"> = 0.98 and </w:t>
      </w:r>
      <m:oMathPara xmlns:m="http://schemas.openxmlformats.org/officeDocument/2006/math">
        <m:oMath>
          <m:r>
            <m:rPr>
              <m:scr m:val="roman"/>
              <m:sty m:val="i"/>
            </m:rPr>
            <m:t>τ</m:t>
          </m:r>
        </m:oMath>
      </m:oMathPara>
      <w:r>
        <w:t xml:space="preserve"> = 1.25. To isolate the effect of the voltage model, the analytic Romero comparison model used the same learned </w:t>
      </w:r>
      <m:oMathPara xmlns:m="http://schemas.openxmlformats.org/officeDocument/2006/math">
        <m:oMath>
          <m:sSub>
            <m:sSubPr>
              <m:ctrlPr>
                <w:rPr>
                  <w:rFonts w:ascii="Cambria Math" w:hAnsi="Cambria Math"/>
                  <w:i w:val="1"/>
                </w:rPr>
              </m:ctrlPr>
            </m:sSubPr>
            <m:e>
              <m:argPr>
                <m:argSz m:val="0"/>
              </m:argPr>
              <m:r>
                <m:rPr>
                  <m:scr m:val="roman"/>
                  <m:sty m:val="i"/>
                </m:rPr>
                <m:t>α</m:t>
              </m:r>
            </m:e>
            <m:sub>
              <m:argPr>
                <m:argSz m:val="0"/>
              </m:argPr>
              <m:sSub>
                <m:sSubPr>
                  <m:ctrlPr>
                    <w:rPr>
                      <w:rFonts w:ascii="Cambria Math" w:hAnsi="Cambria Math"/>
                      <w:i w:val="1"/>
                    </w:rPr>
                  </m:ctrlPr>
                </m:sSubPr>
                <m:e>
                  <m:argPr>
                    <m:argSz m:val="0"/>
                  </m:argPr>
                  <m:r>
                    <m:rPr>
                      <m:scr m:val="roman"/>
                      <m:sty m:val="i"/>
                    </m:rPr>
                    <m:t>l</m:t>
                  </m:r>
                </m:e>
                <m:sub>
                  <m:argPr>
                    <m:argSz m:val="0"/>
                  </m:argPr>
                  <m:r>
                    <m:rPr>
                      <m:scr m:val="roman"/>
                      <m:sty m:val="i"/>
                    </m:rPr>
                    <m:t>i</m:t>
                  </m:r>
                </m:sub>
              </m:sSub>
            </m:sub>
          </m:sSub>
        </m:oMath>
      </m:oMathPara>
      <w:r>
        <w:rPr>
          <w:rFonts w:eastAsiaTheme="minorEastAsia"/>
        </w:rPr>
        <w:t xml:space="preserve"> &amp; </w:t>
      </w:r>
      <m:oMathPara xmlns:m="http://schemas.openxmlformats.org/officeDocument/2006/math">
        <m:oMath>
          <m:sSub>
            <m:sSubPr>
              <m:ctrlPr>
                <w:rPr>
                  <w:rFonts w:ascii="Cambria Math" w:hAnsi="Cambria Math" w:eastAsiaTheme="minorEastAsia"/>
                  <w:i w:val="1"/>
                </w:rPr>
              </m:ctrlPr>
            </m:sSubPr>
            <m:e>
              <m:argPr>
                <m:argSz m:val="0"/>
              </m:argPr>
              <m:r>
                <m:rPr>
                  <m:scr m:val="roman"/>
                  <m:sty m:val="i"/>
                </m:rPr>
                <m:t>α</m:t>
              </m:r>
            </m:e>
            <m:sub>
              <m:argPr>
                <m:argSz m:val="0"/>
              </m:argPr>
              <m:sSub>
                <m:sSubPr>
                  <m:ctrlPr>
                    <w:rPr>
                      <w:rFonts w:ascii="Cambria Math" w:hAnsi="Cambria Math" w:eastAsiaTheme="minorEastAsia"/>
                      <w:i w:val="1"/>
                    </w:rPr>
                  </m:ctrlPr>
                </m:sSubPr>
                <m:e>
                  <m:argPr>
                    <m:argSz m:val="0"/>
                  </m:argPr>
                  <m:r>
                    <m:rPr>
                      <m:scr m:val="roman"/>
                      <m:sty m:val="i"/>
                    </m:rPr>
                    <m:t>I</m:t>
                  </m:r>
                </m:e>
                <m:sub>
                  <m:argPr>
                    <m:argSz m:val="0"/>
                  </m:argPr>
                  <m:r>
                    <m:rPr>
                      <m:scr m:val="roman"/>
                      <m:sty m:val="i"/>
                    </m:rPr>
                    <m:t>p</m:t>
                  </m:r>
                </m:sub>
              </m:sSub>
            </m:sub>
          </m:sSub>
        </m:oMath>
      </m:oMathPara>
      <w:r>
        <w:t xml:space="preserve"> scaling constants as the trained RomeroNNV model. Thus, differences between RomeroNNV and analytic Romero were primarily attributable to the learned versus analytic representation of </w:t>
      </w:r>
      <m:oMathPara xmlns:m="http://schemas.openxmlformats.org/officeDocument/2006/math">
        <m:oMath>
          <m:acc>
            <m:accPr>
              <m:chr m:val="̇"/>
              <m:ctrlPr>
                <w:rPr>
                  <w:rFonts w:ascii="Cambria Math" w:hAnsi="Cambria Math"/>
                  <w:i w:val="1"/>
                </w:rPr>
              </m:ctrlPr>
            </m:accPr>
            <m:e>
              <m:argPr>
                <m:argSz m:val="0"/>
              </m:argPr>
              <m:r>
                <m:rPr>
                  <m:scr m:val="roman"/>
                  <m:sty m:val="i"/>
                </m:rPr>
                <m:t>V</m:t>
              </m:r>
            </m:e>
          </m:acc>
        </m:oMath>
      </m:oMathPara>
      <w:r>
        <w:t>.</w:t>
      </w:r>
    </w:p>
    <w:p/>
    <w:p/>
    <w:sectPr>
      <w:type w:val="nextPage"/>
      <w:pgMar w:left="1440" w:right="1440" w:top="1440" w:bottom="1440" w:header="720" w:footer="720" w:gutter="0"/>
      <w:cols w:equalWidth="1" w:space="72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4"/>
        <w:szCs w:val="24"/>
        <w:kern w:val="2"/>
        <w:lang w:val="en-US" w:bidi="ar-SA" w:eastAsia="en-US"/>
      </w:rPr>
    </w:rPrDefault>
    <w:pPrDefault>
      <w:pPr>
        <w:keepNext w:val="0"/>
        <w:keepLines w:val="0"/>
        <w:pageBreakBefore w:val="0"/>
        <w:widowControl w:val="1"/>
        <w:suppressLineNumbers w:val="0"/>
        <w:shd w:val="clear" w:fill="auto"/>
        <w:suppressAutoHyphens w:val="0"/>
        <w:spacing w:lineRule="auto" w:line="278"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link w:val="C3"/>
    <w:qFormat/>
    <w:pPr>
      <w:keepNext w:val="1"/>
      <w:keepLines w:val="1"/>
      <w:spacing w:before="360" w:after="80" w:beforeAutospacing="0" w:afterAutospacing="0"/>
      <w:outlineLvl w:val="0"/>
    </w:pPr>
    <w:rPr>
      <w:rFonts w:asciiTheme="majorHAnsi" w:hAnsiTheme="majorHAnsi" w:cstheme="majorBidi" w:eastAsiaTheme="majorEastAsia"/>
      <w:color w:val="104861" w:themeColor="accent1" w:themeShade="BF"/>
      <w:sz w:val="40"/>
      <w:szCs w:val="40"/>
    </w:rPr>
  </w:style>
  <w:style w:type="paragraph" w:styleId="P2">
    <w:name w:val="Heading 2"/>
    <w:basedOn w:val="P0"/>
    <w:next w:val="P0"/>
    <w:link w:val="C4"/>
    <w:semiHidden/>
    <w:qFormat/>
    <w:pPr>
      <w:keepNext w:val="1"/>
      <w:keepLines w:val="1"/>
      <w:spacing w:before="160" w:after="80" w:beforeAutospacing="0" w:afterAutospacing="0"/>
      <w:outlineLvl w:val="1"/>
    </w:pPr>
    <w:rPr>
      <w:rFonts w:asciiTheme="majorHAnsi" w:hAnsiTheme="majorHAnsi" w:cstheme="majorBidi" w:eastAsiaTheme="majorEastAsia"/>
      <w:color w:val="104861" w:themeColor="accent1" w:themeShade="BF"/>
      <w:sz w:val="32"/>
      <w:szCs w:val="32"/>
    </w:rPr>
  </w:style>
  <w:style w:type="paragraph" w:styleId="P3">
    <w:name w:val="Heading 3"/>
    <w:basedOn w:val="P0"/>
    <w:next w:val="P0"/>
    <w:link w:val="C5"/>
    <w:semiHidden/>
    <w:qFormat/>
    <w:pPr>
      <w:keepNext w:val="1"/>
      <w:keepLines w:val="1"/>
      <w:spacing w:before="160" w:after="80" w:beforeAutospacing="0" w:afterAutospacing="0"/>
      <w:outlineLvl w:val="2"/>
    </w:pPr>
    <w:rPr>
      <w:rFonts w:cstheme="majorBidi" w:eastAsiaTheme="majorEastAsia"/>
      <w:color w:val="104861" w:themeColor="accent1" w:themeShade="BF"/>
      <w:sz w:val="28"/>
      <w:szCs w:val="28"/>
    </w:rPr>
  </w:style>
  <w:style w:type="paragraph" w:styleId="P4">
    <w:name w:val="Heading 4"/>
    <w:basedOn w:val="P0"/>
    <w:next w:val="P0"/>
    <w:link w:val="C6"/>
    <w:semiHidden/>
    <w:qFormat/>
    <w:pPr>
      <w:keepNext w:val="1"/>
      <w:keepLines w:val="1"/>
      <w:spacing w:before="80" w:after="40" w:beforeAutospacing="0" w:afterAutospacing="0"/>
      <w:outlineLvl w:val="3"/>
    </w:pPr>
    <w:rPr>
      <w:rFonts w:cstheme="majorBidi" w:eastAsiaTheme="majorEastAsia"/>
      <w:i w:val="1"/>
      <w:iCs w:val="1"/>
      <w:color w:val="104861" w:themeColor="accent1" w:themeShade="BF"/>
    </w:rPr>
  </w:style>
  <w:style w:type="paragraph" w:styleId="P5">
    <w:name w:val="Heading 5"/>
    <w:basedOn w:val="P0"/>
    <w:next w:val="P0"/>
    <w:link w:val="C7"/>
    <w:semiHidden/>
    <w:qFormat/>
    <w:pPr>
      <w:keepNext w:val="1"/>
      <w:keepLines w:val="1"/>
      <w:spacing w:before="80" w:after="40" w:beforeAutospacing="0" w:afterAutospacing="0"/>
      <w:outlineLvl w:val="4"/>
    </w:pPr>
    <w:rPr>
      <w:rFonts w:cstheme="majorBidi" w:eastAsiaTheme="majorEastAsia"/>
      <w:color w:val="104861" w:themeColor="accent1" w:themeShade="BF"/>
    </w:rPr>
  </w:style>
  <w:style w:type="paragraph" w:styleId="P6">
    <w:name w:val="Heading 6"/>
    <w:basedOn w:val="P0"/>
    <w:next w:val="P0"/>
    <w:link w:val="C8"/>
    <w:semiHidden/>
    <w:qFormat/>
    <w:pPr>
      <w:keepNext w:val="1"/>
      <w:keepLines w:val="1"/>
      <w:spacing w:before="40" w:after="0" w:beforeAutospacing="0" w:afterAutospacing="0"/>
      <w:outlineLvl w:val="5"/>
    </w:pPr>
    <w:rPr>
      <w:rFonts w:cstheme="majorBidi" w:eastAsiaTheme="majorEastAsia"/>
      <w:i w:val="1"/>
      <w:iCs w:val="1"/>
      <w:color w:val="595959" w:themeColor="text1" w:themeTint="A6"/>
    </w:rPr>
  </w:style>
  <w:style w:type="paragraph" w:styleId="P7">
    <w:name w:val="Heading 7"/>
    <w:basedOn w:val="P0"/>
    <w:next w:val="P0"/>
    <w:link w:val="C9"/>
    <w:semiHidden/>
    <w:qFormat/>
    <w:pPr>
      <w:keepNext w:val="1"/>
      <w:keepLines w:val="1"/>
      <w:spacing w:before="40" w:after="0" w:beforeAutospacing="0" w:afterAutospacing="0"/>
      <w:outlineLvl w:val="6"/>
    </w:pPr>
    <w:rPr>
      <w:rFonts w:cstheme="majorBidi" w:eastAsiaTheme="majorEastAsia"/>
      <w:color w:val="595959" w:themeColor="text1" w:themeTint="A6"/>
    </w:rPr>
  </w:style>
  <w:style w:type="paragraph" w:styleId="P8">
    <w:name w:val="Heading 8"/>
    <w:basedOn w:val="P0"/>
    <w:next w:val="P0"/>
    <w:link w:val="C10"/>
    <w:semiHidden/>
    <w:qFormat/>
    <w:pPr>
      <w:keepNext w:val="1"/>
      <w:keepLines w:val="1"/>
      <w:spacing w:after="0" w:beforeAutospacing="0" w:afterAutospacing="0"/>
      <w:outlineLvl w:val="7"/>
    </w:pPr>
    <w:rPr>
      <w:rFonts w:cstheme="majorBidi" w:eastAsiaTheme="majorEastAsia"/>
      <w:i w:val="1"/>
      <w:iCs w:val="1"/>
      <w:color w:val="272727" w:themeColor="text1" w:themeTint="D8"/>
    </w:rPr>
  </w:style>
  <w:style w:type="paragraph" w:styleId="P9">
    <w:name w:val="Heading 9"/>
    <w:basedOn w:val="P0"/>
    <w:next w:val="P0"/>
    <w:link w:val="C11"/>
    <w:semiHidden/>
    <w:qFormat/>
    <w:pPr>
      <w:keepNext w:val="1"/>
      <w:keepLines w:val="1"/>
      <w:spacing w:after="0" w:beforeAutospacing="0" w:afterAutospacing="0"/>
      <w:outlineLvl w:val="8"/>
    </w:pPr>
    <w:rPr>
      <w:rFonts w:cstheme="majorBidi" w:eastAsiaTheme="majorEastAsia"/>
      <w:color w:val="272727" w:themeColor="text1" w:themeTint="D8"/>
    </w:rPr>
  </w:style>
  <w:style w:type="paragraph" w:styleId="P10">
    <w:name w:val="Title"/>
    <w:basedOn w:val="P0"/>
    <w:next w:val="P0"/>
    <w:link w:val="C12"/>
    <w:qFormat/>
    <w:pPr>
      <w:spacing w:lineRule="auto" w:line="240" w:after="80" w:beforeAutospacing="0" w:afterAutospacing="0"/>
      <w:contextualSpacing w:val="1"/>
    </w:pPr>
    <w:rPr>
      <w:rFonts w:asciiTheme="majorHAnsi" w:hAnsiTheme="majorHAnsi" w:cstheme="majorBidi" w:eastAsiaTheme="majorEastAsia"/>
      <w:sz w:val="56"/>
      <w:szCs w:val="56"/>
      <w:spacing w:val="-10"/>
      <w:kern w:val="28"/>
    </w:rPr>
  </w:style>
  <w:style w:type="paragraph" w:styleId="P11">
    <w:name w:val="Subtitle"/>
    <w:basedOn w:val="P0"/>
    <w:next w:val="P0"/>
    <w:link w:val="C13"/>
    <w:qFormat/>
    <w:pPr/>
    <w:rPr>
      <w:rFonts w:cstheme="majorBidi" w:eastAsiaTheme="majorEastAsia"/>
      <w:color w:val="595959" w:themeColor="text1" w:themeTint="A6"/>
      <w:sz w:val="28"/>
      <w:szCs w:val="28"/>
      <w:spacing w:val="15"/>
    </w:rPr>
  </w:style>
  <w:style w:type="paragraph" w:styleId="P12">
    <w:name w:val="Quote"/>
    <w:basedOn w:val="P0"/>
    <w:next w:val="P0"/>
    <w:link w:val="C14"/>
    <w:qFormat/>
    <w:pPr>
      <w:spacing w:before="160" w:beforeAutospacing="0" w:afterAutospacing="0"/>
      <w:jc w:val="center"/>
    </w:pPr>
    <w:rPr>
      <w:i w:val="1"/>
      <w:iCs w:val="1"/>
      <w:color w:val="404040" w:themeColor="text1" w:themeTint="BF"/>
    </w:rPr>
  </w:style>
  <w:style w:type="paragraph" w:styleId="P13">
    <w:name w:val="List Paragraph"/>
    <w:basedOn w:val="P0"/>
    <w:qFormat/>
    <w:pPr>
      <w:ind w:left="720"/>
      <w:contextualSpacing w:val="1"/>
    </w:pPr>
    <w:rPr/>
  </w:style>
  <w:style w:type="paragraph" w:styleId="P14">
    <w:name w:val="Intense Quote"/>
    <w:basedOn w:val="P0"/>
    <w:next w:val="P0"/>
    <w:link w:val="C16"/>
    <w:qFormat/>
    <w:pPr>
      <w:pBdr>
        <w:top w:val="single" w:sz="4" w:space="10" w:shadow="0" w:frame="0" w:color="104861" w:themeColor="accent1" w:themeShade="BF"/>
        <w:left w:val="none" w:sz="0" w:space="0" w:shadow="0" w:frame="0" w:color="auto"/>
        <w:bottom w:val="single" w:sz="4" w:space="10" w:shadow="0" w:frame="0" w:color="104861" w:themeColor="accent1" w:themeShade="BF"/>
        <w:right w:val="none" w:sz="0" w:space="0" w:shadow="0" w:frame="0" w:color="auto"/>
        <w:between w:val="none" w:sz="0" w:space="0" w:shadow="0" w:frame="0" w:color="auto"/>
      </w:pBdr>
      <w:spacing w:before="360" w:after="360" w:beforeAutospacing="0" w:afterAutospacing="0"/>
      <w:ind w:left="864" w:right="864"/>
      <w:jc w:val="center"/>
    </w:pPr>
    <w:rPr>
      <w:i w:val="1"/>
      <w:iCs w:val="1"/>
      <w:color w:val="104861" w:themeColor="accent1" w:themeShade="BF"/>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ing 1 Char"/>
    <w:basedOn w:val="C0"/>
    <w:link w:val="P1"/>
    <w:rPr>
      <w:rFonts w:asciiTheme="majorHAnsi" w:hAnsiTheme="majorHAnsi" w:cstheme="majorBidi" w:eastAsiaTheme="majorEastAsia"/>
      <w:color w:val="104861" w:themeColor="accent1" w:themeShade="BF"/>
      <w:sz w:val="40"/>
      <w:szCs w:val="40"/>
    </w:rPr>
  </w:style>
  <w:style w:type="character" w:styleId="C4">
    <w:name w:val="Heading 2 Char"/>
    <w:basedOn w:val="C0"/>
    <w:link w:val="P2"/>
    <w:semiHidden/>
    <w:rPr>
      <w:rFonts w:asciiTheme="majorHAnsi" w:hAnsiTheme="majorHAnsi" w:cstheme="majorBidi" w:eastAsiaTheme="majorEastAsia"/>
      <w:color w:val="104861" w:themeColor="accent1" w:themeShade="BF"/>
      <w:sz w:val="32"/>
      <w:szCs w:val="32"/>
    </w:rPr>
  </w:style>
  <w:style w:type="character" w:styleId="C5">
    <w:name w:val="Heading 3 Char"/>
    <w:basedOn w:val="C0"/>
    <w:link w:val="P3"/>
    <w:semiHidden/>
    <w:rPr>
      <w:rFonts w:cstheme="majorBidi" w:eastAsiaTheme="majorEastAsia"/>
      <w:color w:val="104861" w:themeColor="accent1" w:themeShade="BF"/>
      <w:sz w:val="28"/>
      <w:szCs w:val="28"/>
    </w:rPr>
  </w:style>
  <w:style w:type="character" w:styleId="C6">
    <w:name w:val="Heading 4 Char"/>
    <w:basedOn w:val="C0"/>
    <w:link w:val="P4"/>
    <w:semiHidden/>
    <w:rPr>
      <w:rFonts w:cstheme="majorBidi" w:eastAsiaTheme="majorEastAsia"/>
      <w:i w:val="1"/>
      <w:iCs w:val="1"/>
      <w:color w:val="104861" w:themeColor="accent1" w:themeShade="BF"/>
    </w:rPr>
  </w:style>
  <w:style w:type="character" w:styleId="C7">
    <w:name w:val="Heading 5 Char"/>
    <w:basedOn w:val="C0"/>
    <w:link w:val="P5"/>
    <w:semiHidden/>
    <w:rPr>
      <w:rFonts w:cstheme="majorBidi" w:eastAsiaTheme="majorEastAsia"/>
      <w:color w:val="104861" w:themeColor="accent1" w:themeShade="BF"/>
    </w:rPr>
  </w:style>
  <w:style w:type="character" w:styleId="C8">
    <w:name w:val="Heading 6 Char"/>
    <w:basedOn w:val="C0"/>
    <w:link w:val="P6"/>
    <w:semiHidden/>
    <w:rPr>
      <w:rFonts w:cstheme="majorBidi" w:eastAsiaTheme="majorEastAsia"/>
      <w:i w:val="1"/>
      <w:iCs w:val="1"/>
      <w:color w:val="595959" w:themeColor="text1" w:themeTint="A6"/>
    </w:rPr>
  </w:style>
  <w:style w:type="character" w:styleId="C9">
    <w:name w:val="Heading 7 Char"/>
    <w:basedOn w:val="C0"/>
    <w:link w:val="P7"/>
    <w:semiHidden/>
    <w:rPr>
      <w:rFonts w:cstheme="majorBidi" w:eastAsiaTheme="majorEastAsia"/>
      <w:color w:val="595959" w:themeColor="text1" w:themeTint="A6"/>
    </w:rPr>
  </w:style>
  <w:style w:type="character" w:styleId="C10">
    <w:name w:val="Heading 8 Char"/>
    <w:basedOn w:val="C0"/>
    <w:link w:val="P8"/>
    <w:semiHidden/>
    <w:rPr>
      <w:rFonts w:cstheme="majorBidi" w:eastAsiaTheme="majorEastAsia"/>
      <w:i w:val="1"/>
      <w:iCs w:val="1"/>
      <w:color w:val="272727" w:themeColor="text1" w:themeTint="D8"/>
    </w:rPr>
  </w:style>
  <w:style w:type="character" w:styleId="C11">
    <w:name w:val="Heading 9 Char"/>
    <w:basedOn w:val="C0"/>
    <w:link w:val="P9"/>
    <w:semiHidden/>
    <w:rPr>
      <w:rFonts w:cstheme="majorBidi" w:eastAsiaTheme="majorEastAsia"/>
      <w:color w:val="272727" w:themeColor="text1" w:themeTint="D8"/>
    </w:rPr>
  </w:style>
  <w:style w:type="character" w:styleId="C12">
    <w:name w:val="Title Char"/>
    <w:basedOn w:val="C0"/>
    <w:link w:val="P10"/>
    <w:rPr>
      <w:rFonts w:asciiTheme="majorHAnsi" w:hAnsiTheme="majorHAnsi" w:cstheme="majorBidi" w:eastAsiaTheme="majorEastAsia"/>
      <w:sz w:val="56"/>
      <w:szCs w:val="56"/>
      <w:spacing w:val="-10"/>
      <w:kern w:val="28"/>
    </w:rPr>
  </w:style>
  <w:style w:type="character" w:styleId="C13">
    <w:name w:val="Subtitle Char"/>
    <w:basedOn w:val="C0"/>
    <w:link w:val="P11"/>
    <w:rPr>
      <w:rFonts w:cstheme="majorBidi" w:eastAsiaTheme="majorEastAsia"/>
      <w:color w:val="595959" w:themeColor="text1" w:themeTint="A6"/>
      <w:sz w:val="28"/>
      <w:szCs w:val="28"/>
      <w:spacing w:val="15"/>
    </w:rPr>
  </w:style>
  <w:style w:type="character" w:styleId="C14">
    <w:name w:val="Quote Char"/>
    <w:basedOn w:val="C0"/>
    <w:link w:val="P12"/>
    <w:rPr>
      <w:i w:val="1"/>
      <w:iCs w:val="1"/>
      <w:color w:val="404040" w:themeColor="text1" w:themeTint="BF"/>
    </w:rPr>
  </w:style>
  <w:style w:type="character" w:styleId="C15">
    <w:name w:val="Intense Emphasis"/>
    <w:basedOn w:val="C0"/>
    <w:qFormat/>
    <w:rPr>
      <w:i w:val="1"/>
      <w:iCs w:val="1"/>
      <w:color w:val="104861" w:themeColor="accent1" w:themeShade="BF"/>
    </w:rPr>
  </w:style>
  <w:style w:type="character" w:styleId="C16">
    <w:name w:val="Intense Quote Char"/>
    <w:basedOn w:val="C0"/>
    <w:link w:val="P14"/>
    <w:rPr>
      <w:i w:val="1"/>
      <w:iCs w:val="1"/>
      <w:color w:val="104861" w:themeColor="accent1" w:themeShade="BF"/>
    </w:rPr>
  </w:style>
  <w:style w:type="character" w:styleId="C17">
    <w:name w:val="Intense Reference1"/>
    <w:basedOn w:val="C0"/>
    <w:qFormat/>
    <w:rPr>
      <w:b w:val="1"/>
      <w:bCs w:val="1"/>
      <w:smallCaps w:val="1"/>
      <w:color w:val="104861" w:themeColor="accent1" w:themeShade="BF"/>
      <w:spacing w:val="5"/>
    </w:rPr>
  </w:style>
  <w:style w:type="character" w:styleId="C18">
    <w:name w:val="Placeholder Text1"/>
    <w:basedOn w:val="C0"/>
    <w:semiHidden/>
    <w:rPr>
      <w:color w:val="666666"/>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MCWCORP</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Prior, Phillip</dc:creator>
  <dcterms:created xsi:type="dcterms:W3CDTF">2026-05-14T01:29:00Z</dcterms:created>
  <cp:lastModifiedBy>Phil Prior</cp:lastModifiedBy>
  <dcterms:modified xsi:type="dcterms:W3CDTF">2026-05-14T23:03:12Z</dcterms:modified>
  <cp:revision>44</cp:revision>
</cp:coreProperties>
</file>