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DRAFT — NOT EXECUTED</w:t>
      </w:r>
    </w:p>
    <w:p>
      <w:r>
        <w:t xml:space="preserve">Control No. DI-2026-001-DRAFT</w:t>
      </w:r>
    </w:p>
    <w:p>
      <w:r>
        <w:t xml:space="preserve">Liability cap: $150,000.</w:t>
      </w:r>
    </w:p>
    <w:p>
      <w:r>
        <w:t xml:space="preserve">Target effective date: January 10, 2026.</w:t>
      </w:r>
    </w:p>
  </w:body>
</w:document>
</file>