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SUPERSEDED VERSION</w:t>
      </w:r>
    </w:p>
    <w:p>
      <w:r>
        <w:t xml:space="preserve">Control No. DI-2026-001-S0</w:t>
      </w:r>
    </w:p>
    <w:p>
      <w:r>
        <w:t xml:space="preserve">Signed January 12, 2026.</w:t>
      </w:r>
    </w:p>
    <w:p>
      <w:r>
        <w:t xml:space="preserve">Liability cap: $225,000.</w:t>
      </w:r>
    </w:p>
    <w:p>
      <w:r>
        <w:t xml:space="preserve">SUPERSEDED by the January 15 execution and Amendment 01.</w:t>
      </w:r>
    </w:p>
  </w:body>
</w:document>
</file>