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AMENDMENT 01</w:t>
      </w:r>
    </w:p>
    <w:p>
      <w:r>
        <w:t xml:space="preserve">Control No. DI-2026-001-A1</w:t>
      </w:r>
    </w:p>
    <w:p>
      <w:r>
        <w:t xml:space="preserve">Effective February 1, 2026.</w:t>
      </w:r>
    </w:p>
    <w:p>
      <w:r>
        <w:t xml:space="preserve">Section 2 replaces the Section 8.2 liability cap with $275,000. All other terms remain unchanged.</w:t>
      </w:r>
    </w:p>
  </w:body>
</w:document>
</file>