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EXECUTED MASTER SERVICES AGREEMENT</w:t>
      </w:r>
    </w:p>
    <w:p>
      <w:r>
        <w:t xml:space="preserve">Control No. DI-2026-001</w:t>
      </w:r>
    </w:p>
    <w:p>
      <w:r>
        <w:t xml:space="preserve">Executed January 15, 2026.</w:t>
      </w:r>
    </w:p>
    <w:p>
      <w:r>
        <w:t xml:space="preserve">Section 8.2 liability cap: $250,000.</w:t>
      </w:r>
    </w:p>
    <w:p>
      <w:r>
        <w:t xml:space="preserve">Signed by Dana Quill and Morgan Vale.</w:t>
      </w:r>
    </w:p>
  </w:body>
</w:document>
</file>