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9B8F" w14:textId="77777777" w:rsidR="00227EF4" w:rsidRPr="00227EF4" w:rsidRDefault="00227EF4">
      <w:pPr>
        <w:pStyle w:val="p1"/>
      </w:pPr>
      <w:r w:rsidRPr="00227EF4">
        <w:rPr>
          <w:rStyle w:val="s1"/>
          <w:b w:val="0"/>
          <w:bCs w:val="0"/>
        </w:rPr>
        <w:t>Identification des risques</w:t>
      </w:r>
    </w:p>
    <w:p w14:paraId="15A69CEF" w14:textId="77777777" w:rsidR="00227EF4" w:rsidRPr="00227EF4" w:rsidRDefault="00227EF4">
      <w:pPr>
        <w:pStyle w:val="p2"/>
      </w:pPr>
    </w:p>
    <w:p w14:paraId="33DF4A73" w14:textId="77777777" w:rsidR="00227EF4" w:rsidRPr="00227EF4" w:rsidRDefault="00227EF4">
      <w:pPr>
        <w:pStyle w:val="p1"/>
      </w:pPr>
      <w:r w:rsidRPr="00227EF4">
        <w:rPr>
          <w:rStyle w:val="s2"/>
        </w:rPr>
        <w:t>SecureFlow procède à une identification approfondie des risques pouvant affecter une opération commerciale, notamment :</w:t>
      </w:r>
    </w:p>
    <w:p w14:paraId="1837FE83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 xml:space="preserve">Risques </w:t>
      </w:r>
      <w:r w:rsidRPr="00227EF4">
        <w:rPr>
          <w:rStyle w:val="s1"/>
          <w:b w:val="0"/>
          <w:bCs w:val="0"/>
        </w:rPr>
        <w:t>opérationnels</w:t>
      </w:r>
      <w:r w:rsidRPr="00227EF4">
        <w:rPr>
          <w:rStyle w:val="s2"/>
        </w:rPr>
        <w:t xml:space="preserve"> (défaillance d’un partenaire, mauvaise exécution)</w:t>
      </w:r>
    </w:p>
    <w:p w14:paraId="372BAE2C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 xml:space="preserve">Risques </w:t>
      </w:r>
      <w:r w:rsidRPr="00227EF4">
        <w:rPr>
          <w:rStyle w:val="s1"/>
          <w:b w:val="0"/>
          <w:bCs w:val="0"/>
        </w:rPr>
        <w:t>juridiques et contractuels</w:t>
      </w:r>
    </w:p>
    <w:p w14:paraId="21C5ABDF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 xml:space="preserve">Risques </w:t>
      </w:r>
      <w:r w:rsidRPr="00227EF4">
        <w:rPr>
          <w:rStyle w:val="s1"/>
          <w:b w:val="0"/>
          <w:bCs w:val="0"/>
        </w:rPr>
        <w:t>logistiques</w:t>
      </w:r>
      <w:r w:rsidRPr="00227EF4">
        <w:rPr>
          <w:rStyle w:val="s2"/>
        </w:rPr>
        <w:t xml:space="preserve"> (retards, pertes, détournements)</w:t>
      </w:r>
    </w:p>
    <w:p w14:paraId="375F5457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 xml:space="preserve">Risques </w:t>
      </w:r>
      <w:r w:rsidRPr="00227EF4">
        <w:rPr>
          <w:rStyle w:val="s1"/>
          <w:b w:val="0"/>
          <w:bCs w:val="0"/>
        </w:rPr>
        <w:t>financiers</w:t>
      </w:r>
      <w:r w:rsidRPr="00227EF4">
        <w:rPr>
          <w:rStyle w:val="s2"/>
        </w:rPr>
        <w:t xml:space="preserve"> (fraude, non-paiement, flux non sécurisés)</w:t>
      </w:r>
    </w:p>
    <w:p w14:paraId="5F336EA3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 xml:space="preserve">Risques liés à la </w:t>
      </w:r>
      <w:r w:rsidRPr="00227EF4">
        <w:rPr>
          <w:rStyle w:val="s1"/>
          <w:b w:val="0"/>
          <w:bCs w:val="0"/>
        </w:rPr>
        <w:t>fraude documentaire</w:t>
      </w:r>
    </w:p>
    <w:p w14:paraId="532845AB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 xml:space="preserve">Risques de </w:t>
      </w:r>
      <w:r w:rsidRPr="00227EF4">
        <w:rPr>
          <w:rStyle w:val="s1"/>
          <w:b w:val="0"/>
          <w:bCs w:val="0"/>
        </w:rPr>
        <w:t>faux fournisseurs ou faux acheteurs</w:t>
      </w:r>
    </w:p>
    <w:p w14:paraId="4B05A4E3" w14:textId="77777777" w:rsidR="00227EF4" w:rsidRPr="00227EF4" w:rsidRDefault="00227EF4">
      <w:pPr>
        <w:pStyle w:val="p4"/>
      </w:pPr>
    </w:p>
    <w:p w14:paraId="3293644B" w14:textId="77777777" w:rsidR="00227EF4" w:rsidRPr="00227EF4" w:rsidRDefault="00227EF4">
      <w:pPr>
        <w:pStyle w:val="p3"/>
      </w:pPr>
      <w:r w:rsidRPr="00227EF4">
        <w:rPr>
          <w:rStyle w:val="s2"/>
        </w:rPr>
        <w:t>Chaque opération fait l’objet d’une analyse préalable adaptée à son contexte spécifique.</w:t>
      </w:r>
    </w:p>
    <w:p w14:paraId="27BF8890" w14:textId="7C78DEB8" w:rsidR="00227EF4" w:rsidRPr="00227EF4" w:rsidRDefault="00227EF4">
      <w:pPr>
        <w:pStyle w:val="p1"/>
      </w:pPr>
    </w:p>
    <w:p w14:paraId="26F4B061" w14:textId="6E2F89DC" w:rsidR="00227EF4" w:rsidRPr="00227EF4" w:rsidRDefault="00227EF4">
      <w:pPr>
        <w:pStyle w:val="p1"/>
      </w:pPr>
      <w:r w:rsidRPr="00227EF4">
        <w:rPr>
          <w:rStyle w:val="s1"/>
          <w:b w:val="0"/>
          <w:bCs w:val="0"/>
        </w:rPr>
        <w:t>Analyse et évaluation des risques</w:t>
      </w:r>
    </w:p>
    <w:p w14:paraId="141F2FB7" w14:textId="77777777" w:rsidR="00227EF4" w:rsidRPr="00227EF4" w:rsidRDefault="00227EF4">
      <w:pPr>
        <w:pStyle w:val="p2"/>
      </w:pPr>
    </w:p>
    <w:p w14:paraId="0B7634FC" w14:textId="77777777" w:rsidR="00227EF4" w:rsidRPr="00227EF4" w:rsidRDefault="00227EF4">
      <w:pPr>
        <w:pStyle w:val="p1"/>
      </w:pPr>
      <w:r w:rsidRPr="00227EF4">
        <w:rPr>
          <w:rStyle w:val="s2"/>
        </w:rPr>
        <w:t>Après identification, SecureFlow évalue le niveau de risque associé à chaque opération :</w:t>
      </w:r>
    </w:p>
    <w:p w14:paraId="50DB4F2F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Vérification des parties impliquées</w:t>
      </w:r>
    </w:p>
    <w:p w14:paraId="08799B4A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Analyse des documents commerciaux</w:t>
      </w:r>
    </w:p>
    <w:p w14:paraId="3C4717DC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Évaluation du cadre contractuel</w:t>
      </w:r>
    </w:p>
    <w:p w14:paraId="0E6B32AF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Classification du risque (faible, modéré, élevé)</w:t>
      </w:r>
    </w:p>
    <w:p w14:paraId="41841C4C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Cartographie des points sensibles de l’opération</w:t>
      </w:r>
    </w:p>
    <w:p w14:paraId="043E5658" w14:textId="77777777" w:rsidR="00227EF4" w:rsidRPr="00227EF4" w:rsidRDefault="00227EF4">
      <w:pPr>
        <w:pStyle w:val="p4"/>
      </w:pPr>
    </w:p>
    <w:p w14:paraId="6683336D" w14:textId="77777777" w:rsidR="00227EF4" w:rsidRPr="00227EF4" w:rsidRDefault="00227EF4">
      <w:pPr>
        <w:pStyle w:val="p3"/>
      </w:pPr>
      <w:r w:rsidRPr="00227EF4">
        <w:rPr>
          <w:rStyle w:val="s2"/>
        </w:rPr>
        <w:t>Cette étape permet d’anticiper les vulnérabilités avant l’exécution.</w:t>
      </w:r>
    </w:p>
    <w:p w14:paraId="5258C50C" w14:textId="77777777" w:rsidR="00227EF4" w:rsidRPr="00227EF4" w:rsidRDefault="00227EF4">
      <w:pPr>
        <w:pStyle w:val="p2"/>
      </w:pPr>
    </w:p>
    <w:p w14:paraId="61E16353" w14:textId="730E0AF2" w:rsidR="00227EF4" w:rsidRPr="00227EF4" w:rsidRDefault="00227EF4">
      <w:pPr>
        <w:pStyle w:val="p1"/>
      </w:pPr>
      <w:r w:rsidRPr="00227EF4">
        <w:rPr>
          <w:rStyle w:val="s1"/>
          <w:b w:val="0"/>
          <w:bCs w:val="0"/>
        </w:rPr>
        <w:t>Mesures de prévention et de sécurisation</w:t>
      </w:r>
    </w:p>
    <w:p w14:paraId="1EAC5D18" w14:textId="77777777" w:rsidR="00227EF4" w:rsidRPr="00227EF4" w:rsidRDefault="00227EF4">
      <w:pPr>
        <w:pStyle w:val="p2"/>
      </w:pPr>
    </w:p>
    <w:p w14:paraId="557C1172" w14:textId="77777777" w:rsidR="00227EF4" w:rsidRPr="00227EF4" w:rsidRDefault="00227EF4">
      <w:pPr>
        <w:pStyle w:val="p1"/>
      </w:pPr>
      <w:r w:rsidRPr="00227EF4">
        <w:rPr>
          <w:rStyle w:val="s2"/>
        </w:rPr>
        <w:t xml:space="preserve">SecureFlow met en place des mesures destinées à </w:t>
      </w:r>
      <w:r w:rsidRPr="00227EF4">
        <w:rPr>
          <w:rStyle w:val="s1"/>
          <w:b w:val="0"/>
          <w:bCs w:val="0"/>
        </w:rPr>
        <w:t>réduire l’exposition aux risques</w:t>
      </w:r>
      <w:r w:rsidRPr="00227EF4">
        <w:rPr>
          <w:rStyle w:val="s2"/>
        </w:rPr>
        <w:t>, notamment :</w:t>
      </w:r>
    </w:p>
    <w:p w14:paraId="13B6374E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Vérifications préalables et contrôles de cohérence</w:t>
      </w:r>
    </w:p>
    <w:p w14:paraId="50746C99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Encadrement contractuel des engagements</w:t>
      </w:r>
    </w:p>
    <w:p w14:paraId="1D770B71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Sécurisation des échanges d’informations</w:t>
      </w:r>
    </w:p>
    <w:p w14:paraId="7AFEAA11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Supervision des étapes critiques</w:t>
      </w:r>
    </w:p>
    <w:p w14:paraId="16CF3AF9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Mise en place de procédures d’alerte</w:t>
      </w:r>
    </w:p>
    <w:p w14:paraId="27163268" w14:textId="77777777" w:rsidR="00227EF4" w:rsidRPr="00227EF4" w:rsidRDefault="00227EF4">
      <w:pPr>
        <w:pStyle w:val="p4"/>
      </w:pPr>
    </w:p>
    <w:p w14:paraId="1998925B" w14:textId="77777777" w:rsidR="00227EF4" w:rsidRPr="00227EF4" w:rsidRDefault="00227EF4">
      <w:pPr>
        <w:pStyle w:val="p3"/>
      </w:pPr>
      <w:r w:rsidRPr="00227EF4">
        <w:rPr>
          <w:rStyle w:val="s2"/>
        </w:rPr>
        <w:t xml:space="preserve">L’objectif est de </w:t>
      </w:r>
      <w:r w:rsidRPr="00227EF4">
        <w:rPr>
          <w:rStyle w:val="s1"/>
          <w:b w:val="0"/>
          <w:bCs w:val="0"/>
        </w:rPr>
        <w:t>réduire significativement les risques</w:t>
      </w:r>
      <w:r w:rsidRPr="00227EF4">
        <w:rPr>
          <w:rStyle w:val="s2"/>
        </w:rPr>
        <w:t>, sans prétendre à leur suppression totale.</w:t>
      </w:r>
    </w:p>
    <w:p w14:paraId="27D19DF7" w14:textId="77777777" w:rsidR="00C22F04" w:rsidRDefault="00C22F04">
      <w:pPr>
        <w:pStyle w:val="p1"/>
        <w:rPr>
          <w:rStyle w:val="s1"/>
          <w:b w:val="0"/>
          <w:bCs w:val="0"/>
        </w:rPr>
      </w:pPr>
    </w:p>
    <w:p w14:paraId="542717B7" w14:textId="4D3FE8C5" w:rsidR="00227EF4" w:rsidRPr="00227EF4" w:rsidRDefault="00227EF4">
      <w:pPr>
        <w:pStyle w:val="p1"/>
      </w:pPr>
      <w:r w:rsidRPr="00227EF4">
        <w:rPr>
          <w:rStyle w:val="s1"/>
          <w:b w:val="0"/>
          <w:bCs w:val="0"/>
        </w:rPr>
        <w:t>Supervision et suivi des opérations</w:t>
      </w:r>
    </w:p>
    <w:p w14:paraId="7AC59747" w14:textId="77777777" w:rsidR="00227EF4" w:rsidRPr="00227EF4" w:rsidRDefault="00227EF4">
      <w:pPr>
        <w:pStyle w:val="p2"/>
      </w:pPr>
    </w:p>
    <w:p w14:paraId="094969CB" w14:textId="77777777" w:rsidR="00227EF4" w:rsidRPr="00227EF4" w:rsidRDefault="00227EF4">
      <w:pPr>
        <w:pStyle w:val="p1"/>
      </w:pPr>
      <w:r w:rsidRPr="00227EF4">
        <w:rPr>
          <w:rStyle w:val="s2"/>
        </w:rPr>
        <w:t>SecureFlow assure une supervision continue des opérations afin de :</w:t>
      </w:r>
    </w:p>
    <w:p w14:paraId="606C52E8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Suivre l’exécution des engagements</w:t>
      </w:r>
    </w:p>
    <w:p w14:paraId="36B57708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Vérifier le respect des délais et procédures</w:t>
      </w:r>
    </w:p>
    <w:p w14:paraId="6AA44532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Détecter rapidement toute anomalie</w:t>
      </w:r>
    </w:p>
    <w:p w14:paraId="3AFF8075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Garantir une traçabilité claire des actions</w:t>
      </w:r>
    </w:p>
    <w:p w14:paraId="76EFD48E" w14:textId="77777777" w:rsidR="00227EF4" w:rsidRPr="00227EF4" w:rsidRDefault="00227EF4">
      <w:pPr>
        <w:pStyle w:val="p4"/>
      </w:pPr>
    </w:p>
    <w:p w14:paraId="69BA336F" w14:textId="77777777" w:rsidR="00227EF4" w:rsidRPr="00227EF4" w:rsidRDefault="00227EF4">
      <w:pPr>
        <w:pStyle w:val="p3"/>
      </w:pPr>
      <w:r w:rsidRPr="00227EF4">
        <w:rPr>
          <w:rStyle w:val="s2"/>
        </w:rPr>
        <w:t>Cette supervision permet une réaction rapide en cas de difficulté.</w:t>
      </w:r>
    </w:p>
    <w:p w14:paraId="27542016" w14:textId="77777777" w:rsidR="00227EF4" w:rsidRPr="00227EF4" w:rsidRDefault="00227EF4">
      <w:pPr>
        <w:pStyle w:val="p2"/>
      </w:pPr>
    </w:p>
    <w:p w14:paraId="49F909B0" w14:textId="2B93B24E" w:rsidR="00227EF4" w:rsidRPr="00227EF4" w:rsidRDefault="00227EF4">
      <w:pPr>
        <w:pStyle w:val="p1"/>
      </w:pPr>
      <w:r w:rsidRPr="00227EF4">
        <w:rPr>
          <w:rStyle w:val="s1"/>
          <w:b w:val="0"/>
          <w:bCs w:val="0"/>
        </w:rPr>
        <w:t>Gestion des incidents et situations à risque</w:t>
      </w:r>
    </w:p>
    <w:p w14:paraId="71F5866B" w14:textId="77777777" w:rsidR="00227EF4" w:rsidRPr="00227EF4" w:rsidRDefault="00227EF4">
      <w:pPr>
        <w:pStyle w:val="p2"/>
      </w:pPr>
    </w:p>
    <w:p w14:paraId="73329CC5" w14:textId="77777777" w:rsidR="00227EF4" w:rsidRPr="00227EF4" w:rsidRDefault="00227EF4">
      <w:pPr>
        <w:pStyle w:val="p1"/>
      </w:pPr>
      <w:r w:rsidRPr="00227EF4">
        <w:rPr>
          <w:rStyle w:val="s2"/>
        </w:rPr>
        <w:t>En cas d’incident ou de risque avéré, SecureFlow intervient pour :</w:t>
      </w:r>
    </w:p>
    <w:p w14:paraId="77B532F7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Signaler immédiatement les anomalies constatées</w:t>
      </w:r>
    </w:p>
    <w:p w14:paraId="7D71223E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Assister les parties dans la compréhension de la situation</w:t>
      </w:r>
    </w:p>
    <w:p w14:paraId="783B8FBE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Proposer des options de gestion et de mitigation</w:t>
      </w:r>
    </w:p>
    <w:p w14:paraId="20066988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Coordonner les échanges avec les partenaires concernés</w:t>
      </w:r>
    </w:p>
    <w:p w14:paraId="310B4379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Documenter les incidents pour prévenir leur récurrence</w:t>
      </w:r>
    </w:p>
    <w:p w14:paraId="18285439" w14:textId="77777777" w:rsidR="00227EF4" w:rsidRPr="00227EF4" w:rsidRDefault="00227EF4">
      <w:pPr>
        <w:pStyle w:val="p4"/>
      </w:pPr>
    </w:p>
    <w:p w14:paraId="5E33CB53" w14:textId="77777777" w:rsidR="00227EF4" w:rsidRPr="00227EF4" w:rsidRDefault="00227EF4">
      <w:pPr>
        <w:pStyle w:val="p3"/>
      </w:pPr>
      <w:r w:rsidRPr="00227EF4">
        <w:rPr>
          <w:rStyle w:val="s2"/>
        </w:rPr>
        <w:t xml:space="preserve">SecureFlow agit comme </w:t>
      </w:r>
      <w:r w:rsidRPr="00227EF4">
        <w:rPr>
          <w:rStyle w:val="s1"/>
          <w:b w:val="0"/>
          <w:bCs w:val="0"/>
        </w:rPr>
        <w:t>assistant stratégique</w:t>
      </w:r>
      <w:r w:rsidRPr="00227EF4">
        <w:rPr>
          <w:rStyle w:val="s2"/>
        </w:rPr>
        <w:t>, sans se substituer aux obligations légales des parties.</w:t>
      </w:r>
    </w:p>
    <w:p w14:paraId="040C06F9" w14:textId="77777777" w:rsidR="00227EF4" w:rsidRPr="00227EF4" w:rsidRDefault="00227EF4">
      <w:pPr>
        <w:pStyle w:val="p2"/>
      </w:pPr>
    </w:p>
    <w:p w14:paraId="49BD6316" w14:textId="42B273D9" w:rsidR="00227EF4" w:rsidRPr="00227EF4" w:rsidRDefault="00227EF4">
      <w:pPr>
        <w:pStyle w:val="p1"/>
      </w:pPr>
      <w:r w:rsidRPr="00227EF4">
        <w:rPr>
          <w:rStyle w:val="s1"/>
          <w:b w:val="0"/>
          <w:bCs w:val="0"/>
        </w:rPr>
        <w:t>Conformité, éthique et confidentialité</w:t>
      </w:r>
    </w:p>
    <w:p w14:paraId="018F212E" w14:textId="77777777" w:rsidR="00227EF4" w:rsidRPr="00227EF4" w:rsidRDefault="00227EF4">
      <w:pPr>
        <w:pStyle w:val="p2"/>
      </w:pPr>
    </w:p>
    <w:p w14:paraId="6AF8A18C" w14:textId="77777777" w:rsidR="00227EF4" w:rsidRPr="00227EF4" w:rsidRDefault="00227EF4">
      <w:pPr>
        <w:pStyle w:val="p1"/>
      </w:pPr>
      <w:r w:rsidRPr="00227EF4">
        <w:rPr>
          <w:rStyle w:val="s2"/>
        </w:rPr>
        <w:t>SecureFlow s’engage à :</w:t>
      </w:r>
    </w:p>
    <w:p w14:paraId="5F5A6EC5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Respecter les lois et réglementations applicables</w:t>
      </w:r>
    </w:p>
    <w:p w14:paraId="2B586AFD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Agir avec neutralité et indépendance</w:t>
      </w:r>
    </w:p>
    <w:p w14:paraId="7A0D2334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Garantir la confidentialité des informations traitées</w:t>
      </w:r>
    </w:p>
    <w:p w14:paraId="650C840A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Lutter contre la fraude et les pratiques illicites</w:t>
      </w:r>
    </w:p>
    <w:p w14:paraId="2C32611B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Maintenir un haut niveau d’éthique professionnelle</w:t>
      </w:r>
    </w:p>
    <w:p w14:paraId="23C40ABF" w14:textId="77777777" w:rsidR="00227EF4" w:rsidRPr="00227EF4" w:rsidRDefault="00227EF4">
      <w:pPr>
        <w:pStyle w:val="p2"/>
      </w:pPr>
    </w:p>
    <w:p w14:paraId="7ECDA828" w14:textId="35F33884" w:rsidR="00227EF4" w:rsidRPr="00227EF4" w:rsidRDefault="00227EF4">
      <w:pPr>
        <w:pStyle w:val="p1"/>
      </w:pPr>
      <w:r w:rsidRPr="00227EF4">
        <w:rPr>
          <w:rStyle w:val="s1"/>
          <w:b w:val="0"/>
          <w:bCs w:val="0"/>
        </w:rPr>
        <w:t>Limites d’intervention et responsabilité</w:t>
      </w:r>
    </w:p>
    <w:p w14:paraId="32B90383" w14:textId="77777777" w:rsidR="00227EF4" w:rsidRPr="00227EF4" w:rsidRDefault="00227EF4">
      <w:pPr>
        <w:pStyle w:val="p2"/>
      </w:pPr>
    </w:p>
    <w:p w14:paraId="7EC89187" w14:textId="77777777" w:rsidR="00227EF4" w:rsidRPr="00227EF4" w:rsidRDefault="00227EF4">
      <w:pPr>
        <w:pStyle w:val="p1"/>
      </w:pPr>
      <w:r w:rsidRPr="00227EF4">
        <w:rPr>
          <w:rStyle w:val="s2"/>
        </w:rPr>
        <w:t xml:space="preserve">SecureFlow intervient en qualité de </w:t>
      </w:r>
      <w:r w:rsidRPr="00227EF4">
        <w:rPr>
          <w:rStyle w:val="s1"/>
          <w:b w:val="0"/>
          <w:bCs w:val="0"/>
        </w:rPr>
        <w:t>tiers de confiance</w:t>
      </w:r>
      <w:r w:rsidRPr="00227EF4">
        <w:rPr>
          <w:rStyle w:val="s2"/>
        </w:rPr>
        <w:t xml:space="preserve"> et de </w:t>
      </w:r>
      <w:r w:rsidRPr="00227EF4">
        <w:rPr>
          <w:rStyle w:val="s1"/>
          <w:b w:val="0"/>
          <w:bCs w:val="0"/>
        </w:rPr>
        <w:t>facilitateur stratégique</w:t>
      </w:r>
      <w:r w:rsidRPr="00227EF4">
        <w:rPr>
          <w:rStyle w:val="s2"/>
        </w:rPr>
        <w:t>.</w:t>
      </w:r>
    </w:p>
    <w:p w14:paraId="6F83D92F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SecureFlow n’est ni assureur ni garant financier</w:t>
      </w:r>
    </w:p>
    <w:p w14:paraId="302FC48E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Aucune garantie de résultat ou de paiement n’est fournie</w:t>
      </w:r>
    </w:p>
    <w:p w14:paraId="33944564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L’intervention est strictement encadrée par les contrats conclus</w:t>
      </w:r>
    </w:p>
    <w:p w14:paraId="5A36E3F2" w14:textId="77777777" w:rsidR="00227EF4" w:rsidRPr="00227EF4" w:rsidRDefault="00227EF4">
      <w:pPr>
        <w:pStyle w:val="p3"/>
      </w:pP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•</w:t>
      </w:r>
      <w:r w:rsidRPr="00227EF4">
        <w:rPr>
          <w:rStyle w:val="apple-tab-span"/>
          <w:rFonts w:ascii="UICTFontTextStyleBody" w:hAnsi="UICTFontTextStyleBody"/>
        </w:rPr>
        <w:tab/>
      </w:r>
      <w:r w:rsidRPr="00227EF4">
        <w:rPr>
          <w:rStyle w:val="s2"/>
        </w:rPr>
        <w:t>Les parties demeurent responsables de leurs engagements respectifs</w:t>
      </w:r>
    </w:p>
    <w:p w14:paraId="22664064" w14:textId="2A794EF9" w:rsidR="00227EF4" w:rsidRPr="00227EF4" w:rsidRDefault="00227EF4" w:rsidP="00695639">
      <w:pPr>
        <w:pStyle w:val="p3"/>
        <w:ind w:left="0"/>
      </w:pPr>
    </w:p>
    <w:sectPr w:rsidR="00227EF4" w:rsidRPr="00227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F4"/>
    <w:rsid w:val="000C6910"/>
    <w:rsid w:val="00227EF4"/>
    <w:rsid w:val="00695639"/>
    <w:rsid w:val="00C2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920676"/>
  <w15:chartTrackingRefBased/>
  <w15:docId w15:val="{9DA27382-96B2-4F41-8A6E-CDD42B86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J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7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7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7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7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7E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7E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7E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7E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7E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7E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7E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7E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7E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E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7EF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27EF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227EF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227EF4"/>
    <w:pPr>
      <w:spacing w:after="0" w:line="240" w:lineRule="auto"/>
      <w:ind w:left="540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4">
    <w:name w:val="p4"/>
    <w:basedOn w:val="Normal"/>
    <w:rsid w:val="00227EF4"/>
    <w:pPr>
      <w:spacing w:after="0" w:line="240" w:lineRule="auto"/>
      <w:ind w:left="540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Policepardfaut"/>
    <w:rsid w:val="00227EF4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Policepardfaut"/>
    <w:rsid w:val="00227EF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tab-span">
    <w:name w:val="apple-tab-span"/>
    <w:basedOn w:val="Policepardfaut"/>
    <w:rsid w:val="00227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Habib</dc:creator>
  <cp:keywords/>
  <dc:description/>
  <cp:lastModifiedBy>Sergio Habib</cp:lastModifiedBy>
  <cp:revision>2</cp:revision>
  <dcterms:created xsi:type="dcterms:W3CDTF">2026-01-23T09:17:00Z</dcterms:created>
  <dcterms:modified xsi:type="dcterms:W3CDTF">2026-01-23T09:17:00Z</dcterms:modified>
</cp:coreProperties>
</file>