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C038D7" w14:textId="57C50936" w:rsidR="00E265E6" w:rsidRDefault="001D0188">
      <w:r>
        <w:rPr>
          <w:noProof/>
        </w:rPr>
        <w:drawing>
          <wp:inline distT="0" distB="0" distL="0" distR="0" wp14:anchorId="6F483B9F" wp14:editId="06A1CE49">
            <wp:extent cx="4834467" cy="2543350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233" cy="255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497D" w14:textId="489D8488" w:rsidR="001D0188" w:rsidRPr="001D0188" w:rsidRDefault="001D0188">
      <w:pPr>
        <w:rPr>
          <w:rFonts w:ascii="Arial" w:hAnsi="Arial" w:cs="Arial"/>
          <w:sz w:val="16"/>
          <w:szCs w:val="16"/>
        </w:rPr>
      </w:pPr>
      <w:r w:rsidRPr="001D0188">
        <w:rPr>
          <w:rFonts w:ascii="Arial" w:hAnsi="Arial" w:cs="Arial"/>
          <w:sz w:val="16"/>
          <w:szCs w:val="16"/>
        </w:rPr>
        <w:t xml:space="preserve">Fuente: </w:t>
      </w:r>
      <w:hyperlink r:id="rId5" w:history="1">
        <w:r w:rsidRPr="001D0188">
          <w:rPr>
            <w:rStyle w:val="Hipervnculo"/>
            <w:rFonts w:ascii="Arial" w:hAnsi="Arial" w:cs="Arial"/>
            <w:sz w:val="16"/>
            <w:szCs w:val="16"/>
          </w:rPr>
          <w:t>https://www.fotocasa.es/blog/compraventa/mercado-inmobiliario-cambios-en-la-demanda-de-vivienda-poscovid/</w:t>
        </w:r>
      </w:hyperlink>
    </w:p>
    <w:p w14:paraId="648FE6D3" w14:textId="10FBEC03" w:rsidR="001D0188" w:rsidRPr="001D0188" w:rsidRDefault="001D0188" w:rsidP="001D0188">
      <w:pPr>
        <w:spacing w:before="100" w:beforeAutospacing="1" w:after="100" w:afterAutospacing="1"/>
        <w:rPr>
          <w:rFonts w:ascii="Arial" w:eastAsia="Times New Roman" w:hAnsi="Arial" w:cs="Arial"/>
          <w:color w:val="222222"/>
          <w:spacing w:val="3"/>
          <w:lang w:eastAsia="es-ES_tradnl"/>
        </w:rPr>
      </w:pPr>
      <w:r w:rsidRPr="001D0188">
        <w:rPr>
          <w:rFonts w:ascii="Arial" w:eastAsia="Times New Roman" w:hAnsi="Arial" w:cs="Arial"/>
          <w:b/>
          <w:bCs/>
          <w:color w:val="222222"/>
          <w:spacing w:val="3"/>
          <w:lang w:eastAsia="es-ES_tradnl"/>
        </w:rPr>
        <w:t xml:space="preserve">TAM (Total </w:t>
      </w:r>
      <w:proofErr w:type="spellStart"/>
      <w:r w:rsidRPr="001D0188">
        <w:rPr>
          <w:rFonts w:ascii="Arial" w:eastAsia="Times New Roman" w:hAnsi="Arial" w:cs="Arial"/>
          <w:b/>
          <w:bCs/>
          <w:color w:val="222222"/>
          <w:spacing w:val="3"/>
          <w:lang w:eastAsia="es-ES_tradnl"/>
        </w:rPr>
        <w:t>Addressable</w:t>
      </w:r>
      <w:proofErr w:type="spellEnd"/>
      <w:r w:rsidRPr="001D0188">
        <w:rPr>
          <w:rFonts w:ascii="Arial" w:eastAsia="Times New Roman" w:hAnsi="Arial" w:cs="Arial"/>
          <w:b/>
          <w:bCs/>
          <w:color w:val="222222"/>
          <w:spacing w:val="3"/>
          <w:lang w:eastAsia="es-ES_tradnl"/>
        </w:rPr>
        <w:t xml:space="preserve"> </w:t>
      </w:r>
      <w:proofErr w:type="spellStart"/>
      <w:r w:rsidRPr="001D0188">
        <w:rPr>
          <w:rFonts w:ascii="Arial" w:eastAsia="Times New Roman" w:hAnsi="Arial" w:cs="Arial"/>
          <w:b/>
          <w:bCs/>
          <w:color w:val="222222"/>
          <w:spacing w:val="3"/>
          <w:lang w:eastAsia="es-ES_tradnl"/>
        </w:rPr>
        <w:t>Market</w:t>
      </w:r>
      <w:proofErr w:type="spellEnd"/>
      <w:r w:rsidRPr="001D0188">
        <w:rPr>
          <w:rFonts w:ascii="Arial" w:eastAsia="Times New Roman" w:hAnsi="Arial" w:cs="Arial"/>
          <w:b/>
          <w:bCs/>
          <w:color w:val="222222"/>
          <w:spacing w:val="3"/>
          <w:lang w:eastAsia="es-ES_tradnl"/>
        </w:rPr>
        <w:t>)</w:t>
      </w:r>
      <w:r w:rsidRPr="001D0188">
        <w:rPr>
          <w:rFonts w:ascii="Arial" w:eastAsia="Times New Roman" w:hAnsi="Arial" w:cs="Arial"/>
          <w:color w:val="222222"/>
          <w:spacing w:val="3"/>
          <w:lang w:eastAsia="es-ES_tradnl"/>
        </w:rPr>
        <w:br/>
        <w:t xml:space="preserve">El TAM es el mercado total posible o el tamaño que tiene nuestro “universo”. Se trata de </w:t>
      </w:r>
      <w:r w:rsidRPr="001D0188">
        <w:rPr>
          <w:rFonts w:ascii="Arial" w:eastAsia="Times New Roman" w:hAnsi="Arial" w:cs="Arial"/>
          <w:color w:val="222222"/>
          <w:spacing w:val="3"/>
          <w:highlight w:val="yellow"/>
          <w:lang w:eastAsia="es-ES_tradnl"/>
        </w:rPr>
        <w:t>estimar del volumen de ingresos anuales</w:t>
      </w:r>
      <w:r w:rsidRPr="001D0188">
        <w:rPr>
          <w:rFonts w:ascii="Arial" w:eastAsia="Times New Roman" w:hAnsi="Arial" w:cs="Arial"/>
          <w:color w:val="222222"/>
          <w:spacing w:val="3"/>
          <w:lang w:eastAsia="es-ES_tradnl"/>
        </w:rPr>
        <w:t xml:space="preserve"> que representa la oportunidad de negocio que tenemos entre manos. Este es el valor de mercado en el que se fijan los inversores iniciales de </w:t>
      </w:r>
      <w:proofErr w:type="gramStart"/>
      <w:r w:rsidRPr="001D0188">
        <w:rPr>
          <w:rFonts w:ascii="Arial" w:eastAsia="Times New Roman" w:hAnsi="Arial" w:cs="Arial"/>
          <w:color w:val="222222"/>
          <w:spacing w:val="3"/>
          <w:lang w:eastAsia="es-ES_tradnl"/>
        </w:rPr>
        <w:t xml:space="preserve">una </w:t>
      </w:r>
      <w:proofErr w:type="spellStart"/>
      <w:r w:rsidRPr="001D0188">
        <w:rPr>
          <w:rFonts w:ascii="Arial" w:eastAsia="Times New Roman" w:hAnsi="Arial" w:cs="Arial"/>
          <w:color w:val="222222"/>
          <w:spacing w:val="3"/>
          <w:lang w:eastAsia="es-ES_tradnl"/>
        </w:rPr>
        <w:t>startup</w:t>
      </w:r>
      <w:proofErr w:type="spellEnd"/>
      <w:proofErr w:type="gramEnd"/>
      <w:r w:rsidRPr="001D0188">
        <w:rPr>
          <w:rFonts w:ascii="Arial" w:eastAsia="Times New Roman" w:hAnsi="Arial" w:cs="Arial"/>
          <w:color w:val="222222"/>
          <w:spacing w:val="3"/>
          <w:lang w:eastAsia="es-ES_tradnl"/>
        </w:rPr>
        <w:t>.</w:t>
      </w:r>
    </w:p>
    <w:p w14:paraId="2B99DC59" w14:textId="77777777" w:rsidR="001D0188" w:rsidRPr="001D0188" w:rsidRDefault="001D0188" w:rsidP="001D0188">
      <w:pPr>
        <w:spacing w:before="100" w:beforeAutospacing="1" w:after="100" w:afterAutospacing="1"/>
        <w:rPr>
          <w:rFonts w:ascii="Arial" w:eastAsia="Times New Roman" w:hAnsi="Arial" w:cs="Arial"/>
          <w:color w:val="222222"/>
          <w:spacing w:val="3"/>
          <w:lang w:eastAsia="es-ES_tradnl"/>
        </w:rPr>
      </w:pPr>
    </w:p>
    <w:p w14:paraId="4C4728CC" w14:textId="3CE4975E" w:rsidR="001D0188" w:rsidRDefault="001D0188" w:rsidP="001D0188">
      <w:pPr>
        <w:spacing w:before="100" w:beforeAutospacing="1" w:after="100" w:afterAutospacing="1"/>
        <w:rPr>
          <w:rFonts w:ascii="Arial" w:eastAsia="Times New Roman" w:hAnsi="Arial" w:cs="Arial"/>
          <w:color w:val="222222"/>
          <w:spacing w:val="3"/>
          <w:lang w:eastAsia="es-ES_tradnl"/>
        </w:rPr>
      </w:pPr>
      <w:r w:rsidRPr="001D0188">
        <w:rPr>
          <w:rFonts w:ascii="Arial" w:eastAsia="Times New Roman" w:hAnsi="Arial" w:cs="Arial"/>
          <w:b/>
          <w:bCs/>
          <w:color w:val="222222"/>
          <w:spacing w:val="3"/>
          <w:lang w:eastAsia="es-ES_tradnl"/>
        </w:rPr>
        <w:t>SAM (</w:t>
      </w:r>
      <w:proofErr w:type="spellStart"/>
      <w:r w:rsidRPr="001D0188">
        <w:rPr>
          <w:rFonts w:ascii="Arial" w:eastAsia="Times New Roman" w:hAnsi="Arial" w:cs="Arial"/>
          <w:b/>
          <w:bCs/>
          <w:color w:val="222222"/>
          <w:spacing w:val="3"/>
          <w:lang w:eastAsia="es-ES_tradnl"/>
        </w:rPr>
        <w:t>Served</w:t>
      </w:r>
      <w:proofErr w:type="spellEnd"/>
      <w:r w:rsidRPr="001D0188">
        <w:rPr>
          <w:rFonts w:ascii="Arial" w:eastAsia="Times New Roman" w:hAnsi="Arial" w:cs="Arial"/>
          <w:b/>
          <w:bCs/>
          <w:color w:val="222222"/>
          <w:spacing w:val="3"/>
          <w:lang w:eastAsia="es-ES_tradnl"/>
        </w:rPr>
        <w:t xml:space="preserve"> </w:t>
      </w:r>
      <w:proofErr w:type="spellStart"/>
      <w:r w:rsidRPr="001D0188">
        <w:rPr>
          <w:rFonts w:ascii="Arial" w:eastAsia="Times New Roman" w:hAnsi="Arial" w:cs="Arial"/>
          <w:b/>
          <w:bCs/>
          <w:color w:val="222222"/>
          <w:spacing w:val="3"/>
          <w:lang w:eastAsia="es-ES_tradnl"/>
        </w:rPr>
        <w:t>Available</w:t>
      </w:r>
      <w:proofErr w:type="spellEnd"/>
      <w:r w:rsidRPr="001D0188">
        <w:rPr>
          <w:rFonts w:ascii="Arial" w:eastAsia="Times New Roman" w:hAnsi="Arial" w:cs="Arial"/>
          <w:b/>
          <w:bCs/>
          <w:color w:val="222222"/>
          <w:spacing w:val="3"/>
          <w:lang w:eastAsia="es-ES_tradnl"/>
        </w:rPr>
        <w:t xml:space="preserve"> </w:t>
      </w:r>
      <w:proofErr w:type="spellStart"/>
      <w:r w:rsidRPr="001D0188">
        <w:rPr>
          <w:rFonts w:ascii="Arial" w:eastAsia="Times New Roman" w:hAnsi="Arial" w:cs="Arial"/>
          <w:b/>
          <w:bCs/>
          <w:color w:val="222222"/>
          <w:spacing w:val="3"/>
          <w:lang w:eastAsia="es-ES_tradnl"/>
        </w:rPr>
        <w:t>Market</w:t>
      </w:r>
      <w:proofErr w:type="spellEnd"/>
      <w:r w:rsidRPr="001D0188">
        <w:rPr>
          <w:rFonts w:ascii="Arial" w:eastAsia="Times New Roman" w:hAnsi="Arial" w:cs="Arial"/>
          <w:b/>
          <w:bCs/>
          <w:color w:val="222222"/>
          <w:spacing w:val="3"/>
          <w:lang w:eastAsia="es-ES_tradnl"/>
        </w:rPr>
        <w:t>) </w:t>
      </w:r>
      <w:r w:rsidRPr="001D0188">
        <w:rPr>
          <w:rFonts w:ascii="Arial" w:eastAsia="Times New Roman" w:hAnsi="Arial" w:cs="Arial"/>
          <w:color w:val="222222"/>
          <w:spacing w:val="3"/>
          <w:lang w:eastAsia="es-ES_tradnl"/>
        </w:rPr>
        <w:br/>
        <w:t xml:space="preserve">El SAM es un subconjunto del anterior indicador, y representa el mercado disponible o el volumen de mercado que somos capaces de servir con el modelo de negocio actualmente definido y los recursos </w:t>
      </w:r>
      <w:proofErr w:type="gramStart"/>
      <w:r w:rsidRPr="001D0188">
        <w:rPr>
          <w:rFonts w:ascii="Arial" w:eastAsia="Times New Roman" w:hAnsi="Arial" w:cs="Arial"/>
          <w:color w:val="222222"/>
          <w:spacing w:val="3"/>
          <w:lang w:eastAsia="es-ES_tradnl"/>
        </w:rPr>
        <w:t xml:space="preserve">de la </w:t>
      </w:r>
      <w:proofErr w:type="spellStart"/>
      <w:r w:rsidRPr="001D0188">
        <w:rPr>
          <w:rFonts w:ascii="Arial" w:eastAsia="Times New Roman" w:hAnsi="Arial" w:cs="Arial"/>
          <w:color w:val="222222"/>
          <w:spacing w:val="3"/>
          <w:lang w:eastAsia="es-ES_tradnl"/>
        </w:rPr>
        <w:t>startup</w:t>
      </w:r>
      <w:proofErr w:type="spellEnd"/>
      <w:proofErr w:type="gramEnd"/>
      <w:r w:rsidRPr="001D0188">
        <w:rPr>
          <w:rFonts w:ascii="Arial" w:eastAsia="Times New Roman" w:hAnsi="Arial" w:cs="Arial"/>
          <w:color w:val="222222"/>
          <w:spacing w:val="3"/>
          <w:lang w:eastAsia="es-ES_tradnl"/>
        </w:rPr>
        <w:t xml:space="preserve"> a medio plazo</w:t>
      </w:r>
      <w:r w:rsidR="003B3153">
        <w:rPr>
          <w:rFonts w:ascii="Arial" w:eastAsia="Times New Roman" w:hAnsi="Arial" w:cs="Arial"/>
          <w:color w:val="222222"/>
          <w:spacing w:val="3"/>
          <w:lang w:eastAsia="es-ES_tradnl"/>
        </w:rPr>
        <w:t xml:space="preserve">. </w:t>
      </w:r>
      <w:r w:rsidRPr="001D0188">
        <w:rPr>
          <w:rFonts w:ascii="Arial" w:eastAsia="Times New Roman" w:hAnsi="Arial" w:cs="Arial"/>
          <w:color w:val="222222"/>
          <w:spacing w:val="3"/>
          <w:lang w:eastAsia="es-ES_tradnl"/>
        </w:rPr>
        <w:br/>
      </w:r>
    </w:p>
    <w:p w14:paraId="139B8003" w14:textId="374EADDB" w:rsidR="001D0188" w:rsidRDefault="001D0188" w:rsidP="001D0188">
      <w:pPr>
        <w:spacing w:before="100" w:beforeAutospacing="1" w:after="100" w:afterAutospacing="1"/>
        <w:rPr>
          <w:rFonts w:ascii="Arial" w:eastAsia="Times New Roman" w:hAnsi="Arial" w:cs="Arial"/>
          <w:color w:val="222222"/>
          <w:spacing w:val="3"/>
          <w:lang w:eastAsia="es-ES_tradnl"/>
        </w:rPr>
      </w:pPr>
      <w:r>
        <w:rPr>
          <w:rFonts w:ascii="Arial" w:eastAsia="Times New Roman" w:hAnsi="Arial" w:cs="Arial"/>
          <w:noProof/>
          <w:color w:val="222222"/>
          <w:spacing w:val="3"/>
          <w:lang w:eastAsia="es-ES_tradnl"/>
        </w:rPr>
        <w:drawing>
          <wp:inline distT="0" distB="0" distL="0" distR="0" wp14:anchorId="607069DF" wp14:editId="6921FBC8">
            <wp:extent cx="4174067" cy="298884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067" cy="298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97EE" w14:textId="2CC83CEE" w:rsidR="001D0188" w:rsidRPr="001D0188" w:rsidRDefault="001D0188" w:rsidP="001D0188">
      <w:pPr>
        <w:spacing w:before="100" w:beforeAutospacing="1"/>
        <w:rPr>
          <w:rFonts w:ascii="Arial" w:eastAsia="Times New Roman" w:hAnsi="Arial" w:cs="Arial"/>
          <w:color w:val="222222"/>
          <w:spacing w:val="3"/>
          <w:lang w:eastAsia="es-ES_tradnl"/>
        </w:rPr>
      </w:pPr>
      <w:r w:rsidRPr="001D0188">
        <w:rPr>
          <w:rFonts w:ascii="Arial" w:eastAsia="Times New Roman" w:hAnsi="Arial" w:cs="Arial"/>
          <w:b/>
          <w:bCs/>
          <w:color w:val="222222"/>
          <w:spacing w:val="3"/>
          <w:lang w:eastAsia="es-ES_tradnl"/>
        </w:rPr>
        <w:lastRenderedPageBreak/>
        <w:t>SOM (</w:t>
      </w:r>
      <w:proofErr w:type="spellStart"/>
      <w:r w:rsidRPr="001D0188">
        <w:rPr>
          <w:rFonts w:ascii="Arial" w:eastAsia="Times New Roman" w:hAnsi="Arial" w:cs="Arial"/>
          <w:b/>
          <w:bCs/>
          <w:color w:val="222222"/>
          <w:spacing w:val="3"/>
          <w:lang w:eastAsia="es-ES_tradnl"/>
        </w:rPr>
        <w:t>Serviceable</w:t>
      </w:r>
      <w:proofErr w:type="spellEnd"/>
      <w:r w:rsidRPr="001D0188">
        <w:rPr>
          <w:rFonts w:ascii="Arial" w:eastAsia="Times New Roman" w:hAnsi="Arial" w:cs="Arial"/>
          <w:b/>
          <w:bCs/>
          <w:color w:val="222222"/>
          <w:spacing w:val="3"/>
          <w:lang w:eastAsia="es-ES_tradnl"/>
        </w:rPr>
        <w:t xml:space="preserve"> </w:t>
      </w:r>
      <w:proofErr w:type="spellStart"/>
      <w:r w:rsidRPr="001D0188">
        <w:rPr>
          <w:rFonts w:ascii="Arial" w:eastAsia="Times New Roman" w:hAnsi="Arial" w:cs="Arial"/>
          <w:b/>
          <w:bCs/>
          <w:color w:val="222222"/>
          <w:spacing w:val="3"/>
          <w:lang w:eastAsia="es-ES_tradnl"/>
        </w:rPr>
        <w:t>Obtainable</w:t>
      </w:r>
      <w:proofErr w:type="spellEnd"/>
      <w:r w:rsidRPr="001D0188">
        <w:rPr>
          <w:rFonts w:ascii="Arial" w:eastAsia="Times New Roman" w:hAnsi="Arial" w:cs="Arial"/>
          <w:b/>
          <w:bCs/>
          <w:color w:val="222222"/>
          <w:spacing w:val="3"/>
          <w:lang w:eastAsia="es-ES_tradnl"/>
        </w:rPr>
        <w:t xml:space="preserve"> </w:t>
      </w:r>
      <w:proofErr w:type="spellStart"/>
      <w:r w:rsidRPr="001D0188">
        <w:rPr>
          <w:rFonts w:ascii="Arial" w:eastAsia="Times New Roman" w:hAnsi="Arial" w:cs="Arial"/>
          <w:b/>
          <w:bCs/>
          <w:color w:val="222222"/>
          <w:spacing w:val="3"/>
          <w:lang w:eastAsia="es-ES_tradnl"/>
        </w:rPr>
        <w:t>Market</w:t>
      </w:r>
      <w:proofErr w:type="spellEnd"/>
      <w:r w:rsidRPr="001D0188">
        <w:rPr>
          <w:rFonts w:ascii="Arial" w:eastAsia="Times New Roman" w:hAnsi="Arial" w:cs="Arial"/>
          <w:b/>
          <w:bCs/>
          <w:color w:val="222222"/>
          <w:spacing w:val="3"/>
          <w:lang w:eastAsia="es-ES_tradnl"/>
        </w:rPr>
        <w:t>) </w:t>
      </w:r>
      <w:r w:rsidRPr="001D0188">
        <w:rPr>
          <w:rFonts w:ascii="Arial" w:eastAsia="Times New Roman" w:hAnsi="Arial" w:cs="Arial"/>
          <w:color w:val="222222"/>
          <w:spacing w:val="3"/>
          <w:lang w:eastAsia="es-ES_tradnl"/>
        </w:rPr>
        <w:br/>
        <w:t xml:space="preserve">El SOM es de nuevo un subconjunto del indicador anterior, y representa el mercado objetivo. Es la estimación de quiénes serán los compradores del producto </w:t>
      </w:r>
      <w:proofErr w:type="gramStart"/>
      <w:r w:rsidRPr="001D0188">
        <w:rPr>
          <w:rFonts w:ascii="Arial" w:eastAsia="Times New Roman" w:hAnsi="Arial" w:cs="Arial"/>
          <w:color w:val="222222"/>
          <w:spacing w:val="3"/>
          <w:lang w:eastAsia="es-ES_tradnl"/>
        </w:rPr>
        <w:t xml:space="preserve">de la </w:t>
      </w:r>
      <w:proofErr w:type="spellStart"/>
      <w:r w:rsidRPr="001D0188">
        <w:rPr>
          <w:rFonts w:ascii="Arial" w:eastAsia="Times New Roman" w:hAnsi="Arial" w:cs="Arial"/>
          <w:color w:val="222222"/>
          <w:spacing w:val="3"/>
          <w:lang w:eastAsia="es-ES_tradnl"/>
        </w:rPr>
        <w:t>startup</w:t>
      </w:r>
      <w:proofErr w:type="spellEnd"/>
      <w:proofErr w:type="gramEnd"/>
      <w:r w:rsidRPr="001D0188">
        <w:rPr>
          <w:rFonts w:ascii="Arial" w:eastAsia="Times New Roman" w:hAnsi="Arial" w:cs="Arial"/>
          <w:color w:val="222222"/>
          <w:spacing w:val="3"/>
          <w:lang w:eastAsia="es-ES_tradnl"/>
        </w:rPr>
        <w:t xml:space="preserve"> ahora, en este momento</w:t>
      </w:r>
      <w:r w:rsidRPr="001D0188">
        <w:rPr>
          <w:rFonts w:ascii="Arial" w:eastAsia="Times New Roman" w:hAnsi="Arial" w:cs="Arial"/>
          <w:color w:val="222222"/>
          <w:spacing w:val="3"/>
          <w:lang w:eastAsia="es-ES_tradnl"/>
        </w:rPr>
        <w:t>.</w:t>
      </w:r>
      <w:r w:rsidRPr="001D0188">
        <w:rPr>
          <w:rFonts w:ascii="Arial" w:eastAsia="Times New Roman" w:hAnsi="Arial" w:cs="Arial"/>
          <w:color w:val="222222"/>
          <w:spacing w:val="3"/>
          <w:lang w:eastAsia="es-ES_tradnl"/>
        </w:rPr>
        <w:t xml:space="preserve"> </w:t>
      </w:r>
    </w:p>
    <w:p w14:paraId="251460CD" w14:textId="288FD0C2" w:rsidR="001D0188" w:rsidRDefault="001D0188" w:rsidP="001D0188"/>
    <w:p w14:paraId="304873A0" w14:textId="7F44CD05" w:rsidR="003B3153" w:rsidRDefault="003B3153" w:rsidP="001D0188">
      <w:r>
        <w:rPr>
          <w:noProof/>
        </w:rPr>
        <w:drawing>
          <wp:inline distT="0" distB="0" distL="0" distR="0" wp14:anchorId="0D7A36D9" wp14:editId="0111E72B">
            <wp:extent cx="4826000" cy="3476674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830" cy="348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153" w:rsidSect="00A5063D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188"/>
    <w:rsid w:val="001D0188"/>
    <w:rsid w:val="003B3153"/>
    <w:rsid w:val="007A588D"/>
    <w:rsid w:val="009C0DF0"/>
    <w:rsid w:val="00A5063D"/>
    <w:rsid w:val="00A523C7"/>
    <w:rsid w:val="00D15F49"/>
    <w:rsid w:val="00E26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70F29"/>
  <w15:chartTrackingRefBased/>
  <w15:docId w15:val="{8CDAB14C-676A-9040-9201-70A1D2260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1D0188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1D0188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D01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110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www.fotocasa.es/blog/compraventa/mercado-inmobiliario-cambios-en-la-demanda-de-vivienda-poscovid/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161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Florentina Cuevas Egea</dc:creator>
  <cp:keywords/>
  <dc:description/>
  <cp:lastModifiedBy>Florentina Cuevas Egea</cp:lastModifiedBy>
  <cp:revision>2</cp:revision>
  <dcterms:created xsi:type="dcterms:W3CDTF">2021-02-03T19:00:00Z</dcterms:created>
  <dcterms:modified xsi:type="dcterms:W3CDTF">2021-02-03T19:20:00Z</dcterms:modified>
</cp:coreProperties>
</file>