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media/image6.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5.png" ContentType="image/png"/>
  <Override PartName="/word/media/image7.png" ContentType="image/png"/>
  <Override PartName="/word/media/image11.png" ContentType="image/png"/>
  <Override PartName="/word/media/image12.jpeg" ContentType="image/jpeg"/>
  <Override PartName="/word/media/image8.png" ContentType="image/png"/>
  <Override PartName="/word/media/image9.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120"/>
        <w:rPr/>
      </w:pPr>
      <w:r>
        <w:rPr/>
        <w:t>Proposta de Projeto de Gestão de Queimadas de Savana</w:t>
      </w:r>
    </w:p>
    <w:p>
      <w:pPr>
        <w:pStyle w:val="Subtitle"/>
        <w:rPr/>
      </w:pPr>
      <w:r>
        <w:rPr/>
        <w:t>Relatório de Avaliação de Viabilidade</w:t>
      </w:r>
    </w:p>
    <w:p>
      <w:pPr>
        <w:pStyle w:val="Author"/>
        <w:rPr/>
      </w:pPr>
      <w:r>
        <w:rPr/>
        <w:t>ECODATAGEO</w:t>
      </w:r>
    </w:p>
    <w:p>
      <w:pPr>
        <w:pStyle w:val="Date"/>
        <w:rPr/>
      </w:pPr>
      <w:r>
        <w:rPr/>
        <w:t>2025-02-17</w:t>
      </w:r>
    </w:p>
    <w:sdt>
      <w:sdtPr>
        <w:docPartObj>
          <w:docPartGallery w:val="Table of Contents"/>
          <w:docPartUnique w:val="true"/>
        </w:docPartObj>
      </w:sdtPr>
      <w:sdtContent>
        <w:p>
          <w:pPr>
            <w:pStyle w:val="TOCHeading"/>
            <w:suppressAutoHyphens w:val="true"/>
            <w:spacing w:lineRule="auto" w:line="259" w:before="240" w:after="0"/>
            <w:jc w:val="left"/>
            <w:rPr>
              <w:rFonts w:ascii="Calibri Light" w:hAnsi="Calibri Light" w:eastAsia="" w:cs="" w:asciiTheme="majorHAnsi" w:cstheme="majorBidi" w:eastAsiaTheme="majorEastAsia" w:hAnsiTheme="majorHAnsi"/>
              <w:b w:val="false"/>
              <w:color w:themeColor="accent1" w:themeShade="bf" w:val="2F5496"/>
              <w:sz w:val="32"/>
              <w:szCs w:val="32"/>
              <w:lang w:val="pt-PT" w:eastAsia="en-US"/>
            </w:rPr>
          </w:pPr>
          <w:r>
            <w:rPr>
              <w:rFonts w:eastAsia="" w:cs="" w:cstheme="majorBidi" w:eastAsiaTheme="majorEastAsia"/>
              <w:b w:val="false"/>
              <w:color w:themeColor="accent1" w:themeShade="bf" w:val="2F5496"/>
              <w:sz w:val="32"/>
              <w:szCs w:val="32"/>
              <w:lang w:val="pt-PT" w:eastAsia="en-US"/>
            </w:rPr>
            <w:t>Índice</w:t>
          </w:r>
        </w:p>
        <w:p>
          <w:pPr>
            <w:pStyle w:val="TOC2"/>
            <w:tabs>
              <w:tab w:val="clear" w:pos="720"/>
              <w:tab w:val="right" w:pos="10205" w:leader="dot"/>
            </w:tabs>
            <w:rPr/>
          </w:pPr>
          <w:r>
            <w:fldChar w:fldCharType="begin"/>
          </w:r>
          <w:r>
            <w:rPr>
              <w:webHidden/>
              <w:rStyle w:val="Vnculodendice"/>
            </w:rPr>
            <w:instrText xml:space="preserve"> TOC \z \o "1-3" \u \h</w:instrText>
          </w:r>
          <w:r>
            <w:rPr>
              <w:webHidden/>
              <w:rStyle w:val="Vnculodendice"/>
            </w:rPr>
            <w:fldChar w:fldCharType="separate"/>
          </w:r>
          <w:hyperlink w:anchor="__RefHeading___Toc6879_760125585">
            <w:r>
              <w:rPr>
                <w:webHidden/>
                <w:rStyle w:val="Vnculodendice"/>
              </w:rPr>
              <w:t>1 Introdução</w:t>
              <w:tab/>
              <w:t>2</w:t>
            </w:r>
          </w:hyperlink>
        </w:p>
        <w:p>
          <w:pPr>
            <w:pStyle w:val="TOC3"/>
            <w:tabs>
              <w:tab w:val="clear" w:pos="720"/>
              <w:tab w:val="right" w:pos="10205" w:leader="dot"/>
            </w:tabs>
            <w:rPr/>
          </w:pPr>
          <w:hyperlink w:anchor="__RefHeading___Toc6881_760125585">
            <w:r>
              <w:rPr>
                <w:webHidden/>
                <w:rStyle w:val="Vnculodendice"/>
              </w:rPr>
              <w:t>1.1 Créditos de Biodiversidade</w:t>
              <w:tab/>
              <w:t>2</w:t>
            </w:r>
          </w:hyperlink>
        </w:p>
        <w:p>
          <w:pPr>
            <w:pStyle w:val="TOC3"/>
            <w:tabs>
              <w:tab w:val="clear" w:pos="720"/>
              <w:tab w:val="right" w:pos="10205" w:leader="dot"/>
            </w:tabs>
            <w:rPr/>
          </w:pPr>
          <w:hyperlink w:anchor="__RefHeading___Toc6883_760125585">
            <w:r>
              <w:rPr>
                <w:webHidden/>
                <w:rStyle w:val="Vnculodendice"/>
              </w:rPr>
              <w:t>1.2 Créditos Baseados em Manejo Integrado do Fogo</w:t>
              <w:tab/>
              <w:t>3</w:t>
            </w:r>
          </w:hyperlink>
        </w:p>
        <w:p>
          <w:pPr>
            <w:pStyle w:val="TOC3"/>
            <w:tabs>
              <w:tab w:val="clear" w:pos="720"/>
              <w:tab w:val="right" w:pos="10205" w:leader="dot"/>
            </w:tabs>
            <w:rPr/>
          </w:pPr>
          <w:hyperlink w:anchor="__RefHeading___Toc6885_760125585">
            <w:r>
              <w:rPr>
                <w:webHidden/>
                <w:rStyle w:val="Vnculodendice"/>
              </w:rPr>
              <w:t>1.3 Conservação e Restauração de Savanas Naturais</w:t>
              <w:tab/>
              <w:t>3</w:t>
            </w:r>
          </w:hyperlink>
        </w:p>
        <w:p>
          <w:pPr>
            <w:pStyle w:val="TOC3"/>
            <w:tabs>
              <w:tab w:val="clear" w:pos="720"/>
              <w:tab w:val="right" w:pos="10205" w:leader="dot"/>
            </w:tabs>
            <w:rPr/>
          </w:pPr>
          <w:hyperlink w:anchor="__RefHeading___Toc6887_760125585">
            <w:r>
              <w:rPr>
                <w:webHidden/>
                <w:rStyle w:val="Vnculodendice"/>
              </w:rPr>
              <w:t>1.4 Conservação e Restauração de Zonas Úmidas Continentais</w:t>
              <w:tab/>
              <w:t>4</w:t>
            </w:r>
          </w:hyperlink>
        </w:p>
        <w:p>
          <w:pPr>
            <w:pStyle w:val="TOC2"/>
            <w:tabs>
              <w:tab w:val="clear" w:pos="720"/>
              <w:tab w:val="right" w:pos="10205" w:leader="dot"/>
            </w:tabs>
            <w:rPr/>
          </w:pPr>
          <w:hyperlink w:anchor="__RefHeading___Toc6889_760125585">
            <w:r>
              <w:rPr>
                <w:webHidden/>
                <w:rStyle w:val="Vnculodendice"/>
              </w:rPr>
              <w:t>2 Objetivos</w:t>
              <w:tab/>
              <w:t>4</w:t>
            </w:r>
          </w:hyperlink>
        </w:p>
        <w:p>
          <w:pPr>
            <w:pStyle w:val="TOC2"/>
            <w:tabs>
              <w:tab w:val="clear" w:pos="720"/>
              <w:tab w:val="right" w:pos="10205" w:leader="dot"/>
            </w:tabs>
            <w:rPr/>
          </w:pPr>
          <w:hyperlink w:anchor="__RefHeading___Toc6891_760125585">
            <w:r>
              <w:rPr>
                <w:webHidden/>
                <w:rStyle w:val="Vnculodendice"/>
              </w:rPr>
              <w:t>3 LOCAL PROPOSTO</w:t>
              <w:tab/>
              <w:t>4</w:t>
            </w:r>
          </w:hyperlink>
        </w:p>
        <w:p>
          <w:pPr>
            <w:pStyle w:val="TOC3"/>
            <w:tabs>
              <w:tab w:val="clear" w:pos="720"/>
              <w:tab w:val="right" w:pos="10205" w:leader="dot"/>
            </w:tabs>
            <w:rPr/>
          </w:pPr>
          <w:hyperlink w:anchor="__RefHeading___Toc6893_760125585">
            <w:r>
              <w:rPr>
                <w:webHidden/>
                <w:rStyle w:val="Vnculodendice"/>
              </w:rPr>
              <w:t>3.1 LOCALIZAÇÃO E DESCRIÇÃO DO LOCAL</w:t>
              <w:tab/>
              <w:t>4</w:t>
            </w:r>
          </w:hyperlink>
        </w:p>
        <w:p>
          <w:pPr>
            <w:pStyle w:val="TOC3"/>
            <w:tabs>
              <w:tab w:val="clear" w:pos="720"/>
              <w:tab w:val="right" w:pos="10205" w:leader="dot"/>
            </w:tabs>
            <w:rPr/>
          </w:pPr>
          <w:hyperlink w:anchor="__RefHeading___Toc6895_760125585">
            <w:r>
              <w:rPr>
                <w:webHidden/>
                <w:rStyle w:val="Vnculodendice"/>
              </w:rPr>
              <w:t>3.2 CLIMA E VEGETAÇÃO</w:t>
              <w:tab/>
              <w:t>5</w:t>
            </w:r>
          </w:hyperlink>
        </w:p>
        <w:p>
          <w:pPr>
            <w:pStyle w:val="TOC3"/>
            <w:tabs>
              <w:tab w:val="clear" w:pos="720"/>
              <w:tab w:val="right" w:pos="10205" w:leader="dot"/>
            </w:tabs>
            <w:rPr/>
          </w:pPr>
          <w:hyperlink w:anchor="__RefHeading___Toc6897_760125585">
            <w:r>
              <w:rPr>
                <w:webHidden/>
                <w:rStyle w:val="Vnculodendice"/>
              </w:rPr>
              <w:t>3.3 REGIME DE INCÊNDIOS PREDOMINANTE</w:t>
              <w:tab/>
              <w:t>6</w:t>
            </w:r>
          </w:hyperlink>
        </w:p>
        <w:p>
          <w:pPr>
            <w:pStyle w:val="TOC2"/>
            <w:tabs>
              <w:tab w:val="clear" w:pos="720"/>
              <w:tab w:val="right" w:pos="10205" w:leader="dot"/>
            </w:tabs>
            <w:rPr/>
          </w:pPr>
          <w:hyperlink w:anchor="__RefHeading___Toc6899_760125585">
            <w:r>
              <w:rPr>
                <w:webHidden/>
                <w:rStyle w:val="Vnculodendice"/>
              </w:rPr>
              <w:t>4 METODOLOGIA PROPOSTA</w:t>
              <w:tab/>
              <w:t>15</w:t>
            </w:r>
          </w:hyperlink>
        </w:p>
        <w:p>
          <w:pPr>
            <w:pStyle w:val="TOC3"/>
            <w:tabs>
              <w:tab w:val="clear" w:pos="720"/>
              <w:tab w:val="right" w:pos="10205" w:leader="dot"/>
            </w:tabs>
            <w:rPr/>
          </w:pPr>
          <w:hyperlink w:anchor="__RefHeading___Toc6901_760125585">
            <w:r>
              <w:rPr>
                <w:webHidden/>
                <w:rStyle w:val="Vnculodendice"/>
              </w:rPr>
              <w:t>4.1 METODOLOGIA ISFM</w:t>
              <w:tab/>
              <w:t>15</w:t>
            </w:r>
          </w:hyperlink>
        </w:p>
        <w:p>
          <w:pPr>
            <w:pStyle w:val="TOC3"/>
            <w:tabs>
              <w:tab w:val="clear" w:pos="720"/>
              <w:tab w:val="right" w:pos="10205" w:leader="dot"/>
            </w:tabs>
            <w:rPr/>
          </w:pPr>
          <w:hyperlink w:anchor="__RefHeading___Toc6903_760125585">
            <w:r>
              <w:rPr>
                <w:webHidden/>
                <w:rStyle w:val="Vnculodendice"/>
              </w:rPr>
              <w:t>4.2 REGIME DE COMÉRCIO DE CARBONO</w:t>
              <w:tab/>
              <w:t>15</w:t>
            </w:r>
          </w:hyperlink>
        </w:p>
        <w:p>
          <w:pPr>
            <w:pStyle w:val="TOC2"/>
            <w:tabs>
              <w:tab w:val="clear" w:pos="720"/>
              <w:tab w:val="right" w:pos="10205" w:leader="dot"/>
            </w:tabs>
            <w:rPr/>
          </w:pPr>
          <w:hyperlink w:anchor="__RefHeading___Toc6905_760125585">
            <w:r>
              <w:rPr>
                <w:webHidden/>
                <w:rStyle w:val="Vnculodendice"/>
              </w:rPr>
              <w:t>5 ATIVIDADES DO PROJETO</w:t>
              <w:tab/>
              <w:t>15</w:t>
            </w:r>
          </w:hyperlink>
        </w:p>
        <w:p>
          <w:pPr>
            <w:pStyle w:val="TOC3"/>
            <w:tabs>
              <w:tab w:val="clear" w:pos="720"/>
              <w:tab w:val="right" w:pos="10205" w:leader="dot"/>
            </w:tabs>
            <w:rPr/>
          </w:pPr>
          <w:hyperlink w:anchor="__RefHeading___Toc6907_760125585">
            <w:r>
              <w:rPr>
                <w:webHidden/>
                <w:rStyle w:val="Vnculodendice"/>
              </w:rPr>
              <w:t>5.1 DESENVOLVIMENTO E REGISTO</w:t>
              <w:tab/>
              <w:t>15</w:t>
            </w:r>
          </w:hyperlink>
        </w:p>
        <w:p>
          <w:pPr>
            <w:pStyle w:val="TOC3"/>
            <w:tabs>
              <w:tab w:val="clear" w:pos="720"/>
              <w:tab w:val="right" w:pos="10205" w:leader="dot"/>
            </w:tabs>
            <w:rPr/>
          </w:pPr>
          <w:hyperlink w:anchor="__RefHeading___Toc6909_760125585">
            <w:r>
              <w:rPr>
                <w:webHidden/>
                <w:rStyle w:val="Vnculodendice"/>
              </w:rPr>
              <w:t>5.2 OPERAÇÕES DE GESTÃO DE INCÊNDIOS</w:t>
              <w:tab/>
              <w:t>16</w:t>
            </w:r>
          </w:hyperlink>
        </w:p>
        <w:p>
          <w:pPr>
            <w:pStyle w:val="TOC3"/>
            <w:tabs>
              <w:tab w:val="clear" w:pos="720"/>
              <w:tab w:val="right" w:pos="10205" w:leader="dot"/>
            </w:tabs>
            <w:rPr/>
          </w:pPr>
          <w:hyperlink w:anchor="__RefHeading___Toc6911_760125585">
            <w:r>
              <w:rPr>
                <w:webHidden/>
                <w:rStyle w:val="Vnculodendice"/>
              </w:rPr>
              <w:t>5.3 ACOMPANHAMENTO, INFORMAÇÃO E VERIFICAÇÃO</w:t>
              <w:tab/>
              <w:t>17</w:t>
            </w:r>
          </w:hyperlink>
        </w:p>
        <w:p>
          <w:pPr>
            <w:pStyle w:val="TOC2"/>
            <w:tabs>
              <w:tab w:val="clear" w:pos="720"/>
              <w:tab w:val="right" w:pos="10205" w:leader="dot"/>
            </w:tabs>
            <w:rPr/>
          </w:pPr>
          <w:hyperlink w:anchor="__RefHeading___Toc6913_760125585">
            <w:r>
              <w:rPr>
                <w:webHidden/>
                <w:rStyle w:val="Vnculodendice"/>
              </w:rPr>
              <w:t>6 POTENCIAIS CRÉDITOS DE CARBONO</w:t>
              <w:tab/>
              <w:t>17</w:t>
            </w:r>
          </w:hyperlink>
        </w:p>
        <w:p>
          <w:pPr>
            <w:pStyle w:val="TOC3"/>
            <w:tabs>
              <w:tab w:val="clear" w:pos="720"/>
              <w:tab w:val="right" w:pos="10205" w:leader="dot"/>
            </w:tabs>
            <w:rPr/>
          </w:pPr>
          <w:hyperlink w:anchor="__RefHeading___Toc6915_760125585">
            <w:r>
              <w:rPr>
                <w:webHidden/>
                <w:rStyle w:val="Vnculodendice"/>
              </w:rPr>
              <w:t>6.1 TIPOS DE COMBUSTÍVEL DA VEGETAÇÃO</w:t>
              <w:tab/>
              <w:t>17</w:t>
            </w:r>
          </w:hyperlink>
        </w:p>
        <w:p>
          <w:pPr>
            <w:pStyle w:val="TOC3"/>
            <w:tabs>
              <w:tab w:val="clear" w:pos="720"/>
              <w:tab w:val="right" w:pos="10205" w:leader="dot"/>
            </w:tabs>
            <w:rPr/>
          </w:pPr>
          <w:hyperlink w:anchor="__RefHeading___Toc6917_760125585">
            <w:r>
              <w:rPr>
                <w:webHidden/>
                <w:rStyle w:val="Vnculodendice"/>
              </w:rPr>
              <w:t>6.2 POTENCIAL DE REDUÇÃO / PREVENÇÃO DE EMISSÕES</w:t>
              <w:tab/>
              <w:t>17</w:t>
            </w:r>
          </w:hyperlink>
        </w:p>
        <w:p>
          <w:pPr>
            <w:pStyle w:val="TOC3"/>
            <w:tabs>
              <w:tab w:val="clear" w:pos="720"/>
              <w:tab w:val="right" w:pos="10205" w:leader="dot"/>
            </w:tabs>
            <w:rPr/>
          </w:pPr>
          <w:hyperlink w:anchor="__RefHeading___Toc6919_760125585">
            <w:r>
              <w:rPr>
                <w:webHidden/>
                <w:rStyle w:val="Vnculodendice"/>
              </w:rPr>
              <w:t>6.3 AUMENTO DA SEQUESTRO / REMOÇÃO DE CARBONO</w:t>
              <w:tab/>
              <w:t>20</w:t>
            </w:r>
          </w:hyperlink>
        </w:p>
        <w:p>
          <w:pPr>
            <w:pStyle w:val="TOC2"/>
            <w:tabs>
              <w:tab w:val="clear" w:pos="720"/>
              <w:tab w:val="right" w:pos="10205" w:leader="dot"/>
            </w:tabs>
            <w:rPr/>
          </w:pPr>
          <w:hyperlink w:anchor="__RefHeading___Toc6921_760125585">
            <w:r>
              <w:rPr>
                <w:webHidden/>
                <w:rStyle w:val="Vnculodendice"/>
              </w:rPr>
              <w:t>7 MODELO FINANCEIRO PROPOSTO</w:t>
              <w:tab/>
              <w:t>21</w:t>
            </w:r>
          </w:hyperlink>
        </w:p>
        <w:p>
          <w:pPr>
            <w:pStyle w:val="TOC2"/>
            <w:tabs>
              <w:tab w:val="clear" w:pos="720"/>
              <w:tab w:val="right" w:pos="10205" w:leader="dot"/>
            </w:tabs>
            <w:rPr/>
          </w:pPr>
          <w:hyperlink w:anchor="__RefHeading___Toc6923_760125585">
            <w:r>
              <w:rPr>
                <w:webHidden/>
                <w:rStyle w:val="Vnculodendice"/>
              </w:rPr>
              <w:t>8 RECOMENDAÇÕES</w:t>
              <w:tab/>
              <w:t>22</w:t>
            </w:r>
          </w:hyperlink>
          <w:r>
            <w:rPr>
              <w:rStyle w:val="Vnculodendice"/>
            </w:rPr>
            <w:fldChar w:fldCharType="end"/>
          </w:r>
        </w:p>
      </w:sdtContent>
    </w:sdt>
    <w:p>
      <w:pPr>
        <w:pStyle w:val="Heading2"/>
        <w:rPr/>
      </w:pPr>
      <w:bookmarkStart w:id="0" w:name="__RefHeading___Toc6879_760125585"/>
      <w:bookmarkStart w:id="1" w:name="introdução"/>
      <w:bookmarkEnd w:id="0"/>
      <w:r>
        <w:rPr/>
        <w:t>1 Introdução</w:t>
      </w:r>
    </w:p>
    <w:p>
      <w:pPr>
        <w:pStyle w:val="FirstParagraph"/>
        <w:rPr/>
      </w:pPr>
      <w:r>
        <w:rPr/>
        <w:t>Os incêndios no Pantanal têm causado prejuízos significativos à fauna e flora locais. O aumento na frequência e na intensidade de incêndios tem sido apontado como causa de declínio de populações de diversos organismos (ver, p. ex., Abreu et al. (2004), Valencia-Zuleta et al. (2024)).</w:t>
      </w:r>
    </w:p>
    <w:p>
      <w:pPr>
        <w:pStyle w:val="BodyText"/>
        <w:rPr/>
      </w:pPr>
      <w:r>
        <w:rPr/>
        <w:t>A gestão do regime do fogo no Parque Estadual do Pantanal do Rio Negro requer ações integradas e contínuas, combinando ciência, políticas públicas e participação comunitária. A implementação de práticas como o Manejo Integrado do Fogo e a elaboração de planos específicos são essenciais para preservar este ecossistema único e vital, garantindo a sustentabilidade ambiental e a proteção da biodiversidade local.</w:t>
      </w:r>
    </w:p>
    <w:p>
      <w:pPr>
        <w:pStyle w:val="Heading3"/>
        <w:rPr/>
      </w:pPr>
      <w:bookmarkStart w:id="2" w:name="__RefHeading___Toc6881_760125585"/>
      <w:bookmarkStart w:id="3" w:name="créditos-de-biodiversidade"/>
      <w:bookmarkEnd w:id="2"/>
      <w:r>
        <w:rPr/>
        <w:t>1.1 Créditos de Biodiversidade</w:t>
      </w:r>
    </w:p>
    <w:p>
      <w:pPr>
        <w:pStyle w:val="FirstParagraph"/>
        <w:rPr/>
      </w:pPr>
      <w:r>
        <w:rPr/>
        <w:t>Os créditos de biodiversidade são instrumentos financeiros destinados a incentivar a conservação e restauração da biodiversidade. Esses créditos representam ações mensuráveis que contribuem para a proteção de habitats, espécies ameaçadas e serviços ecossistêmicos. Eles funcionam de forma semelhante aos créditos de carbono, permitindo que empresas, governos e outras partes interessadas compensem seu impacto ambiental investindo em projetos certificados de biodiversidade (B. C. Standard 2023; Areas 2019).</w:t>
      </w:r>
    </w:p>
    <w:p>
      <w:pPr>
        <w:pStyle w:val="BodyText"/>
        <w:rPr/>
      </w:pPr>
      <w:r>
        <w:rPr/>
        <w:t>Os créditos de biodiversidade são utilizados como uma ferramenta de mercado, para financiar iniciativas de conservação e restauração ecológica. Seus principais objetivos incluem:</w:t>
      </w:r>
    </w:p>
    <w:p>
      <w:pPr>
        <w:pStyle w:val="Compact"/>
        <w:numPr>
          <w:ilvl w:val="0"/>
          <w:numId w:val="2"/>
        </w:numPr>
        <w:rPr/>
      </w:pPr>
      <w:r>
        <w:rPr>
          <w:b/>
          <w:bCs/>
        </w:rPr>
        <w:t>Incentivar a conservação da biodiversidade</w:t>
      </w:r>
      <w:r>
        <w:rPr/>
        <w:t>: Os créditos tornam a conservação uma alternativa viável economicamente, através da valoração da proteção de ecossistemas (Vivo 2021).</w:t>
      </w:r>
    </w:p>
    <w:p>
      <w:pPr>
        <w:pStyle w:val="Compact"/>
        <w:numPr>
          <w:ilvl w:val="0"/>
          <w:numId w:val="2"/>
        </w:numPr>
        <w:rPr/>
      </w:pPr>
      <w:r>
        <w:rPr>
          <w:b/>
          <w:bCs/>
        </w:rPr>
        <w:t>Restaurar habitats degradados</w:t>
      </w:r>
      <w:r>
        <w:rPr/>
        <w:t>: Projetos de créditos de biodiversidade frequentemente envolvem atividades como reflorestamento, recuperação de áreas úmidas e manejo sustentável da terra (Registry 2022).</w:t>
      </w:r>
    </w:p>
    <w:p>
      <w:pPr>
        <w:pStyle w:val="Compact"/>
        <w:numPr>
          <w:ilvl w:val="0"/>
          <w:numId w:val="2"/>
        </w:numPr>
        <w:rPr/>
      </w:pPr>
      <w:r>
        <w:rPr>
          <w:b/>
          <w:bCs/>
        </w:rPr>
        <w:t>Criar incentivos financeiros para comunidades locais</w:t>
      </w:r>
      <w:r>
        <w:rPr/>
        <w:t>: De modo geral os programas de créditos integram comunidades indígenas e rurais, garantindo benefícios econômicos por meio da conservação (Vivo 2021).</w:t>
      </w:r>
    </w:p>
    <w:p>
      <w:pPr>
        <w:pStyle w:val="Compact"/>
        <w:numPr>
          <w:ilvl w:val="0"/>
          <w:numId w:val="2"/>
        </w:numPr>
        <w:rPr/>
      </w:pPr>
      <w:r>
        <w:rPr>
          <w:b/>
          <w:bCs/>
        </w:rPr>
        <w:t>Apoiar a conformidade ambiental e metas corporativas</w:t>
      </w:r>
      <w:r>
        <w:rPr/>
        <w:t>: As empresas podem utilizar créditos de biodiversidade para mitigar seus impactos ambientais, atendendo as legilações (B. C. Standard 2023).</w:t>
      </w:r>
    </w:p>
    <w:p>
      <w:pPr>
        <w:pStyle w:val="Heading4"/>
        <w:rPr/>
      </w:pPr>
      <w:bookmarkStart w:id="4" w:name="padrões-de-certificação-aplicáveis"/>
      <w:r>
        <w:rPr/>
        <w:t>1.1.1 Padrões de certificação aplicáveis:</w:t>
      </w:r>
    </w:p>
    <w:p>
      <w:pPr>
        <w:pStyle w:val="Compact"/>
        <w:numPr>
          <w:ilvl w:val="0"/>
          <w:numId w:val="21"/>
        </w:numPr>
        <w:rPr/>
      </w:pPr>
      <w:r>
        <w:rPr>
          <w:b/>
          <w:bCs/>
        </w:rPr>
        <w:t>Biodiversity Credit Standard (BCS)</w:t>
      </w:r>
      <w:r>
        <w:rPr/>
        <w:t>: Um padrão emergente para certificação de créditos de biodiversidade, focado na conservação de habitats e na medição de impactos positivos para espécies e ecossistemas. Este padrão visa fornecer incentivos financeiros para práticas que protejam e restaurem a biodiversidade (B. C. Standard 2023).</w:t>
      </w:r>
    </w:p>
    <w:p>
      <w:pPr>
        <w:pStyle w:val="Compact"/>
        <w:numPr>
          <w:ilvl w:val="0"/>
          <w:numId w:val="22"/>
        </w:numPr>
        <w:rPr/>
      </w:pPr>
      <w:r>
        <w:rPr>
          <w:b/>
          <w:bCs/>
        </w:rPr>
        <w:t>Verified Conservation Areas (VCA)</w:t>
      </w:r>
      <w:r>
        <w:rPr/>
        <w:t>: Um sistema de certificação baseado na garantia de longo prazo para áreas protegidas privadas e comunitárias, assegurando práticas sustentáveis e monitoramento contínuo (Areas 2019).</w:t>
      </w:r>
    </w:p>
    <w:p>
      <w:pPr>
        <w:pStyle w:val="Compact"/>
        <w:numPr>
          <w:ilvl w:val="0"/>
          <w:numId w:val="23"/>
        </w:numPr>
        <w:rPr/>
      </w:pPr>
      <w:r>
        <w:rPr>
          <w:b/>
          <w:bCs/>
        </w:rPr>
        <w:t>Plan Vivo</w:t>
      </w:r>
      <w:r>
        <w:rPr/>
        <w:t>: Um dos padrões mais reconhecidos globalmente para projetos de uso sustentável da terra, incluindo conservação de biodiversidade, reflorestamento e agroflorestas (Vivo 2021).</w:t>
      </w:r>
    </w:p>
    <w:p>
      <w:pPr>
        <w:pStyle w:val="Compact"/>
        <w:numPr>
          <w:ilvl w:val="0"/>
          <w:numId w:val="24"/>
        </w:numPr>
        <w:rPr/>
      </w:pPr>
      <w:r>
        <w:rPr>
          <w:b/>
          <w:bCs/>
        </w:rPr>
        <w:t>BioCarbonStandards (BCR)</w:t>
      </w:r>
      <w:r>
        <w:rPr/>
        <w:t>: Certificação para projetos que combinam conservação da biodiversidade e remoção de carbono, garantindo práticas robustas de monitoramento e transparência (Registry 2022).</w:t>
      </w:r>
      <w:bookmarkEnd w:id="4"/>
    </w:p>
    <w:p>
      <w:pPr>
        <w:pStyle w:val="Heading4"/>
        <w:rPr/>
      </w:pPr>
      <w:bookmarkStart w:id="5" w:name="metodologias-aplicáveis"/>
      <w:r>
        <w:rPr/>
        <w:t>1.1.2 Metodologias aplicáveis:</w:t>
      </w:r>
    </w:p>
    <w:p>
      <w:pPr>
        <w:pStyle w:val="Compact"/>
        <w:numPr>
          <w:ilvl w:val="0"/>
          <w:numId w:val="25"/>
        </w:numPr>
        <w:rPr/>
      </w:pPr>
      <w:r>
        <w:rPr/>
        <w:t>Monitoramento de indicadores de biodiversidade.</w:t>
      </w:r>
    </w:p>
    <w:p>
      <w:pPr>
        <w:pStyle w:val="Compact"/>
        <w:numPr>
          <w:ilvl w:val="0"/>
          <w:numId w:val="26"/>
        </w:numPr>
        <w:rPr/>
      </w:pPr>
      <w:r>
        <w:rPr/>
        <w:t>Avaliação da recuperação de habitats e espécies-chave.</w:t>
      </w:r>
    </w:p>
    <w:p>
      <w:pPr>
        <w:pStyle w:val="Compact"/>
        <w:numPr>
          <w:ilvl w:val="0"/>
          <w:numId w:val="27"/>
        </w:numPr>
        <w:rPr/>
      </w:pPr>
      <w:r>
        <w:rPr/>
        <w:t>Estabelecimento de métricas para quantificação da conservação e restauração.</w:t>
      </w:r>
    </w:p>
    <w:p>
      <w:pPr>
        <w:pStyle w:val="Compact"/>
        <w:numPr>
          <w:ilvl w:val="0"/>
          <w:numId w:val="28"/>
        </w:numPr>
        <w:rPr/>
      </w:pPr>
      <w:bookmarkStart w:id="6" w:name="créditos-de-biodiversidade"/>
      <w:bookmarkStart w:id="7" w:name="metodologias-aplicáveis"/>
      <w:r>
        <w:rPr/>
        <w:t>Modelagem ecológica para estimativa de impactos positivos na biodiversidade.</w:t>
      </w:r>
      <w:bookmarkEnd w:id="6"/>
      <w:bookmarkEnd w:id="7"/>
    </w:p>
    <w:p>
      <w:pPr>
        <w:pStyle w:val="Heading3"/>
        <w:rPr/>
      </w:pPr>
      <w:bookmarkStart w:id="8" w:name="__RefHeading___Toc6883_760125585"/>
      <w:bookmarkStart w:id="9" w:name="Xe38377df5019487df875dcad36cf72c5a5c6114"/>
      <w:bookmarkEnd w:id="8"/>
      <w:r>
        <w:rPr/>
        <w:t>1.2 Créditos Baseados em Manejo Integrado do Fogo</w:t>
      </w:r>
    </w:p>
    <w:p>
      <w:pPr>
        <w:pStyle w:val="FirstParagraph"/>
        <w:rPr/>
      </w:pPr>
      <w:r>
        <w:rPr/>
        <w:t>Os créditos baseados em manejo integrado do fogo são mecanismos de compensação que incentivam a implementação de práticas sustentáveis de manejo do fogo para reduzir emissões de gases de efeito estufa e conservar ecossistemas vulneráveis. Esses créditos são gerados por atividades como queimadas prescritas, prevenção de incêndios descontrolados e uso de conhecimentos tradicionais para o manejo do fogo (Government 2018; V. C. Standard 2021).</w:t>
      </w:r>
    </w:p>
    <w:p>
      <w:pPr>
        <w:pStyle w:val="BodyText"/>
        <w:rPr/>
      </w:pPr>
      <w:r>
        <w:rPr/>
        <w:t>Os créditos de manejo integrado do fogo tem como principais finalidades:</w:t>
      </w:r>
    </w:p>
    <w:p>
      <w:pPr>
        <w:pStyle w:val="Compact"/>
        <w:numPr>
          <w:ilvl w:val="0"/>
          <w:numId w:val="29"/>
        </w:numPr>
        <w:rPr/>
      </w:pPr>
      <w:r>
        <w:rPr>
          <w:b/>
          <w:bCs/>
        </w:rPr>
        <w:t>Redução de emissões de GEE</w:t>
      </w:r>
      <w:r>
        <w:rPr/>
        <w:t>: Reduzir a liberação de CO₂ e outros gases de efeito estufa, incentiva-se a adoção de técnicas mais apropriadas ao manejo do fogo (Government 2018).</w:t>
      </w:r>
    </w:p>
    <w:p>
      <w:pPr>
        <w:pStyle w:val="Compact"/>
        <w:numPr>
          <w:ilvl w:val="0"/>
          <w:numId w:val="30"/>
        </w:numPr>
        <w:rPr/>
      </w:pPr>
      <w:r>
        <w:rPr>
          <w:b/>
          <w:bCs/>
        </w:rPr>
        <w:t>Conservação de ecossistemas vulneráveis</w:t>
      </w:r>
      <w:r>
        <w:rPr/>
        <w:t>: Incentivar a prevenção de incêndios descontrolados, evitando perda de biodiversidade (V. C. Standard 2021).</w:t>
      </w:r>
    </w:p>
    <w:p>
      <w:pPr>
        <w:pStyle w:val="Compact"/>
        <w:numPr>
          <w:ilvl w:val="0"/>
          <w:numId w:val="31"/>
        </w:numPr>
        <w:rPr/>
      </w:pPr>
      <w:r>
        <w:rPr>
          <w:b/>
          <w:bCs/>
        </w:rPr>
        <w:t>Práticas tradicionais e indígenas</w:t>
      </w:r>
      <w:r>
        <w:rPr/>
        <w:t>: Incentivar o uso dos saberes tradicionais de comunidades locais para um manejo eficiente do fogo, promovendo inclusão e sustentabilidade (Government 2018).</w:t>
      </w:r>
    </w:p>
    <w:p>
      <w:pPr>
        <w:pStyle w:val="Compact"/>
        <w:numPr>
          <w:ilvl w:val="0"/>
          <w:numId w:val="32"/>
        </w:numPr>
        <w:rPr/>
      </w:pPr>
      <w:r>
        <w:rPr>
          <w:b/>
          <w:bCs/>
        </w:rPr>
        <w:t>Apoio a estratégias de adaptação climática</w:t>
      </w:r>
      <w:r>
        <w:rPr/>
        <w:t>: O manejo adequado do fogo reduz os impactos de eventos climáticos extremos, aumentando a resiliência das paisagens naturais (V. C. Standard 2021).</w:t>
      </w:r>
    </w:p>
    <w:p>
      <w:pPr>
        <w:pStyle w:val="Heading4"/>
        <w:rPr/>
      </w:pPr>
      <w:bookmarkStart w:id="10" w:name="padrões-de-certificação-aplicáveis-1"/>
      <w:r>
        <w:rPr/>
        <w:t>1.2.1 Padrões de certificação aplicáveis:</w:t>
      </w:r>
    </w:p>
    <w:p>
      <w:pPr>
        <w:pStyle w:val="Compact"/>
        <w:numPr>
          <w:ilvl w:val="0"/>
          <w:numId w:val="33"/>
        </w:numPr>
        <w:rPr/>
      </w:pPr>
      <w:r>
        <w:rPr>
          <w:b/>
          <w:bCs/>
        </w:rPr>
        <w:t>Australian Savanna Burning Methodology</w:t>
      </w:r>
      <w:r>
        <w:rPr/>
        <w:t>: Metodologia baseada no conhecimento tradicional indígena da Austrália para o manejo do fogo, reduzindo emissões de gases de efeito estufa e melhorando a resiliência ecológica (Government 2018).</w:t>
      </w:r>
    </w:p>
    <w:p>
      <w:pPr>
        <w:pStyle w:val="Compact"/>
        <w:numPr>
          <w:ilvl w:val="0"/>
          <w:numId w:val="34"/>
        </w:numPr>
        <w:rPr/>
      </w:pPr>
      <w:r>
        <w:rPr>
          <w:b/>
          <w:bCs/>
        </w:rPr>
        <w:t>VCS (Verified Carbon Standard – Metodologias para Manejo do Fogo)</w:t>
      </w:r>
      <w:r>
        <w:rPr/>
        <w:t>: Framework de certificação internacionalmente aceito para contabilização de emissões evitadas e removidas por práticas de manejo do fogo em ecossistemas vulneráveis (V. C. Standard 2021).</w:t>
      </w:r>
      <w:bookmarkEnd w:id="10"/>
    </w:p>
    <w:p>
      <w:pPr>
        <w:pStyle w:val="Heading4"/>
        <w:rPr/>
      </w:pPr>
      <w:bookmarkStart w:id="11" w:name="metodologias-aplicáveis-1"/>
      <w:r>
        <w:rPr/>
        <w:t>1.2.2 Metodologias aplicáveis:</w:t>
      </w:r>
    </w:p>
    <w:p>
      <w:pPr>
        <w:pStyle w:val="Compact"/>
        <w:numPr>
          <w:ilvl w:val="0"/>
          <w:numId w:val="35"/>
        </w:numPr>
        <w:rPr/>
      </w:pPr>
      <w:r>
        <w:rPr/>
        <w:t>Implementação de queimadas prescritas para mitigação de incêndios descontrolados.</w:t>
      </w:r>
    </w:p>
    <w:p>
      <w:pPr>
        <w:pStyle w:val="Compact"/>
        <w:numPr>
          <w:ilvl w:val="0"/>
          <w:numId w:val="36"/>
        </w:numPr>
        <w:rPr/>
      </w:pPr>
      <w:r>
        <w:rPr/>
        <w:t>Monitoramento de redução de emissões de GEE por manejo do fogo.</w:t>
      </w:r>
    </w:p>
    <w:p>
      <w:pPr>
        <w:pStyle w:val="Compact"/>
        <w:numPr>
          <w:ilvl w:val="0"/>
          <w:numId w:val="37"/>
        </w:numPr>
        <w:rPr/>
      </w:pPr>
      <w:bookmarkStart w:id="12" w:name="Xe38377df5019487df875dcad36cf72c5a5c6114"/>
      <w:bookmarkStart w:id="13" w:name="metodologias-aplicáveis-1"/>
      <w:r>
        <w:rPr/>
        <w:t>Uso de técnicas indígenas e conhecimento tradicional na gestão do fogo.</w:t>
      </w:r>
      <w:bookmarkEnd w:id="12"/>
      <w:bookmarkEnd w:id="13"/>
    </w:p>
    <w:p>
      <w:pPr>
        <w:pStyle w:val="Heading3"/>
        <w:rPr/>
      </w:pPr>
      <w:bookmarkStart w:id="14" w:name="__RefHeading___Toc6885_760125585"/>
      <w:bookmarkStart w:id="15" w:name="X1118808898dde9f5624fd42c383c1a9ee602d36"/>
      <w:bookmarkEnd w:id="14"/>
      <w:r>
        <w:rPr/>
        <w:t>1.3 Conservação e Restauração de Savanas Naturais</w:t>
      </w:r>
    </w:p>
    <w:p>
      <w:pPr>
        <w:pStyle w:val="Heading4"/>
        <w:rPr/>
      </w:pPr>
      <w:bookmarkStart w:id="16" w:name="padrões-de-certificação-aplicáveis-2"/>
      <w:r>
        <w:rPr/>
        <w:t>1.3.1 Padrões de certificação aplicáveis:</w:t>
      </w:r>
    </w:p>
    <w:p>
      <w:pPr>
        <w:pStyle w:val="Compact"/>
        <w:numPr>
          <w:ilvl w:val="0"/>
          <w:numId w:val="38"/>
        </w:numPr>
        <w:rPr/>
      </w:pPr>
      <w:r>
        <w:rPr>
          <w:b/>
          <w:bCs/>
        </w:rPr>
        <w:t>BioCarbon Registry – Natural Savannas (BCR0005)</w:t>
      </w:r>
      <w:r>
        <w:rPr/>
        <w:t>: Padrão voltado para a certificação de projetos de conservação e restauração de savanas naturais, assegurando práticas sustentáveis de manejo e proteção contra incêndios descontrolados (Registry 2020).</w:t>
      </w:r>
      <w:bookmarkEnd w:id="16"/>
    </w:p>
    <w:p>
      <w:pPr>
        <w:pStyle w:val="Heading4"/>
        <w:rPr/>
      </w:pPr>
      <w:bookmarkStart w:id="17" w:name="metodologias-aplicáveis-2"/>
      <w:r>
        <w:rPr/>
        <w:t>1.3.2 Metodologias aplicáveis:</w:t>
      </w:r>
    </w:p>
    <w:p>
      <w:pPr>
        <w:pStyle w:val="Compact"/>
        <w:numPr>
          <w:ilvl w:val="0"/>
          <w:numId w:val="39"/>
        </w:numPr>
        <w:rPr/>
      </w:pPr>
      <w:r>
        <w:rPr/>
        <w:t>Proteção contra incêndios descontrolados e práticas sustentáveis de manejo.</w:t>
      </w:r>
    </w:p>
    <w:p>
      <w:pPr>
        <w:pStyle w:val="Compact"/>
        <w:numPr>
          <w:ilvl w:val="0"/>
          <w:numId w:val="40"/>
        </w:numPr>
        <w:rPr/>
      </w:pPr>
      <w:r>
        <w:rPr/>
        <w:t>Restauração ecológica e monitoramento da regeneração natural.</w:t>
      </w:r>
    </w:p>
    <w:p>
      <w:pPr>
        <w:pStyle w:val="Compact"/>
        <w:numPr>
          <w:ilvl w:val="0"/>
          <w:numId w:val="41"/>
        </w:numPr>
        <w:rPr/>
      </w:pPr>
      <w:bookmarkStart w:id="18" w:name="X1118808898dde9f5624fd42c383c1a9ee602d36"/>
      <w:bookmarkStart w:id="19" w:name="metodologias-aplicáveis-2"/>
      <w:r>
        <w:rPr/>
        <w:t>Estabelecimento de métricas de estoque de carbono e biodiversidade em savanas.</w:t>
      </w:r>
      <w:bookmarkEnd w:id="18"/>
      <w:bookmarkEnd w:id="19"/>
    </w:p>
    <w:p>
      <w:pPr>
        <w:pStyle w:val="Heading3"/>
        <w:rPr/>
      </w:pPr>
      <w:bookmarkStart w:id="20" w:name="__RefHeading___Toc6887_760125585"/>
      <w:bookmarkStart w:id="21" w:name="Xe0c5ccc6e8984585fa5aabc1ffbe0b08c0a56f9"/>
      <w:bookmarkEnd w:id="20"/>
      <w:r>
        <w:rPr/>
        <w:t>1.4 Conservação e Restauração de Zonas Úmidas Continentais</w:t>
      </w:r>
    </w:p>
    <w:p>
      <w:pPr>
        <w:pStyle w:val="Heading4"/>
        <w:rPr/>
      </w:pPr>
      <w:bookmarkStart w:id="22" w:name="padrões-de-certificação-aplicáveis-3"/>
      <w:r>
        <w:rPr/>
        <w:t>1.4.1 Padrões de certificação aplicáveis:</w:t>
      </w:r>
    </w:p>
    <w:p>
      <w:pPr>
        <w:pStyle w:val="Compact"/>
        <w:numPr>
          <w:ilvl w:val="0"/>
          <w:numId w:val="42"/>
        </w:numPr>
        <w:rPr/>
      </w:pPr>
      <w:r>
        <w:rPr>
          <w:b/>
          <w:bCs/>
        </w:rPr>
        <w:t>BioCarbon Registry – Conservation and Restoration of Natural Continental Wetlands (BCR0007)</w:t>
      </w:r>
      <w:r>
        <w:rPr/>
        <w:t>: Certificação específica para projetos de restauração de zonas úmidas continentais, com foco na captura de carbono, proteção de habitats e serviços ecossistêmicos (Registry 2021).</w:t>
      </w:r>
      <w:bookmarkEnd w:id="22"/>
    </w:p>
    <w:p>
      <w:pPr>
        <w:pStyle w:val="Heading4"/>
        <w:rPr/>
      </w:pPr>
      <w:bookmarkStart w:id="23" w:name="metodologias-aplicáveis-3"/>
      <w:r>
        <w:rPr/>
        <w:t>1.4.2 Metodologias aplicáveis:</w:t>
      </w:r>
    </w:p>
    <w:p>
      <w:pPr>
        <w:pStyle w:val="Compact"/>
        <w:numPr>
          <w:ilvl w:val="0"/>
          <w:numId w:val="43"/>
        </w:numPr>
        <w:rPr/>
      </w:pPr>
      <w:r>
        <w:rPr/>
        <w:t>Avaliação e monitoramento de áreas úmidas degradadas.</w:t>
      </w:r>
    </w:p>
    <w:p>
      <w:pPr>
        <w:pStyle w:val="Compact"/>
        <w:numPr>
          <w:ilvl w:val="0"/>
          <w:numId w:val="44"/>
        </w:numPr>
        <w:rPr/>
      </w:pPr>
      <w:r>
        <w:rPr/>
        <w:t>Implementação de práticas de restauração para aumento da captura de carbono.</w:t>
      </w:r>
    </w:p>
    <w:p>
      <w:pPr>
        <w:pStyle w:val="Compact"/>
        <w:numPr>
          <w:ilvl w:val="0"/>
          <w:numId w:val="45"/>
        </w:numPr>
        <w:rPr/>
      </w:pPr>
      <w:r>
        <w:rPr/>
        <w:t>Estabelecimento de métricas para biodiversidade e qualidade da água.</w:t>
      </w:r>
    </w:p>
    <w:p>
      <w:pPr>
        <w:pStyle w:val="Compact"/>
        <w:numPr>
          <w:ilvl w:val="0"/>
          <w:numId w:val="46"/>
        </w:numPr>
        <w:rPr/>
      </w:pPr>
      <w:bookmarkStart w:id="24" w:name="introdução"/>
      <w:bookmarkStart w:id="25" w:name="Xe0c5ccc6e8984585fa5aabc1ffbe0b08c0a56f9"/>
      <w:bookmarkStart w:id="26" w:name="metodologias-aplicáveis-3"/>
      <w:r>
        <w:rPr/>
        <w:t>Proteção de serviços ecossistêmicos associados às zonas úmidas.</w:t>
      </w:r>
      <w:bookmarkEnd w:id="24"/>
      <w:bookmarkEnd w:id="25"/>
      <w:bookmarkEnd w:id="26"/>
    </w:p>
    <w:p>
      <w:pPr>
        <w:pStyle w:val="Heading2"/>
        <w:rPr/>
      </w:pPr>
      <w:bookmarkStart w:id="27" w:name="__RefHeading___Toc6889_760125585"/>
      <w:bookmarkStart w:id="28" w:name="objetivos"/>
      <w:bookmarkEnd w:id="27"/>
      <w:r>
        <w:rPr/>
        <w:t>2 Objetivos</w:t>
      </w:r>
    </w:p>
    <w:p>
      <w:pPr>
        <w:pStyle w:val="FirstParagraph"/>
        <w:rPr/>
      </w:pPr>
      <w:r>
        <w:rPr/>
        <w:t>Avaliar a viabilidade do local proposto para desenvolver um projeto SFM (Gestão do Fogo na Savana), incluindo</w:t>
      </w:r>
    </w:p>
    <w:p>
      <w:pPr>
        <w:pStyle w:val="Compact"/>
        <w:numPr>
          <w:ilvl w:val="0"/>
          <w:numId w:val="47"/>
        </w:numPr>
        <w:rPr/>
      </w:pPr>
      <w:r>
        <w:rPr/>
        <w:t>Determinar a adequação do sítio em termos de clima, vegetação e regime de incêndios prevalecente</w:t>
      </w:r>
    </w:p>
    <w:p>
      <w:pPr>
        <w:pStyle w:val="Compact"/>
        <w:numPr>
          <w:ilvl w:val="0"/>
          <w:numId w:val="12"/>
        </w:numPr>
        <w:rPr/>
      </w:pPr>
      <w:r>
        <w:rPr/>
        <w:t>Propor uma metodologia e um esquema para o Projeto e a elegibilidade dos Créditos de Carbono gerados no mercado voluntário de carbono</w:t>
      </w:r>
    </w:p>
    <w:p>
      <w:pPr>
        <w:pStyle w:val="Compact"/>
        <w:numPr>
          <w:ilvl w:val="0"/>
          <w:numId w:val="12"/>
        </w:numPr>
        <w:rPr/>
      </w:pPr>
      <w:r>
        <w:rPr/>
        <w:t>Efetuar cálculos preliminares sobre os potenciais Créditos de Carbono e receitas que podem ser gerados pelo Projeto</w:t>
      </w:r>
    </w:p>
    <w:p>
      <w:pPr>
        <w:pStyle w:val="Compact"/>
        <w:numPr>
          <w:ilvl w:val="0"/>
          <w:numId w:val="12"/>
        </w:numPr>
        <w:rPr/>
      </w:pPr>
      <w:r>
        <w:rPr/>
        <w:t>Propor um modelo financeiro para a realização do Projeto e os custos e despesas previstos</w:t>
      </w:r>
    </w:p>
    <w:p>
      <w:pPr>
        <w:pStyle w:val="Compact"/>
        <w:numPr>
          <w:ilvl w:val="0"/>
          <w:numId w:val="12"/>
        </w:numPr>
        <w:rPr/>
      </w:pPr>
      <w:bookmarkStart w:id="29" w:name="objetivos"/>
      <w:r>
        <w:rPr/>
        <w:t>Fornecer recomendações sobre a próxima etapa para o desenvolvimento do Projeto SFM.</w:t>
      </w:r>
      <w:bookmarkEnd w:id="29"/>
    </w:p>
    <w:p>
      <w:pPr>
        <w:pStyle w:val="Heading2"/>
        <w:rPr/>
      </w:pPr>
      <w:bookmarkStart w:id="30" w:name="__RefHeading___Toc6891_760125585"/>
      <w:bookmarkStart w:id="31" w:name="local-proposto"/>
      <w:bookmarkEnd w:id="30"/>
      <w:r>
        <w:rPr/>
        <w:t>3 LOCAL PROPOSTO</w:t>
      </w:r>
    </w:p>
    <w:p>
      <w:pPr>
        <w:pStyle w:val="Heading3"/>
        <w:rPr/>
      </w:pPr>
      <w:bookmarkStart w:id="32" w:name="__RefHeading___Toc6893_760125585"/>
      <w:bookmarkEnd w:id="32"/>
      <w:r>
        <w:rPr/>
        <w:t>3.1 LOCALIZAÇÃO E DESCRIÇÃO DO LOCAL</w:t>
      </w:r>
    </w:p>
    <w:p>
      <w:pPr>
        <w:pStyle w:val="FirstParagraph"/>
        <w:rPr/>
      </w:pPr>
      <w:r>
        <w:rPr/>
        <w:t>O Pantanal se formou no período Quaternário com o aporte de sedimentos siltosos da Serra da Bodoquena ao sul e arenosos da região da Nhecolândia ao norte. Como a área do Parque é uma zona de transição podemos encontrar vegetação e fitofisionomia dos pantanais arenosos e argilosos (Torrecilha e Mauro 2008).</w:t>
      </w:r>
    </w:p>
    <w:p>
      <w:pPr>
        <w:pStyle w:val="BodyText"/>
        <w:rPr/>
      </w:pPr>
      <w:r>
        <w:rPr/>
        <w:t>O Parque Estadual do Pantanal do Rio Negro (PEST do Rio Negro) foi criado através do Decreto Estadual N° 9.941 de 5 de Junho de 2000, do Estado de Mato Grosso do Sul. Possui uma área de 342.233,35 ha e seu território abrange os municípios de Corumbá e Aquidauana. Seu principal objetivo é de preservar amostras de ecossistemas do Pantanal, espécies da flora e fauna nele associadas, a manutenção do regime hidrológico garantindo a sua sazonalidade, a valorização do patrimônio paisagístico e cultural da região, objetivando sua utilização para fins de pesquisa científica, educação ambiental, recreação e turismo em contato com a natureza. A área engloba grande parte de um extenso sistema de irrigação: o brejão do rio Negro, lagoas permanentes e cordões de matas que funcionam como refúgio e alimento da fauna silvestre local, além de ser considerado como um berçário de peixes do Pantanal (Torrecilha e Mauro 2008).</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10206"/>
      </w:tblGrid>
      <w:tr>
        <w:trPr/>
        <w:tc>
          <w:tcPr>
            <w:tcW w:w="10206" w:type="dxa"/>
            <w:tcBorders/>
          </w:tcPr>
          <w:p>
            <w:pPr>
              <w:pStyle w:val="Compact"/>
              <w:spacing w:before="36" w:after="36"/>
              <w:jc w:val="center"/>
              <w:rPr/>
            </w:pPr>
            <w:bookmarkStart w:id="33" w:name="fig-area-pestrn"/>
            <w:r>
              <w:rPr/>
              <w:drawing>
                <wp:inline distT="0" distB="0" distL="0" distR="0">
                  <wp:extent cx="4697095" cy="321564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97095" cy="3215640"/>
                          </a:xfrm>
                          <a:prstGeom prst="rect">
                            <a:avLst/>
                          </a:prstGeom>
                          <a:noFill/>
                        </pic:spPr>
                      </pic:pic>
                    </a:graphicData>
                  </a:graphic>
                </wp:inline>
              </w:drawing>
            </w:r>
          </w:p>
          <w:p>
            <w:pPr>
              <w:pStyle w:val="ImageCaption"/>
              <w:spacing w:before="200" w:after="120"/>
              <w:jc w:val="left"/>
              <w:rPr/>
            </w:pPr>
            <w:bookmarkStart w:id="34" w:name="fig-area-pestrn"/>
            <w:r>
              <w:rPr/>
              <w:t>Figura 1: Área da Parque Estadual do Pantanal do Rio Negro. Fonte: IMASUL (2022)</w:t>
            </w:r>
            <w:bookmarkStart w:id="35" w:name="localização-e-descrição-do-local"/>
            <w:bookmarkEnd w:id="34"/>
            <w:bookmarkEnd w:id="35"/>
          </w:p>
        </w:tc>
      </w:tr>
    </w:tbl>
    <w:p>
      <w:pPr>
        <w:pStyle w:val="Heading3"/>
        <w:rPr/>
      </w:pPr>
      <w:bookmarkStart w:id="36" w:name="__RefHeading___Toc6895_760125585"/>
      <w:bookmarkEnd w:id="36"/>
      <w:r>
        <w:rPr/>
        <w:t>3.2 CLIMA E VEGETAÇÃO</w:t>
      </w:r>
    </w:p>
    <w:p>
      <w:pPr>
        <w:pStyle w:val="FirstParagraph"/>
        <w:rPr/>
      </w:pPr>
      <w:r>
        <w:rPr/>
        <w:t>O clima do Pantanal é tropical subúmido (Aw), com estações sazonais chuvosas (novembro a março) e secas (abril a outubro) bem distintas, que transformam a planície em uma grande área inundada durante o período chuvoso. O sistema hidrográfico do Pantanal é formado pelo rio Paraguai e seus afluentes e um complexo de corpos d’água permanentes e temporários. As áreas próximas aos canais principais são fortemente influenciadas pelas águas e sedimentos transportados pelos rios, enquanto que as áreas mais distantes dos canais principais são inundadas pela chuva local. Além do comportamento sazonal das inundações, o fenômeno das enchentes apresenta uma flutuação plurianual, com alternância de períodos de seca e de cheia Torrecilha e Mauro (2008).</w:t>
      </w:r>
    </w:p>
    <w:p>
      <w:pPr>
        <w:pStyle w:val="BodyText"/>
        <w:rPr/>
      </w:pPr>
      <w:r>
        <w:rPr/>
        <w:t>A paisagem da região do Parque é dominada por baías e corixos onde são encontradas espécies de plantas aquáticas como o camalote (</w:t>
      </w:r>
      <w:r>
        <w:rPr>
          <w:i/>
          <w:iCs/>
        </w:rPr>
        <w:t>Eichornia spp.</w:t>
      </w:r>
      <w:r>
        <w:rPr/>
        <w:t>), a vitória-régia (</w:t>
      </w:r>
      <w:r>
        <w:rPr>
          <w:i/>
          <w:iCs/>
        </w:rPr>
        <w:t>Victoria amazonica</w:t>
      </w:r>
      <w:r>
        <w:rPr/>
        <w:t>), o alface d´água (</w:t>
      </w:r>
      <w:r>
        <w:rPr>
          <w:i/>
          <w:iCs/>
        </w:rPr>
        <w:t>Pistia stratiotes</w:t>
      </w:r>
      <w:r>
        <w:rPr/>
        <w:t>) e a orelha de onça (</w:t>
      </w:r>
      <w:r>
        <w:rPr>
          <w:i/>
          <w:iCs/>
        </w:rPr>
        <w:t>Salvinia auriculata</w:t>
      </w:r>
      <w:r>
        <w:rPr/>
        <w:t>). Áreas abertas cobertas de gramíneas nativas, como o capim-mimoso (</w:t>
      </w:r>
      <w:r>
        <w:rPr>
          <w:i/>
          <w:iCs/>
        </w:rPr>
        <w:t>Axonopus purpusii</w:t>
      </w:r>
      <w:r>
        <w:rPr/>
        <w:t xml:space="preserve">, </w:t>
      </w:r>
      <w:r>
        <w:rPr>
          <w:i/>
          <w:iCs/>
        </w:rPr>
        <w:t>Reimarochloa spp</w:t>
      </w:r>
      <w:r>
        <w:rPr/>
        <w:t xml:space="preserve">, </w:t>
      </w:r>
      <w:r>
        <w:rPr>
          <w:i/>
          <w:iCs/>
        </w:rPr>
        <w:t>Paratheria prostrata</w:t>
      </w:r>
      <w:r>
        <w:rPr/>
        <w:t>), formam os chamados campos limpos. Essas áreas são comuns em partes mais baixas do Pantanal que sofrem inundações a cada estação de cheia e são conhecidas como vazantes. Entre as vazantes e as áreas mais altas com predomínio de arbóreas temos uma formação com vegetação de cerrado, com árvores de porte médio como lixeira (</w:t>
      </w:r>
      <w:r>
        <w:rPr>
          <w:i/>
          <w:iCs/>
        </w:rPr>
        <w:t>Curatella americana</w:t>
      </w:r>
      <w:r>
        <w:rPr/>
        <w:t>), canjiqueira (</w:t>
      </w:r>
      <w:r>
        <w:rPr>
          <w:i/>
          <w:iCs/>
        </w:rPr>
        <w:t>Byrsonima spp</w:t>
      </w:r>
      <w:r>
        <w:rPr/>
        <w:t>) e entremeadas de arbustos e plantas rasteiras como araticum (</w:t>
      </w:r>
      <w:r>
        <w:rPr>
          <w:i/>
          <w:iCs/>
        </w:rPr>
        <w:t>Anona coriacea</w:t>
      </w:r>
      <w:r>
        <w:rPr/>
        <w:t>). Essas áreas possuem espécies de bordas de cordilheiras e capões, e servem como refúgio para o gado e animais silvestres durante a cheia (Torrecilha e Mauro 2008, Figura 2).</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10206"/>
      </w:tblGrid>
      <w:tr>
        <w:trPr/>
        <w:tc>
          <w:tcPr>
            <w:tcW w:w="10206" w:type="dxa"/>
            <w:tcBorders/>
          </w:tcPr>
          <w:p>
            <w:pPr>
              <w:pStyle w:val="Compact"/>
              <w:spacing w:before="36" w:after="36"/>
              <w:jc w:val="center"/>
              <w:rPr/>
            </w:pPr>
            <w:bookmarkStart w:id="37" w:name="fig-mapa-vegetacao-parque"/>
            <w:r>
              <w:rPr/>
              <w:drawing>
                <wp:inline distT="0" distB="0" distL="0" distR="0">
                  <wp:extent cx="6477000" cy="6477000"/>
                  <wp:effectExtent l="0" t="0" r="0" b="0"/>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6477000" cy="6477000"/>
                          </a:xfrm>
                          <a:prstGeom prst="rect">
                            <a:avLst/>
                          </a:prstGeom>
                          <a:noFill/>
                        </pic:spPr>
                      </pic:pic>
                    </a:graphicData>
                  </a:graphic>
                </wp:inline>
              </w:drawing>
            </w:r>
          </w:p>
          <w:p>
            <w:pPr>
              <w:pStyle w:val="ImageCaption"/>
              <w:spacing w:before="200" w:after="120"/>
              <w:jc w:val="left"/>
              <w:rPr/>
            </w:pPr>
            <w:bookmarkStart w:id="38" w:name="fig-mapa-vegetacao-parque"/>
            <w:r>
              <w:rPr/>
              <w:t>Figura 2: PEST do Rio Negro - Mapa de Vegatação</w:t>
            </w:r>
            <w:bookmarkEnd w:id="38"/>
          </w:p>
        </w:tc>
      </w:tr>
    </w:tbl>
    <w:p>
      <w:pPr>
        <w:pStyle w:val="BodyText"/>
        <w:rPr/>
      </w:pPr>
      <w:r>
        <w:rPr/>
        <w:t>As cordilheiras e capões, caracterizadas por áreas mais elevadas em relação ao perfil fitofisionômico (&gt; 2 metros) possuem árvores como a aroeira (</w:t>
      </w:r>
      <w:r>
        <w:rPr>
          <w:i/>
          <w:iCs/>
        </w:rPr>
        <w:t>Astronium spp.</w:t>
      </w:r>
      <w:r>
        <w:rPr/>
        <w:t>), o ipê-roxo ou piúva (</w:t>
      </w:r>
      <w:r>
        <w:rPr>
          <w:i/>
          <w:iCs/>
        </w:rPr>
        <w:t>Tabebuia spp.</w:t>
      </w:r>
      <w:r>
        <w:rPr/>
        <w:t>), o angico vermelho (</w:t>
      </w:r>
      <w:r>
        <w:rPr>
          <w:i/>
          <w:iCs/>
        </w:rPr>
        <w:t>Anadenanthera colubrina</w:t>
      </w:r>
      <w:r>
        <w:rPr/>
        <w:t>), o manduvi (</w:t>
      </w:r>
      <w:r>
        <w:rPr>
          <w:i/>
          <w:iCs/>
        </w:rPr>
        <w:t>Sterculia apetala</w:t>
      </w:r>
      <w:r>
        <w:rPr/>
        <w:t>) e o ipê-amarelo (</w:t>
      </w:r>
      <w:r>
        <w:rPr>
          <w:i/>
          <w:iCs/>
        </w:rPr>
        <w:t>Tabebuia aurea</w:t>
      </w:r>
      <w:r>
        <w:rPr/>
        <w:t>) (Torrecilha e Mauro 2008).</w:t>
      </w:r>
    </w:p>
    <w:p>
      <w:pPr>
        <w:pStyle w:val="Heading3"/>
        <w:rPr/>
      </w:pPr>
      <w:bookmarkStart w:id="39" w:name="__RefHeading___Toc6897_760125585"/>
      <w:bookmarkStart w:id="40" w:name="regime-de-incêndios-predominante"/>
      <w:bookmarkEnd w:id="39"/>
      <w:r>
        <w:rPr/>
        <w:t>3.3 REGIME DE INCÊNDIOS PREDOMINANTE</w:t>
      </w:r>
    </w:p>
    <w:p>
      <w:pPr>
        <w:pStyle w:val="FirstParagraph"/>
        <w:rPr/>
      </w:pPr>
      <w:r>
        <w:rPr/>
        <w:t>A ocorrência de incêndios no Pantanal está frequentemente associada a variáveis meteorológicas, como temperatura elevada, baixa umidade relativa do ar e alta radiação solar. Esses fatores criam condições propícias para a propagação do fogo, especialmente durante a estação seca. Modelagens preditivas utilizando técnicas de análise multivariada demonstraram que há correlação dos fatores meteorológicos com o número de focos, mostrando que essas variáveis guardam uma importante relação com as condições da vegetação do Pantanal de Corumbá-MS e afetam diretamente a ocorrência de focos de queimadas e incêndios, onde se destacaram a radiação solar, a umidade relativa e a temperatura (Viganó et al. 2018).</w:t>
      </w:r>
    </w:p>
    <w:p>
      <w:pPr>
        <w:pStyle w:val="BodyText"/>
        <w:rPr/>
      </w:pPr>
      <w:r>
        <w:rPr/>
        <w:t>Nos últimos anos, o parque tem enfrentado desafios significativos relacionados aos incêndios florestais. A combinação de mudanças climáticas, que resultam em períodos de seca mais intensos, e práticas humanas inadequadas aumentaram a frequência e a intensidade desses incêndios. Em resposta, diversas iniciativas foram implementadas para prevenir e combater o fogo na região (IMASUL 2024).</w:t>
      </w:r>
    </w:p>
    <w:p>
      <w:pPr>
        <w:pStyle w:val="BodyText"/>
        <w:rPr/>
      </w:pPr>
      <w:r>
        <w:rPr/>
        <w:t>Uma das principais estratégias adotadas é o Manejo Integrado do Fogo (MIF), que inclui a realização de queimas prescritas. Essa técnica consiste em queimar controladamente áreas específicas durante períodos seguros, reduzindo o acúmulo de material combustível e, consequentemente, o risco de incêndios descontrolados durante a estação seca. Em 2023, o Parque Estadual do Pantanal do Rio Negro passou por uma queima prescrita no final de maio como medida preventiva (IMASUL 2024).</w:t>
      </w:r>
    </w:p>
    <w:p>
      <w:pPr>
        <w:pStyle w:val="BodyText"/>
        <w:rPr/>
      </w:pPr>
      <w:r>
        <w:rPr/>
        <w:t>Além das queimas prescritas, a elaboração de Planos de Manejo Integrado do Fogo (PMIF) tem sido fundamental. Esses planos são desenvolvidos com base em dados científicos e informações atualizadas, visando estabelecer estratégias eficazes de prevenção e combate aos incêndios florestais. A colaboração entre instituições governamentais, organizações não governamentais e comunidades locais tem sido essencial para o sucesso dessas iniciativas (IMASUL 2024; Viganó et al. 2018).</w:t>
      </w:r>
    </w:p>
    <w:p>
      <w:pPr>
        <w:pStyle w:val="BodyText"/>
        <w:rPr/>
      </w:pPr>
      <w:r>
        <w:rPr/>
        <w:t>Apesar dos esforços, os desafios persistem. Eventos climáticos extremos, como secas prolongadas, têm intensificado as condições propícias para incêndios. Estudos indicam que as mudanças climáticas aumentaram em 40% a intensidade de calor e seca durante os incêndios no Pantanal em junho de 2024, tornando as condições para o fogo quatro a cinco vezes mais prováveis (El País América Futura 2024).</w:t>
      </w:r>
    </w:p>
    <w:p>
      <w:pPr>
        <w:pStyle w:val="Heading4"/>
        <w:rPr/>
      </w:pPr>
      <w:r>
        <w:rPr/>
        <w:t>3.3.1 Fogo por estação</w:t>
      </w:r>
    </w:p>
    <w:p>
      <w:pPr>
        <w:pStyle w:val="FirstParagraph"/>
        <w:rPr/>
      </w:pPr>
      <w:r>
        <w:rPr/>
        <w:t xml:space="preserve">O PEST do Rio Negro é dominado por um regime de fogo LDS (“Late Dry Season”, Final de estação seca) frequente com a maioria dos incêndios e área queimada, e a área queimada aumentou significantemente partir de 2022, sendo setembro, outubro e novembro os meses com aumento consistente das áreas queimadas (ver </w:t>
      </w:r>
      <w:hyperlink w:anchor="fig-burned-area">
        <w:r>
          <w:rPr>
            <w:rStyle w:val="Hyperlink"/>
          </w:rPr>
          <w:t>Figura 3</w:t>
        </w:r>
      </w:hyperlink>
      <w:r>
        <w:rPr/>
        <w:t xml:space="preserve">, </w:t>
      </w:r>
      <w:hyperlink w:anchor="tbl-mean-burned-area">
        <w:r>
          <w:rPr>
            <w:rStyle w:val="Hyperlink"/>
          </w:rPr>
          <w:t>Tabela 1</w:t>
        </w:r>
      </w:hyperlink>
      <w:r>
        <w:rPr/>
        <w:t xml:space="preserve">, </w:t>
      </w:r>
      <w:hyperlink w:anchor="fig-mapa-regime-fogo">
        <w:r>
          <w:rPr>
            <w:rStyle w:val="Hyperlink"/>
          </w:rPr>
          <w:t>Figura 4</w:t>
        </w:r>
      </w:hyperlink>
      <w:r>
        <w:rPr/>
        <w:t>).</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10206"/>
      </w:tblGrid>
      <w:tr>
        <w:trPr/>
        <w:tc>
          <w:tcPr>
            <w:tcW w:w="10206" w:type="dxa"/>
            <w:tcBorders/>
          </w:tcPr>
          <w:p>
            <w:pPr>
              <w:pStyle w:val="Compact"/>
              <w:spacing w:before="36" w:after="36"/>
              <w:jc w:val="center"/>
              <w:rPr/>
            </w:pPr>
            <w:bookmarkStart w:id="41" w:name="fig-burned-area"/>
            <w:r>
              <w:rPr/>
              <w:drawing>
                <wp:inline distT="0" distB="0" distL="0" distR="0">
                  <wp:extent cx="6477000" cy="3886200"/>
                  <wp:effectExtent l="0" t="0" r="0" b="0"/>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4"/>
                          <a:stretch>
                            <a:fillRect/>
                          </a:stretch>
                        </pic:blipFill>
                        <pic:spPr bwMode="auto">
                          <a:xfrm>
                            <a:off x="0" y="0"/>
                            <a:ext cx="6477000" cy="3886200"/>
                          </a:xfrm>
                          <a:prstGeom prst="rect">
                            <a:avLst/>
                          </a:prstGeom>
                          <a:noFill/>
                        </pic:spPr>
                      </pic:pic>
                    </a:graphicData>
                  </a:graphic>
                </wp:inline>
              </w:drawing>
            </w:r>
          </w:p>
          <w:p>
            <w:pPr>
              <w:pStyle w:val="ImageCaption"/>
              <w:spacing w:before="200" w:after="120"/>
              <w:jc w:val="left"/>
              <w:rPr/>
            </w:pPr>
            <w:bookmarkStart w:id="42" w:name="fig-burned-area"/>
            <w:r>
              <w:rPr/>
              <w:t>Figura 3: PEST do Rio Negro burned area time series between 2013-2024</w:t>
            </w:r>
            <w:bookmarkEnd w:id="42"/>
          </w:p>
        </w:tc>
      </w:tr>
    </w:tbl>
    <w:p>
      <w:pPr>
        <w:pStyle w:val="BodyText"/>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10206"/>
      </w:tblGrid>
      <w:tr>
        <w:trPr/>
        <w:tc>
          <w:tcPr>
            <w:tcW w:w="10206" w:type="dxa"/>
            <w:tcBorders/>
          </w:tcPr>
          <w:tbl>
            <w:tblPr>
              <w:tblStyle w:val="Table"/>
              <w:tblW w:w="7920" w:type="dxa"/>
              <w:jc w:val="left"/>
              <w:tblInd w:w="108" w:type="dxa"/>
              <w:tblLayout w:type="fixed"/>
              <w:tblCellMar>
                <w:top w:w="0" w:type="dxa"/>
                <w:left w:w="108" w:type="dxa"/>
                <w:bottom w:w="0" w:type="dxa"/>
                <w:right w:w="108" w:type="dxa"/>
              </w:tblCellMar>
              <w:tblLook w:val="0020" w:noHBand="0" w:noVBand="0" w:firstColumn="0" w:lastRow="0" w:lastColumn="0" w:firstRow="1"/>
            </w:tblPr>
            <w:tblGrid>
              <w:gridCol w:w="2640"/>
              <w:gridCol w:w="2640"/>
              <w:gridCol w:w="2640"/>
            </w:tblGrid>
            <w:tr>
              <w:trPr>
                <w:tblHeader w:val="true"/>
              </w:trPr>
              <w:tc>
                <w:tcPr>
                  <w:tcW w:w="2640" w:type="dxa"/>
                  <w:tcBorders/>
                </w:tcPr>
                <w:p>
                  <w:pPr>
                    <w:pStyle w:val="Compact"/>
                    <w:spacing w:before="36" w:after="36"/>
                    <w:jc w:val="center"/>
                    <w:rPr/>
                  </w:pPr>
                  <w:bookmarkStart w:id="43" w:name="tbl-mean-burned-area"/>
                  <w:r>
                    <w:rPr/>
                    <w:t>Época de incêndio</w:t>
                  </w:r>
                </w:p>
              </w:tc>
              <w:tc>
                <w:tcPr>
                  <w:tcW w:w="2640" w:type="dxa"/>
                  <w:tcBorders/>
                </w:tcPr>
                <w:p>
                  <w:pPr>
                    <w:pStyle w:val="Compact"/>
                    <w:spacing w:before="36" w:after="36"/>
                    <w:jc w:val="center"/>
                    <w:rPr/>
                  </w:pPr>
                  <w:r>
                    <w:rPr/>
                    <w:t>Área (ha)</w:t>
                  </w:r>
                </w:p>
              </w:tc>
              <w:tc>
                <w:tcPr>
                  <w:tcW w:w="2640" w:type="dxa"/>
                  <w:tcBorders/>
                </w:tcPr>
                <w:p>
                  <w:pPr>
                    <w:pStyle w:val="Compact"/>
                    <w:spacing w:before="36" w:after="36"/>
                    <w:jc w:val="center"/>
                    <w:rPr/>
                  </w:pPr>
                  <w:r>
                    <w:rPr/>
                    <w:t>% Total Área</w:t>
                  </w:r>
                </w:p>
              </w:tc>
            </w:tr>
            <w:tr>
              <w:trPr/>
              <w:tc>
                <w:tcPr>
                  <w:tcW w:w="2640" w:type="dxa"/>
                  <w:tcBorders/>
                </w:tcPr>
                <w:p>
                  <w:pPr>
                    <w:pStyle w:val="Compact"/>
                    <w:spacing w:before="36" w:after="36"/>
                    <w:jc w:val="center"/>
                    <w:rPr/>
                  </w:pPr>
                  <w:r>
                    <w:rPr/>
                    <w:t>Early Dry Season</w:t>
                  </w:r>
                </w:p>
              </w:tc>
              <w:tc>
                <w:tcPr>
                  <w:tcW w:w="2640" w:type="dxa"/>
                  <w:tcBorders/>
                </w:tcPr>
                <w:p>
                  <w:pPr>
                    <w:pStyle w:val="Compact"/>
                    <w:spacing w:before="36" w:after="36"/>
                    <w:jc w:val="center"/>
                    <w:rPr/>
                  </w:pPr>
                  <w:r>
                    <w:rPr/>
                    <w:t>5.328</w:t>
                  </w:r>
                </w:p>
              </w:tc>
              <w:tc>
                <w:tcPr>
                  <w:tcW w:w="2640" w:type="dxa"/>
                  <w:tcBorders/>
                </w:tcPr>
                <w:p>
                  <w:pPr>
                    <w:pStyle w:val="Compact"/>
                    <w:spacing w:before="36" w:after="36"/>
                    <w:jc w:val="center"/>
                    <w:rPr/>
                  </w:pPr>
                  <w:r>
                    <w:rPr/>
                    <w:t>8%</w:t>
                  </w:r>
                </w:p>
              </w:tc>
            </w:tr>
            <w:tr>
              <w:trPr/>
              <w:tc>
                <w:tcPr>
                  <w:tcW w:w="2640" w:type="dxa"/>
                  <w:tcBorders/>
                </w:tcPr>
                <w:p>
                  <w:pPr>
                    <w:pStyle w:val="Compact"/>
                    <w:spacing w:before="36" w:after="36"/>
                    <w:jc w:val="center"/>
                    <w:rPr/>
                  </w:pPr>
                  <w:r>
                    <w:rPr/>
                    <w:t>Late Dry Season</w:t>
                  </w:r>
                </w:p>
              </w:tc>
              <w:tc>
                <w:tcPr>
                  <w:tcW w:w="2640" w:type="dxa"/>
                  <w:tcBorders/>
                </w:tcPr>
                <w:p>
                  <w:pPr>
                    <w:pStyle w:val="Compact"/>
                    <w:spacing w:before="36" w:after="36"/>
                    <w:jc w:val="center"/>
                    <w:rPr/>
                  </w:pPr>
                  <w:r>
                    <w:rPr/>
                    <w:t>60.702</w:t>
                  </w:r>
                </w:p>
              </w:tc>
              <w:tc>
                <w:tcPr>
                  <w:tcW w:w="2640" w:type="dxa"/>
                  <w:tcBorders/>
                </w:tcPr>
                <w:p>
                  <w:pPr>
                    <w:pStyle w:val="Compact"/>
                    <w:spacing w:before="36" w:after="36"/>
                    <w:jc w:val="center"/>
                    <w:rPr/>
                  </w:pPr>
                  <w:r>
                    <w:rPr/>
                    <w:t>92%</w:t>
                  </w:r>
                </w:p>
              </w:tc>
            </w:tr>
          </w:tbl>
          <w:p>
            <w:pPr>
              <w:pStyle w:val="ImageCaption"/>
              <w:spacing w:before="200" w:after="120"/>
              <w:jc w:val="left"/>
              <w:rPr/>
            </w:pPr>
            <w:bookmarkStart w:id="44" w:name="tbl-mean-burned-area"/>
            <w:r>
              <w:rPr/>
              <w:t>Tabela 1: PEST do Rio Negro mean burned area 2014-2024. “Early Dry Season”, Início da Estação Seca. “Late Dry Season”, Final de estação seca.</w:t>
            </w:r>
            <w:bookmarkEnd w:id="44"/>
          </w:p>
        </w:tc>
      </w:tr>
    </w:tbl>
    <w:p>
      <w:pPr>
        <w:pStyle w:val="BodyText"/>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10206"/>
      </w:tblGrid>
      <w:tr>
        <w:trPr/>
        <w:tc>
          <w:tcPr>
            <w:tcW w:w="10206" w:type="dxa"/>
            <w:tcBorders/>
          </w:tcPr>
          <w:p>
            <w:pPr>
              <w:pStyle w:val="Compact"/>
              <w:spacing w:before="36" w:after="36"/>
              <w:jc w:val="center"/>
              <w:rPr/>
            </w:pPr>
            <w:bookmarkStart w:id="45" w:name="fig-mapa-regime-fogo"/>
            <w:r>
              <w:rPr/>
              <w:drawing>
                <wp:inline distT="0" distB="0" distL="0" distR="0">
                  <wp:extent cx="6477000" cy="6477000"/>
                  <wp:effectExtent l="0" t="0" r="0" b="0"/>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5"/>
                          <a:stretch>
                            <a:fillRect/>
                          </a:stretch>
                        </pic:blipFill>
                        <pic:spPr bwMode="auto">
                          <a:xfrm>
                            <a:off x="0" y="0"/>
                            <a:ext cx="6477000" cy="6477000"/>
                          </a:xfrm>
                          <a:prstGeom prst="rect">
                            <a:avLst/>
                          </a:prstGeom>
                          <a:noFill/>
                        </pic:spPr>
                      </pic:pic>
                    </a:graphicData>
                  </a:graphic>
                </wp:inline>
              </w:drawing>
            </w:r>
          </w:p>
          <w:p>
            <w:pPr>
              <w:pStyle w:val="ImageCaption"/>
              <w:spacing w:before="200" w:after="120"/>
              <w:jc w:val="left"/>
              <w:rPr/>
            </w:pPr>
            <w:bookmarkStart w:id="46" w:name="fig-mapa-regime-fogo"/>
            <w:r>
              <w:rPr/>
              <w:t>Figura 4: PEST do Rio Negro - Regime do fogo</w:t>
            </w:r>
            <w:bookmarkEnd w:id="46"/>
          </w:p>
        </w:tc>
      </w:tr>
    </w:tbl>
    <w:p>
      <w:pPr>
        <w:pStyle w:val="BodyText"/>
        <w:rPr/>
      </w:pPr>
      <w:r>
        <w:rPr/>
        <w:t xml:space="preserve">A partir da análise da </w:t>
      </w:r>
      <w:hyperlink w:anchor="fig-burned-area">
        <w:r>
          <w:rPr>
            <w:rStyle w:val="Hyperlink"/>
          </w:rPr>
          <w:t>Figura 3</w:t>
        </w:r>
      </w:hyperlink>
      <w:r>
        <w:rPr/>
        <w:t xml:space="preserve"> e da </w:t>
      </w:r>
      <w:hyperlink w:anchor="tbl-mean-burned-area">
        <w:r>
          <w:rPr>
            <w:rStyle w:val="Hyperlink"/>
          </w:rPr>
          <w:t>Tabela 1</w:t>
        </w:r>
      </w:hyperlink>
      <w:r>
        <w:rPr/>
        <w:t xml:space="preserve"> pode-se verificar que há uma clara variação na área queimada ao longo dos meses, destacando a influência da sazonalidade do fogo no Parque Estadual do Pantanal do Rio Negro. Há meses com picos evidentes de queimadas e outros com pouca ou nenhuma atividade. Também é possível se observar um aumento considerável da área queimada ao longo dos anos.</w:t>
      </w:r>
    </w:p>
    <w:p>
      <w:pPr>
        <w:pStyle w:val="BodyText"/>
        <w:rPr/>
      </w:pPr>
      <w:r>
        <w:rPr/>
        <w:t>É possível identificar que outubro apresentou o maior pico de área queimada, especialmente em 2020. Novembro também possui valores elevados, especialmente em 2023. Agosto e setembro mostram valores significativos de área queimada, entretanto mais baixos que os meses subsequentes. Maio a julho, mostraram picos menores em comparação com os meses citados anteriormente, mas ainda assim possuem registros consideráveis de fogo, principalmente em 2022 e 2023 (</w:t>
      </w:r>
      <w:hyperlink w:anchor="tbl-fire-frequency-year">
        <w:r>
          <w:rPr>
            <w:rStyle w:val="Hyperlink"/>
          </w:rPr>
          <w:t>Tabela 2</w:t>
        </w:r>
      </w:hyperlink>
      <w:r>
        <w:rPr/>
        <w:t>). Assim, como esperado, os meses mais secos geralmente concentram os picos de queimadas.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10206"/>
      </w:tblGrid>
      <w:tr>
        <w:trPr/>
        <w:tc>
          <w:tcPr>
            <w:tcW w:w="10206" w:type="dxa"/>
            <w:tcBorders/>
          </w:tcPr>
          <w:tbl>
            <w:tblPr>
              <w:tblStyle w:val="Table"/>
              <w:tblW w:w="7920" w:type="dxa"/>
              <w:jc w:val="left"/>
              <w:tblInd w:w="108" w:type="dxa"/>
              <w:tblLayout w:type="fixed"/>
              <w:tblCellMar>
                <w:top w:w="0" w:type="dxa"/>
                <w:left w:w="108" w:type="dxa"/>
                <w:bottom w:w="0" w:type="dxa"/>
                <w:right w:w="108" w:type="dxa"/>
              </w:tblCellMar>
              <w:tblLook w:val="0020" w:noHBand="0" w:noVBand="0" w:firstColumn="0" w:lastRow="0" w:lastColumn="0" w:firstRow="1"/>
            </w:tblPr>
            <w:tblGrid>
              <w:gridCol w:w="2640"/>
              <w:gridCol w:w="2640"/>
              <w:gridCol w:w="2640"/>
            </w:tblGrid>
            <w:tr>
              <w:trPr/>
              <w:tc>
                <w:tcPr>
                  <w:tcW w:w="2640" w:type="dxa"/>
                  <w:tcBorders/>
                </w:tcPr>
                <w:p>
                  <w:pPr>
                    <w:pStyle w:val="Compact"/>
                    <w:spacing w:before="36" w:after="36"/>
                    <w:jc w:val="center"/>
                    <w:rPr/>
                  </w:pPr>
                  <w:bookmarkStart w:id="47" w:name="tbl-fire-frequency-year"/>
                  <w:r>
                    <w:rPr/>
                    <w:t>Ano</w:t>
                  </w:r>
                </w:p>
              </w:tc>
              <w:tc>
                <w:tcPr>
                  <w:tcW w:w="2640" w:type="dxa"/>
                  <w:tcBorders/>
                </w:tcPr>
                <w:p>
                  <w:pPr>
                    <w:pStyle w:val="Compact"/>
                    <w:spacing w:before="36" w:after="36"/>
                    <w:jc w:val="center"/>
                    <w:rPr/>
                  </w:pPr>
                  <w:r>
                    <w:rPr/>
                    <w:t>Área (ha)</w:t>
                  </w:r>
                </w:p>
              </w:tc>
              <w:tc>
                <w:tcPr>
                  <w:tcW w:w="2640" w:type="dxa"/>
                  <w:tcBorders/>
                </w:tcPr>
                <w:p>
                  <w:pPr>
                    <w:pStyle w:val="Compact"/>
                    <w:spacing w:before="36" w:after="36"/>
                    <w:jc w:val="center"/>
                    <w:rPr/>
                  </w:pPr>
                  <w:r>
                    <w:rPr/>
                    <w:t>% Área total</w:t>
                  </w:r>
                </w:p>
              </w:tc>
            </w:tr>
            <w:tr>
              <w:trPr/>
              <w:tc>
                <w:tcPr>
                  <w:tcW w:w="2640" w:type="dxa"/>
                  <w:tcBorders/>
                </w:tcPr>
                <w:p>
                  <w:pPr>
                    <w:pStyle w:val="Compact"/>
                    <w:spacing w:before="36" w:after="36"/>
                    <w:jc w:val="center"/>
                    <w:rPr/>
                  </w:pPr>
                  <w:r>
                    <w:rPr/>
                    <w:t>2013</w:t>
                  </w:r>
                </w:p>
              </w:tc>
              <w:tc>
                <w:tcPr>
                  <w:tcW w:w="2640" w:type="dxa"/>
                  <w:tcBorders/>
                </w:tcPr>
                <w:p>
                  <w:pPr>
                    <w:pStyle w:val="Compact"/>
                    <w:spacing w:before="36" w:after="36"/>
                    <w:jc w:val="center"/>
                    <w:rPr/>
                  </w:pPr>
                  <w:r>
                    <w:rPr/>
                    <w:t>21761.399</w:t>
                  </w:r>
                </w:p>
              </w:tc>
              <w:tc>
                <w:tcPr>
                  <w:tcW w:w="2640" w:type="dxa"/>
                  <w:tcBorders/>
                </w:tcPr>
                <w:p>
                  <w:pPr>
                    <w:pStyle w:val="Compact"/>
                    <w:spacing w:before="36" w:after="36"/>
                    <w:jc w:val="center"/>
                    <w:rPr/>
                  </w:pPr>
                  <w:r>
                    <w:rPr/>
                    <w:t>2.720</w:t>
                  </w:r>
                </w:p>
              </w:tc>
            </w:tr>
            <w:tr>
              <w:trPr/>
              <w:tc>
                <w:tcPr>
                  <w:tcW w:w="2640" w:type="dxa"/>
                  <w:tcBorders/>
                </w:tcPr>
                <w:p>
                  <w:pPr>
                    <w:pStyle w:val="Compact"/>
                    <w:spacing w:before="36" w:after="36"/>
                    <w:jc w:val="center"/>
                    <w:rPr/>
                  </w:pPr>
                  <w:r>
                    <w:rPr/>
                    <w:t>2014</w:t>
                  </w:r>
                </w:p>
              </w:tc>
              <w:tc>
                <w:tcPr>
                  <w:tcW w:w="2640" w:type="dxa"/>
                  <w:tcBorders/>
                </w:tcPr>
                <w:p>
                  <w:pPr>
                    <w:pStyle w:val="Compact"/>
                    <w:spacing w:before="36" w:after="36"/>
                    <w:jc w:val="center"/>
                    <w:rPr/>
                  </w:pPr>
                  <w:r>
                    <w:rPr/>
                    <w:t>8030.472</w:t>
                  </w:r>
                </w:p>
              </w:tc>
              <w:tc>
                <w:tcPr>
                  <w:tcW w:w="2640" w:type="dxa"/>
                  <w:tcBorders/>
                </w:tcPr>
                <w:p>
                  <w:pPr>
                    <w:pStyle w:val="Compact"/>
                    <w:spacing w:before="36" w:after="36"/>
                    <w:jc w:val="center"/>
                    <w:rPr/>
                  </w:pPr>
                  <w:r>
                    <w:rPr/>
                    <w:t>1.004</w:t>
                  </w:r>
                </w:p>
              </w:tc>
            </w:tr>
            <w:tr>
              <w:trPr/>
              <w:tc>
                <w:tcPr>
                  <w:tcW w:w="2640" w:type="dxa"/>
                  <w:tcBorders/>
                </w:tcPr>
                <w:p>
                  <w:pPr>
                    <w:pStyle w:val="Compact"/>
                    <w:spacing w:before="36" w:after="36"/>
                    <w:jc w:val="center"/>
                    <w:rPr/>
                  </w:pPr>
                  <w:r>
                    <w:rPr/>
                    <w:t>2015</w:t>
                  </w:r>
                </w:p>
              </w:tc>
              <w:tc>
                <w:tcPr>
                  <w:tcW w:w="2640" w:type="dxa"/>
                  <w:tcBorders/>
                </w:tcPr>
                <w:p>
                  <w:pPr>
                    <w:pStyle w:val="Compact"/>
                    <w:spacing w:before="36" w:after="36"/>
                    <w:jc w:val="center"/>
                    <w:rPr/>
                  </w:pPr>
                  <w:r>
                    <w:rPr/>
                    <w:t>7818.546</w:t>
                  </w:r>
                </w:p>
              </w:tc>
              <w:tc>
                <w:tcPr>
                  <w:tcW w:w="2640" w:type="dxa"/>
                  <w:tcBorders/>
                </w:tcPr>
                <w:p>
                  <w:pPr>
                    <w:pStyle w:val="Compact"/>
                    <w:spacing w:before="36" w:after="36"/>
                    <w:jc w:val="center"/>
                    <w:rPr/>
                  </w:pPr>
                  <w:r>
                    <w:rPr/>
                    <w:t>0.977</w:t>
                  </w:r>
                </w:p>
              </w:tc>
            </w:tr>
            <w:tr>
              <w:trPr/>
              <w:tc>
                <w:tcPr>
                  <w:tcW w:w="2640" w:type="dxa"/>
                  <w:tcBorders/>
                </w:tcPr>
                <w:p>
                  <w:pPr>
                    <w:pStyle w:val="Compact"/>
                    <w:spacing w:before="36" w:after="36"/>
                    <w:jc w:val="center"/>
                    <w:rPr/>
                  </w:pPr>
                  <w:r>
                    <w:rPr/>
                    <w:t>2016</w:t>
                  </w:r>
                </w:p>
              </w:tc>
              <w:tc>
                <w:tcPr>
                  <w:tcW w:w="2640" w:type="dxa"/>
                  <w:tcBorders/>
                </w:tcPr>
                <w:p>
                  <w:pPr>
                    <w:pStyle w:val="Compact"/>
                    <w:spacing w:before="36" w:after="36"/>
                    <w:jc w:val="center"/>
                    <w:rPr/>
                  </w:pPr>
                  <w:r>
                    <w:rPr/>
                    <w:t>5690.267</w:t>
                  </w:r>
                </w:p>
              </w:tc>
              <w:tc>
                <w:tcPr>
                  <w:tcW w:w="2640" w:type="dxa"/>
                  <w:tcBorders/>
                </w:tcPr>
                <w:p>
                  <w:pPr>
                    <w:pStyle w:val="Compact"/>
                    <w:spacing w:before="36" w:after="36"/>
                    <w:jc w:val="center"/>
                    <w:rPr/>
                  </w:pPr>
                  <w:r>
                    <w:rPr/>
                    <w:t>0.711</w:t>
                  </w:r>
                </w:p>
              </w:tc>
            </w:tr>
            <w:tr>
              <w:trPr/>
              <w:tc>
                <w:tcPr>
                  <w:tcW w:w="2640" w:type="dxa"/>
                  <w:tcBorders/>
                </w:tcPr>
                <w:p>
                  <w:pPr>
                    <w:pStyle w:val="Compact"/>
                    <w:spacing w:before="36" w:after="36"/>
                    <w:jc w:val="center"/>
                    <w:rPr/>
                  </w:pPr>
                  <w:r>
                    <w:rPr/>
                    <w:t>2017</w:t>
                  </w:r>
                </w:p>
              </w:tc>
              <w:tc>
                <w:tcPr>
                  <w:tcW w:w="2640" w:type="dxa"/>
                  <w:tcBorders/>
                </w:tcPr>
                <w:p>
                  <w:pPr>
                    <w:pStyle w:val="Compact"/>
                    <w:spacing w:before="36" w:after="36"/>
                    <w:jc w:val="center"/>
                    <w:rPr/>
                  </w:pPr>
                  <w:r>
                    <w:rPr/>
                    <w:t>13709.144</w:t>
                  </w:r>
                </w:p>
              </w:tc>
              <w:tc>
                <w:tcPr>
                  <w:tcW w:w="2640" w:type="dxa"/>
                  <w:tcBorders/>
                </w:tcPr>
                <w:p>
                  <w:pPr>
                    <w:pStyle w:val="Compact"/>
                    <w:spacing w:before="36" w:after="36"/>
                    <w:jc w:val="center"/>
                    <w:rPr/>
                  </w:pPr>
                  <w:r>
                    <w:rPr/>
                    <w:t>1.713</w:t>
                  </w:r>
                </w:p>
              </w:tc>
            </w:tr>
            <w:tr>
              <w:trPr/>
              <w:tc>
                <w:tcPr>
                  <w:tcW w:w="2640" w:type="dxa"/>
                  <w:tcBorders/>
                </w:tcPr>
                <w:p>
                  <w:pPr>
                    <w:pStyle w:val="Compact"/>
                    <w:spacing w:before="36" w:after="36"/>
                    <w:jc w:val="center"/>
                    <w:rPr/>
                  </w:pPr>
                  <w:r>
                    <w:rPr/>
                    <w:t>2018</w:t>
                  </w:r>
                </w:p>
              </w:tc>
              <w:tc>
                <w:tcPr>
                  <w:tcW w:w="2640" w:type="dxa"/>
                  <w:tcBorders/>
                </w:tcPr>
                <w:p>
                  <w:pPr>
                    <w:pStyle w:val="Compact"/>
                    <w:spacing w:before="36" w:after="36"/>
                    <w:jc w:val="center"/>
                    <w:rPr/>
                  </w:pPr>
                  <w:r>
                    <w:rPr/>
                    <w:t>3717.425</w:t>
                  </w:r>
                </w:p>
              </w:tc>
              <w:tc>
                <w:tcPr>
                  <w:tcW w:w="2640" w:type="dxa"/>
                  <w:tcBorders/>
                </w:tcPr>
                <w:p>
                  <w:pPr>
                    <w:pStyle w:val="Compact"/>
                    <w:spacing w:before="36" w:after="36"/>
                    <w:jc w:val="center"/>
                    <w:rPr/>
                  </w:pPr>
                  <w:r>
                    <w:rPr/>
                    <w:t>0.465</w:t>
                  </w:r>
                </w:p>
              </w:tc>
            </w:tr>
            <w:tr>
              <w:trPr/>
              <w:tc>
                <w:tcPr>
                  <w:tcW w:w="2640" w:type="dxa"/>
                  <w:tcBorders/>
                </w:tcPr>
                <w:p>
                  <w:pPr>
                    <w:pStyle w:val="Compact"/>
                    <w:spacing w:before="36" w:after="36"/>
                    <w:jc w:val="center"/>
                    <w:rPr/>
                  </w:pPr>
                  <w:r>
                    <w:rPr/>
                    <w:t>2019</w:t>
                  </w:r>
                </w:p>
              </w:tc>
              <w:tc>
                <w:tcPr>
                  <w:tcW w:w="2640" w:type="dxa"/>
                  <w:tcBorders/>
                </w:tcPr>
                <w:p>
                  <w:pPr>
                    <w:pStyle w:val="Compact"/>
                    <w:spacing w:before="36" w:after="36"/>
                    <w:jc w:val="center"/>
                    <w:rPr/>
                  </w:pPr>
                  <w:r>
                    <w:rPr/>
                    <w:t>108926.193</w:t>
                  </w:r>
                </w:p>
              </w:tc>
              <w:tc>
                <w:tcPr>
                  <w:tcW w:w="2640" w:type="dxa"/>
                  <w:tcBorders/>
                </w:tcPr>
                <w:p>
                  <w:pPr>
                    <w:pStyle w:val="Compact"/>
                    <w:spacing w:before="36" w:after="36"/>
                    <w:jc w:val="center"/>
                    <w:rPr/>
                  </w:pPr>
                  <w:r>
                    <w:rPr/>
                    <w:t>13.613</w:t>
                  </w:r>
                </w:p>
              </w:tc>
            </w:tr>
            <w:tr>
              <w:trPr/>
              <w:tc>
                <w:tcPr>
                  <w:tcW w:w="2640" w:type="dxa"/>
                  <w:tcBorders/>
                </w:tcPr>
                <w:p>
                  <w:pPr>
                    <w:pStyle w:val="Compact"/>
                    <w:spacing w:before="36" w:after="36"/>
                    <w:jc w:val="center"/>
                    <w:rPr/>
                  </w:pPr>
                  <w:r>
                    <w:rPr/>
                    <w:t>2020</w:t>
                  </w:r>
                </w:p>
              </w:tc>
              <w:tc>
                <w:tcPr>
                  <w:tcW w:w="2640" w:type="dxa"/>
                  <w:tcBorders/>
                </w:tcPr>
                <w:p>
                  <w:pPr>
                    <w:pStyle w:val="Compact"/>
                    <w:spacing w:before="36" w:after="36"/>
                    <w:jc w:val="center"/>
                    <w:rPr/>
                  </w:pPr>
                  <w:r>
                    <w:rPr/>
                    <w:t>48694.458</w:t>
                  </w:r>
                </w:p>
              </w:tc>
              <w:tc>
                <w:tcPr>
                  <w:tcW w:w="2640" w:type="dxa"/>
                  <w:tcBorders/>
                </w:tcPr>
                <w:p>
                  <w:pPr>
                    <w:pStyle w:val="Compact"/>
                    <w:spacing w:before="36" w:after="36"/>
                    <w:jc w:val="center"/>
                    <w:rPr/>
                  </w:pPr>
                  <w:r>
                    <w:rPr/>
                    <w:t>6.085</w:t>
                  </w:r>
                </w:p>
              </w:tc>
            </w:tr>
            <w:tr>
              <w:trPr/>
              <w:tc>
                <w:tcPr>
                  <w:tcW w:w="2640" w:type="dxa"/>
                  <w:tcBorders/>
                </w:tcPr>
                <w:p>
                  <w:pPr>
                    <w:pStyle w:val="Compact"/>
                    <w:spacing w:before="36" w:after="36"/>
                    <w:jc w:val="center"/>
                    <w:rPr/>
                  </w:pPr>
                  <w:r>
                    <w:rPr/>
                    <w:t>2021</w:t>
                  </w:r>
                </w:p>
              </w:tc>
              <w:tc>
                <w:tcPr>
                  <w:tcW w:w="2640" w:type="dxa"/>
                  <w:tcBorders/>
                </w:tcPr>
                <w:p>
                  <w:pPr>
                    <w:pStyle w:val="Compact"/>
                    <w:spacing w:before="36" w:after="36"/>
                    <w:jc w:val="center"/>
                    <w:rPr/>
                  </w:pPr>
                  <w:r>
                    <w:rPr/>
                    <w:t>168100.914</w:t>
                  </w:r>
                </w:p>
              </w:tc>
              <w:tc>
                <w:tcPr>
                  <w:tcW w:w="2640" w:type="dxa"/>
                  <w:tcBorders/>
                </w:tcPr>
                <w:p>
                  <w:pPr>
                    <w:pStyle w:val="Compact"/>
                    <w:spacing w:before="36" w:after="36"/>
                    <w:jc w:val="center"/>
                    <w:rPr/>
                  </w:pPr>
                  <w:r>
                    <w:rPr/>
                    <w:t>21.008</w:t>
                  </w:r>
                </w:p>
              </w:tc>
            </w:tr>
            <w:tr>
              <w:trPr/>
              <w:tc>
                <w:tcPr>
                  <w:tcW w:w="2640" w:type="dxa"/>
                  <w:tcBorders/>
                </w:tcPr>
                <w:p>
                  <w:pPr>
                    <w:pStyle w:val="Compact"/>
                    <w:spacing w:before="36" w:after="36"/>
                    <w:jc w:val="center"/>
                    <w:rPr/>
                  </w:pPr>
                  <w:r>
                    <w:rPr/>
                    <w:t>2022</w:t>
                  </w:r>
                </w:p>
              </w:tc>
              <w:tc>
                <w:tcPr>
                  <w:tcW w:w="2640" w:type="dxa"/>
                  <w:tcBorders/>
                </w:tcPr>
                <w:p>
                  <w:pPr>
                    <w:pStyle w:val="Compact"/>
                    <w:spacing w:before="36" w:after="36"/>
                    <w:jc w:val="center"/>
                    <w:rPr/>
                  </w:pPr>
                  <w:r>
                    <w:rPr/>
                    <w:t>78952.656</w:t>
                  </w:r>
                </w:p>
              </w:tc>
              <w:tc>
                <w:tcPr>
                  <w:tcW w:w="2640" w:type="dxa"/>
                  <w:tcBorders/>
                </w:tcPr>
                <w:p>
                  <w:pPr>
                    <w:pStyle w:val="Compact"/>
                    <w:spacing w:before="36" w:after="36"/>
                    <w:jc w:val="center"/>
                    <w:rPr/>
                  </w:pPr>
                  <w:r>
                    <w:rPr/>
                    <w:t>9.867</w:t>
                  </w:r>
                </w:p>
              </w:tc>
            </w:tr>
            <w:tr>
              <w:trPr/>
              <w:tc>
                <w:tcPr>
                  <w:tcW w:w="2640" w:type="dxa"/>
                  <w:tcBorders/>
                </w:tcPr>
                <w:p>
                  <w:pPr>
                    <w:pStyle w:val="Compact"/>
                    <w:spacing w:before="36" w:after="36"/>
                    <w:jc w:val="center"/>
                    <w:rPr/>
                  </w:pPr>
                  <w:r>
                    <w:rPr/>
                    <w:t>2023</w:t>
                  </w:r>
                </w:p>
              </w:tc>
              <w:tc>
                <w:tcPr>
                  <w:tcW w:w="2640" w:type="dxa"/>
                  <w:tcBorders/>
                </w:tcPr>
                <w:p>
                  <w:pPr>
                    <w:pStyle w:val="Compact"/>
                    <w:spacing w:before="36" w:after="36"/>
                    <w:jc w:val="center"/>
                    <w:rPr/>
                  </w:pPr>
                  <w:r>
                    <w:rPr/>
                    <w:t>134940.441</w:t>
                  </w:r>
                </w:p>
              </w:tc>
              <w:tc>
                <w:tcPr>
                  <w:tcW w:w="2640" w:type="dxa"/>
                  <w:tcBorders/>
                </w:tcPr>
                <w:p>
                  <w:pPr>
                    <w:pStyle w:val="Compact"/>
                    <w:spacing w:before="36" w:after="36"/>
                    <w:jc w:val="center"/>
                    <w:rPr/>
                  </w:pPr>
                  <w:r>
                    <w:rPr/>
                    <w:t>16.864</w:t>
                  </w:r>
                </w:p>
              </w:tc>
            </w:tr>
            <w:tr>
              <w:trPr/>
              <w:tc>
                <w:tcPr>
                  <w:tcW w:w="2640" w:type="dxa"/>
                  <w:tcBorders/>
                </w:tcPr>
                <w:p>
                  <w:pPr>
                    <w:pStyle w:val="Compact"/>
                    <w:spacing w:before="36" w:after="36"/>
                    <w:jc w:val="center"/>
                    <w:rPr/>
                  </w:pPr>
                  <w:r>
                    <w:rPr/>
                    <w:t>2024</w:t>
                  </w:r>
                </w:p>
              </w:tc>
              <w:tc>
                <w:tcPr>
                  <w:tcW w:w="2640" w:type="dxa"/>
                  <w:tcBorders/>
                </w:tcPr>
                <w:p>
                  <w:pPr>
                    <w:pStyle w:val="Compact"/>
                    <w:spacing w:before="36" w:after="36"/>
                    <w:jc w:val="center"/>
                    <w:rPr/>
                  </w:pPr>
                  <w:r>
                    <w:rPr/>
                    <w:t>199834.371</w:t>
                  </w:r>
                </w:p>
              </w:tc>
              <w:tc>
                <w:tcPr>
                  <w:tcW w:w="2640" w:type="dxa"/>
                  <w:tcBorders/>
                </w:tcPr>
                <w:p>
                  <w:pPr>
                    <w:pStyle w:val="Compact"/>
                    <w:spacing w:before="36" w:after="36"/>
                    <w:jc w:val="center"/>
                    <w:rPr/>
                  </w:pPr>
                  <w:r>
                    <w:rPr/>
                    <w:t>24.974</w:t>
                  </w:r>
                </w:p>
              </w:tc>
            </w:tr>
          </w:tbl>
          <w:p>
            <w:pPr>
              <w:pStyle w:val="ImageCaption"/>
              <w:spacing w:before="200" w:after="120"/>
              <w:jc w:val="left"/>
              <w:rPr/>
            </w:pPr>
            <w:bookmarkStart w:id="48" w:name="tbl-fire-frequency-year"/>
            <w:r>
              <w:rPr/>
              <w:t>Tabela 2: PEST do Rio Negro - Área de fogo por ano.</w:t>
            </w:r>
            <w:bookmarkEnd w:id="48"/>
          </w:p>
        </w:tc>
      </w:tr>
    </w:tbl>
    <w:p>
      <w:pPr>
        <w:pStyle w:val="BodyText"/>
        <w:rPr/>
      </w:pPr>
      <w:r>
        <w:rPr/>
        <w:t xml:space="preserve">A </w:t>
      </w:r>
      <w:hyperlink w:anchor="tbl-fire-frequency-classes">
        <w:r>
          <w:rPr>
            <w:rStyle w:val="Hyperlink"/>
          </w:rPr>
          <w:t>Tabela 3</w:t>
        </w:r>
      </w:hyperlink>
      <w:r>
        <w:rPr/>
        <w:t xml:space="preserve"> apresenta a distribuição das áreas afetadas por queimadas de diferentes intensidades no PEST do Rio Negro. Nota-se que a maior parte da área foi queimada pelo menos duas ou três vezes no período analisado. Especificamente:</w:t>
      </w:r>
    </w:p>
    <w:p>
      <w:pPr>
        <w:pStyle w:val="Compact"/>
        <w:numPr>
          <w:ilvl w:val="0"/>
          <w:numId w:val="48"/>
        </w:numPr>
        <w:rPr/>
      </w:pPr>
      <w:r>
        <w:rPr>
          <w:b/>
          <w:bCs/>
        </w:rPr>
        <w:t>35,43% da área total</w:t>
      </w:r>
      <w:r>
        <w:rPr/>
        <w:t xml:space="preserve"> (283.505 ha) foi queimada duas vezes;</w:t>
      </w:r>
    </w:p>
    <w:p>
      <w:pPr>
        <w:pStyle w:val="Compact"/>
        <w:numPr>
          <w:ilvl w:val="0"/>
          <w:numId w:val="49"/>
        </w:numPr>
        <w:rPr/>
      </w:pPr>
      <w:r>
        <w:rPr>
          <w:b/>
          <w:bCs/>
        </w:rPr>
        <w:t>34,67% da área total</w:t>
      </w:r>
      <w:r>
        <w:rPr/>
        <w:t xml:space="preserve"> (277.379 ha) foi queimada três vezes;</w:t>
      </w:r>
    </w:p>
    <w:p>
      <w:pPr>
        <w:pStyle w:val="Compact"/>
        <w:numPr>
          <w:ilvl w:val="0"/>
          <w:numId w:val="50"/>
        </w:numPr>
        <w:rPr/>
      </w:pPr>
      <w:r>
        <w:rPr>
          <w:b/>
          <w:bCs/>
        </w:rPr>
        <w:t>16,51% da área total</w:t>
      </w:r>
      <w:r>
        <w:rPr/>
        <w:t xml:space="preserve"> (132.126 ha) sofreu queimadas apenas uma vez;</w:t>
      </w:r>
    </w:p>
    <w:p>
      <w:pPr>
        <w:pStyle w:val="Compact"/>
        <w:numPr>
          <w:ilvl w:val="0"/>
          <w:numId w:val="51"/>
        </w:numPr>
        <w:rPr/>
      </w:pPr>
      <w:r>
        <w:rPr>
          <w:b/>
          <w:bCs/>
        </w:rPr>
        <w:t>10,87% da área total</w:t>
      </w:r>
      <w:r>
        <w:rPr/>
        <w:t xml:space="preserve"> (86.953 ha) registrou quatro eventos de queimada;</w:t>
      </w:r>
    </w:p>
    <w:p>
      <w:pPr>
        <w:pStyle w:val="Compact"/>
        <w:numPr>
          <w:ilvl w:val="0"/>
          <w:numId w:val="52"/>
        </w:numPr>
        <w:rPr/>
      </w:pPr>
      <w:r>
        <w:rPr>
          <w:b/>
          <w:bCs/>
        </w:rPr>
        <w:t>2,36% da área total</w:t>
      </w:r>
      <w:r>
        <w:rPr/>
        <w:t xml:space="preserve"> (18.891 ha) teve cinco ocorrências;</w:t>
      </w:r>
    </w:p>
    <w:p>
      <w:pPr>
        <w:pStyle w:val="Compact"/>
        <w:numPr>
          <w:ilvl w:val="0"/>
          <w:numId w:val="53"/>
        </w:numPr>
        <w:rPr/>
      </w:pPr>
      <w:r>
        <w:rPr/>
        <w:t xml:space="preserve">Apenas </w:t>
      </w:r>
      <w:r>
        <w:rPr>
          <w:b/>
          <w:bCs/>
        </w:rPr>
        <w:t>0,165% da área total</w:t>
      </w:r>
      <w:r>
        <w:rPr/>
        <w:t xml:space="preserve"> (1.319 ha) foi queimada seis vezes.</w:t>
      </w:r>
    </w:p>
    <w:p>
      <w:pPr>
        <w:pStyle w:val="FirstParagraph"/>
        <w:rPr/>
      </w:pPr>
      <w:r>
        <w:rPr/>
        <w:t xml:space="preserve">A </w:t>
      </w:r>
      <w:hyperlink w:anchor="fig-occurrence-map">
        <w:r>
          <w:rPr>
            <w:rStyle w:val="Hyperlink"/>
          </w:rPr>
          <w:t>Figura 5</w:t>
        </w:r>
      </w:hyperlink>
      <w:r>
        <w:rPr/>
        <w:t xml:space="preserve"> ilustra a distribuição espacial das queimadas no parque. As áreas com maior número de queimadas (representadas em tons de laranja e vermelho) estão concentradas no setor sul do parque. A porção central e norte do parque apresenta predominância de áreas queimadas entre uma e três vezes (tons de verde e amarelo). Algumas áreas mantiveram-se sem registro de queimadas durante o período analisado, indicando possíveis zonas de menor suscetibilidade ao fogo.</w:t>
      </w:r>
    </w:p>
    <w:p>
      <w:pPr>
        <w:pStyle w:val="BodyText"/>
        <w:rPr/>
      </w:pPr>
      <w:r>
        <w:rPr/>
        <w:t>A maior parte do parque foi afetada pelo fogo múltiplas vezes ao longo do período analisado, evidenciando um padrão recorrente de queimadas que pode estar associado a fatores climáticos, atividade humana e regeneração da vegetação.</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10206"/>
      </w:tblGrid>
      <w:tr>
        <w:trPr/>
        <w:tc>
          <w:tcPr>
            <w:tcW w:w="10206" w:type="dxa"/>
            <w:tcBorders/>
          </w:tcPr>
          <w:tbl>
            <w:tblPr>
              <w:tblStyle w:val="Table"/>
              <w:tblW w:w="7920" w:type="dxa"/>
              <w:jc w:val="left"/>
              <w:tblInd w:w="108" w:type="dxa"/>
              <w:tblLayout w:type="fixed"/>
              <w:tblCellMar>
                <w:top w:w="0" w:type="dxa"/>
                <w:left w:w="108" w:type="dxa"/>
                <w:bottom w:w="0" w:type="dxa"/>
                <w:right w:w="108" w:type="dxa"/>
              </w:tblCellMar>
              <w:tblLook w:val="0020" w:noHBand="0" w:noVBand="0" w:firstColumn="0" w:lastRow="0" w:lastColumn="0" w:firstRow="1"/>
            </w:tblPr>
            <w:tblGrid>
              <w:gridCol w:w="2640"/>
              <w:gridCol w:w="2640"/>
              <w:gridCol w:w="2640"/>
            </w:tblGrid>
            <w:tr>
              <w:trPr>
                <w:tblHeader w:val="true"/>
              </w:trPr>
              <w:tc>
                <w:tcPr>
                  <w:tcW w:w="2640" w:type="dxa"/>
                  <w:tcBorders/>
                </w:tcPr>
                <w:p>
                  <w:pPr>
                    <w:pStyle w:val="Compact"/>
                    <w:spacing w:before="36" w:after="36"/>
                    <w:jc w:val="center"/>
                    <w:rPr/>
                  </w:pPr>
                  <w:bookmarkStart w:id="49" w:name="tbl-fire-frequency-classes"/>
                  <w:r>
                    <w:rPr/>
                    <w:t>Número de Queimadas</w:t>
                  </w:r>
                </w:p>
              </w:tc>
              <w:tc>
                <w:tcPr>
                  <w:tcW w:w="2640" w:type="dxa"/>
                  <w:tcBorders/>
                </w:tcPr>
                <w:p>
                  <w:pPr>
                    <w:pStyle w:val="Compact"/>
                    <w:spacing w:before="36" w:after="36"/>
                    <w:jc w:val="center"/>
                    <w:rPr/>
                  </w:pPr>
                  <w:r>
                    <w:rPr/>
                    <w:t>Área (ha)</w:t>
                  </w:r>
                </w:p>
              </w:tc>
              <w:tc>
                <w:tcPr>
                  <w:tcW w:w="2640" w:type="dxa"/>
                  <w:tcBorders/>
                </w:tcPr>
                <w:p>
                  <w:pPr>
                    <w:pStyle w:val="Compact"/>
                    <w:spacing w:before="36" w:after="36"/>
                    <w:jc w:val="center"/>
                    <w:rPr/>
                  </w:pPr>
                  <w:r>
                    <w:rPr/>
                    <w:t>% Área total</w:t>
                  </w:r>
                </w:p>
              </w:tc>
            </w:tr>
            <w:tr>
              <w:trPr/>
              <w:tc>
                <w:tcPr>
                  <w:tcW w:w="2640" w:type="dxa"/>
                  <w:tcBorders/>
                </w:tcPr>
                <w:p>
                  <w:pPr>
                    <w:pStyle w:val="Compact"/>
                    <w:spacing w:before="36" w:after="36"/>
                    <w:jc w:val="center"/>
                    <w:rPr/>
                  </w:pPr>
                  <w:r>
                    <w:rPr/>
                    <w:t>1</w:t>
                  </w:r>
                </w:p>
              </w:tc>
              <w:tc>
                <w:tcPr>
                  <w:tcW w:w="2640" w:type="dxa"/>
                  <w:tcBorders/>
                </w:tcPr>
                <w:p>
                  <w:pPr>
                    <w:pStyle w:val="Compact"/>
                    <w:spacing w:before="36" w:after="36"/>
                    <w:jc w:val="center"/>
                    <w:rPr/>
                  </w:pPr>
                  <w:r>
                    <w:rPr/>
                    <w:t>132126.308</w:t>
                  </w:r>
                </w:p>
              </w:tc>
              <w:tc>
                <w:tcPr>
                  <w:tcW w:w="2640" w:type="dxa"/>
                  <w:tcBorders/>
                </w:tcPr>
                <w:p>
                  <w:pPr>
                    <w:pStyle w:val="Compact"/>
                    <w:spacing w:before="36" w:after="36"/>
                    <w:jc w:val="center"/>
                    <w:rPr/>
                  </w:pPr>
                  <w:r>
                    <w:rPr/>
                    <w:t>16.512</w:t>
                  </w:r>
                </w:p>
              </w:tc>
            </w:tr>
            <w:tr>
              <w:trPr/>
              <w:tc>
                <w:tcPr>
                  <w:tcW w:w="2640" w:type="dxa"/>
                  <w:tcBorders/>
                </w:tcPr>
                <w:p>
                  <w:pPr>
                    <w:pStyle w:val="Compact"/>
                    <w:spacing w:before="36" w:after="36"/>
                    <w:jc w:val="center"/>
                    <w:rPr/>
                  </w:pPr>
                  <w:r>
                    <w:rPr/>
                    <w:t>2</w:t>
                  </w:r>
                </w:p>
              </w:tc>
              <w:tc>
                <w:tcPr>
                  <w:tcW w:w="2640" w:type="dxa"/>
                  <w:tcBorders/>
                </w:tcPr>
                <w:p>
                  <w:pPr>
                    <w:pStyle w:val="Compact"/>
                    <w:spacing w:before="36" w:after="36"/>
                    <w:jc w:val="center"/>
                    <w:rPr/>
                  </w:pPr>
                  <w:r>
                    <w:rPr/>
                    <w:t>283505.479</w:t>
                  </w:r>
                </w:p>
              </w:tc>
              <w:tc>
                <w:tcPr>
                  <w:tcW w:w="2640" w:type="dxa"/>
                  <w:tcBorders/>
                </w:tcPr>
                <w:p>
                  <w:pPr>
                    <w:pStyle w:val="Compact"/>
                    <w:spacing w:before="36" w:after="36"/>
                    <w:jc w:val="center"/>
                    <w:rPr/>
                  </w:pPr>
                  <w:r>
                    <w:rPr/>
                    <w:t>35.430</w:t>
                  </w:r>
                </w:p>
              </w:tc>
            </w:tr>
            <w:tr>
              <w:trPr/>
              <w:tc>
                <w:tcPr>
                  <w:tcW w:w="2640" w:type="dxa"/>
                  <w:tcBorders/>
                </w:tcPr>
                <w:p>
                  <w:pPr>
                    <w:pStyle w:val="Compact"/>
                    <w:spacing w:before="36" w:after="36"/>
                    <w:jc w:val="center"/>
                    <w:rPr/>
                  </w:pPr>
                  <w:r>
                    <w:rPr/>
                    <w:t>3</w:t>
                  </w:r>
                </w:p>
              </w:tc>
              <w:tc>
                <w:tcPr>
                  <w:tcW w:w="2640" w:type="dxa"/>
                  <w:tcBorders/>
                </w:tcPr>
                <w:p>
                  <w:pPr>
                    <w:pStyle w:val="Compact"/>
                    <w:spacing w:before="36" w:after="36"/>
                    <w:jc w:val="center"/>
                    <w:rPr/>
                  </w:pPr>
                  <w:r>
                    <w:rPr/>
                    <w:t>277379.466</w:t>
                  </w:r>
                </w:p>
              </w:tc>
              <w:tc>
                <w:tcPr>
                  <w:tcW w:w="2640" w:type="dxa"/>
                  <w:tcBorders/>
                </w:tcPr>
                <w:p>
                  <w:pPr>
                    <w:pStyle w:val="Compact"/>
                    <w:spacing w:before="36" w:after="36"/>
                    <w:jc w:val="center"/>
                    <w:rPr/>
                  </w:pPr>
                  <w:r>
                    <w:rPr/>
                    <w:t>34.665</w:t>
                  </w:r>
                </w:p>
              </w:tc>
            </w:tr>
            <w:tr>
              <w:trPr/>
              <w:tc>
                <w:tcPr>
                  <w:tcW w:w="2640" w:type="dxa"/>
                  <w:tcBorders/>
                </w:tcPr>
                <w:p>
                  <w:pPr>
                    <w:pStyle w:val="Compact"/>
                    <w:spacing w:before="36" w:after="36"/>
                    <w:jc w:val="center"/>
                    <w:rPr/>
                  </w:pPr>
                  <w:r>
                    <w:rPr/>
                    <w:t>4</w:t>
                  </w:r>
                </w:p>
              </w:tc>
              <w:tc>
                <w:tcPr>
                  <w:tcW w:w="2640" w:type="dxa"/>
                  <w:tcBorders/>
                </w:tcPr>
                <w:p>
                  <w:pPr>
                    <w:pStyle w:val="Compact"/>
                    <w:spacing w:before="36" w:after="36"/>
                    <w:jc w:val="center"/>
                    <w:rPr/>
                  </w:pPr>
                  <w:r>
                    <w:rPr/>
                    <w:t>86953.927</w:t>
                  </w:r>
                </w:p>
              </w:tc>
              <w:tc>
                <w:tcPr>
                  <w:tcW w:w="2640" w:type="dxa"/>
                  <w:tcBorders/>
                </w:tcPr>
                <w:p>
                  <w:pPr>
                    <w:pStyle w:val="Compact"/>
                    <w:spacing w:before="36" w:after="36"/>
                    <w:jc w:val="center"/>
                    <w:rPr/>
                  </w:pPr>
                  <w:r>
                    <w:rPr/>
                    <w:t>10.867</w:t>
                  </w:r>
                </w:p>
              </w:tc>
            </w:tr>
            <w:tr>
              <w:trPr/>
              <w:tc>
                <w:tcPr>
                  <w:tcW w:w="2640" w:type="dxa"/>
                  <w:tcBorders/>
                </w:tcPr>
                <w:p>
                  <w:pPr>
                    <w:pStyle w:val="Compact"/>
                    <w:spacing w:before="36" w:after="36"/>
                    <w:jc w:val="center"/>
                    <w:rPr/>
                  </w:pPr>
                  <w:r>
                    <w:rPr/>
                    <w:t>5</w:t>
                  </w:r>
                </w:p>
              </w:tc>
              <w:tc>
                <w:tcPr>
                  <w:tcW w:w="2640" w:type="dxa"/>
                  <w:tcBorders/>
                </w:tcPr>
                <w:p>
                  <w:pPr>
                    <w:pStyle w:val="Compact"/>
                    <w:spacing w:before="36" w:after="36"/>
                    <w:jc w:val="center"/>
                    <w:rPr/>
                  </w:pPr>
                  <w:r>
                    <w:rPr/>
                    <w:t>18891.908</w:t>
                  </w:r>
                </w:p>
              </w:tc>
              <w:tc>
                <w:tcPr>
                  <w:tcW w:w="2640" w:type="dxa"/>
                  <w:tcBorders/>
                </w:tcPr>
                <w:p>
                  <w:pPr>
                    <w:pStyle w:val="Compact"/>
                    <w:spacing w:before="36" w:after="36"/>
                    <w:jc w:val="center"/>
                    <w:rPr/>
                  </w:pPr>
                  <w:r>
                    <w:rPr/>
                    <w:t>2.361</w:t>
                  </w:r>
                </w:p>
              </w:tc>
            </w:tr>
            <w:tr>
              <w:trPr/>
              <w:tc>
                <w:tcPr>
                  <w:tcW w:w="2640" w:type="dxa"/>
                  <w:tcBorders/>
                </w:tcPr>
                <w:p>
                  <w:pPr>
                    <w:pStyle w:val="Compact"/>
                    <w:spacing w:before="36" w:after="36"/>
                    <w:jc w:val="center"/>
                    <w:rPr/>
                  </w:pPr>
                  <w:r>
                    <w:rPr/>
                    <w:t>6</w:t>
                  </w:r>
                </w:p>
              </w:tc>
              <w:tc>
                <w:tcPr>
                  <w:tcW w:w="2640" w:type="dxa"/>
                  <w:tcBorders/>
                </w:tcPr>
                <w:p>
                  <w:pPr>
                    <w:pStyle w:val="Compact"/>
                    <w:spacing w:before="36" w:after="36"/>
                    <w:jc w:val="center"/>
                    <w:rPr/>
                  </w:pPr>
                  <w:r>
                    <w:rPr/>
                    <w:t>1319.198</w:t>
                  </w:r>
                </w:p>
              </w:tc>
              <w:tc>
                <w:tcPr>
                  <w:tcW w:w="2640" w:type="dxa"/>
                  <w:tcBorders/>
                </w:tcPr>
                <w:p>
                  <w:pPr>
                    <w:pStyle w:val="Compact"/>
                    <w:spacing w:before="36" w:after="36"/>
                    <w:jc w:val="center"/>
                    <w:rPr/>
                  </w:pPr>
                  <w:r>
                    <w:rPr/>
                    <w:t>0.165</w:t>
                  </w:r>
                </w:p>
              </w:tc>
            </w:tr>
          </w:tbl>
          <w:p>
            <w:pPr>
              <w:pStyle w:val="ImageCaption"/>
              <w:spacing w:before="200" w:after="120"/>
              <w:jc w:val="left"/>
              <w:rPr/>
            </w:pPr>
            <w:bookmarkStart w:id="50" w:name="tbl-fire-frequency-classes"/>
            <w:r>
              <w:rPr/>
              <w:t>Tabela 3: PEST do Rio Negro - Número de queimadas 2013-2024.</w:t>
            </w:r>
            <w:bookmarkEnd w:id="50"/>
          </w:p>
        </w:tc>
      </w:tr>
    </w:tbl>
    <w:p>
      <w:pPr>
        <w:pStyle w:val="BodyText"/>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10206"/>
      </w:tblGrid>
      <w:tr>
        <w:trPr/>
        <w:tc>
          <w:tcPr>
            <w:tcW w:w="10206" w:type="dxa"/>
            <w:tcBorders/>
          </w:tcPr>
          <w:p>
            <w:pPr>
              <w:pStyle w:val="Compact"/>
              <w:spacing w:before="36" w:after="36"/>
              <w:jc w:val="center"/>
              <w:rPr/>
            </w:pPr>
            <w:bookmarkStart w:id="51" w:name="fig-occurrence-map"/>
            <w:r>
              <w:rPr/>
              <w:drawing>
                <wp:inline distT="0" distB="0" distL="0" distR="0">
                  <wp:extent cx="6477000" cy="6477000"/>
                  <wp:effectExtent l="0" t="0" r="0" b="0"/>
                  <wp:docPr id="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pic:cNvPicPr>
                            <a:picLocks noChangeAspect="1" noChangeArrowheads="1"/>
                          </pic:cNvPicPr>
                        </pic:nvPicPr>
                        <pic:blipFill>
                          <a:blip r:embed="rId6"/>
                          <a:stretch>
                            <a:fillRect/>
                          </a:stretch>
                        </pic:blipFill>
                        <pic:spPr bwMode="auto">
                          <a:xfrm>
                            <a:off x="0" y="0"/>
                            <a:ext cx="6477000" cy="6477000"/>
                          </a:xfrm>
                          <a:prstGeom prst="rect">
                            <a:avLst/>
                          </a:prstGeom>
                          <a:noFill/>
                        </pic:spPr>
                      </pic:pic>
                    </a:graphicData>
                  </a:graphic>
                </wp:inline>
              </w:drawing>
            </w:r>
          </w:p>
          <w:p>
            <w:pPr>
              <w:pStyle w:val="ImageCaption"/>
              <w:spacing w:before="200" w:after="120"/>
              <w:jc w:val="left"/>
              <w:rPr/>
            </w:pPr>
            <w:bookmarkStart w:id="52" w:name="fig-occurrence-map"/>
            <w:r>
              <w:rPr/>
              <w:t>Figura 5: PEST do Rio Negro - Classes de frequência de fogo 2014-2024. Área do PEST do Rio Negro 342.233,35 ha</w:t>
            </w:r>
            <w:bookmarkStart w:id="53" w:name="fogo-por-estação"/>
            <w:bookmarkEnd w:id="52"/>
            <w:bookmarkEnd w:id="53"/>
          </w:p>
        </w:tc>
      </w:tr>
    </w:tbl>
    <w:p>
      <w:pPr>
        <w:pStyle w:val="Heading4"/>
        <w:rPr/>
      </w:pPr>
      <w:r>
        <w:rPr/>
        <w:t>3.3.2 Fogo por local do PEST do Rio Negro</w:t>
      </w:r>
    </w:p>
    <w:p>
      <w:pPr>
        <w:pStyle w:val="FirstParagraph"/>
        <w:rPr/>
      </w:pPr>
      <w:r>
        <w:rPr/>
        <w:t>A análise dos dados sobre a área queimada no Parque Estadual do Pantanal do Rio Negro (PEST do Rio Negro) revela padrões importantes ao longo dos anos e em relação às diferentes regiões do parque.</w:t>
      </w:r>
    </w:p>
    <w:p>
      <w:pPr>
        <w:pStyle w:val="BodyText"/>
        <w:rPr/>
      </w:pPr>
      <w:r>
        <w:rPr/>
        <w:t xml:space="preserve">A </w:t>
      </w:r>
      <w:hyperlink w:anchor="tbl-fire-area-local">
        <w:r>
          <w:rPr>
            <w:rStyle w:val="Hyperlink"/>
          </w:rPr>
          <w:t>Tabela 4</w:t>
        </w:r>
      </w:hyperlink>
      <w:r>
        <w:rPr/>
        <w:t xml:space="preserve"> evidencia que, no total, a área queimada na ZA representa 75,279% do total de queimadas registradas no PEST do Rio Negro, enquanto o interior do parque (PEPRN) concentra 24,721% da área queimada. Isso reforça a importância das ações de monitoramento e prevenção do fogo na zona de amortecimento, visando reduzir os impactos sobre a biodiversidade e os ecossistemas do Pantanal.</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10206"/>
      </w:tblGrid>
      <w:tr>
        <w:trPr/>
        <w:tc>
          <w:tcPr>
            <w:tcW w:w="10206" w:type="dxa"/>
            <w:tcBorders/>
          </w:tcPr>
          <w:tbl>
            <w:tblPr>
              <w:tblStyle w:val="Table"/>
              <w:tblW w:w="7920" w:type="dxa"/>
              <w:jc w:val="left"/>
              <w:tblInd w:w="108" w:type="dxa"/>
              <w:tblLayout w:type="fixed"/>
              <w:tblCellMar>
                <w:top w:w="0" w:type="dxa"/>
                <w:left w:w="108" w:type="dxa"/>
                <w:bottom w:w="0" w:type="dxa"/>
                <w:right w:w="108" w:type="dxa"/>
              </w:tblCellMar>
              <w:tblLook w:val="0020" w:noHBand="0" w:noVBand="0" w:firstColumn="0" w:lastRow="0" w:lastColumn="0" w:firstRow="1"/>
            </w:tblPr>
            <w:tblGrid>
              <w:gridCol w:w="2640"/>
              <w:gridCol w:w="2640"/>
              <w:gridCol w:w="2640"/>
            </w:tblGrid>
            <w:tr>
              <w:trPr>
                <w:tblHeader w:val="true"/>
              </w:trPr>
              <w:tc>
                <w:tcPr>
                  <w:tcW w:w="2640" w:type="dxa"/>
                  <w:tcBorders/>
                </w:tcPr>
                <w:p>
                  <w:pPr>
                    <w:pStyle w:val="Compact"/>
                    <w:spacing w:before="36" w:after="36"/>
                    <w:jc w:val="center"/>
                    <w:rPr/>
                  </w:pPr>
                  <w:bookmarkStart w:id="54" w:name="tbl-fire-area-local"/>
                  <w:r>
                    <w:rPr/>
                    <w:t>Local</w:t>
                  </w:r>
                </w:p>
              </w:tc>
              <w:tc>
                <w:tcPr>
                  <w:tcW w:w="2640" w:type="dxa"/>
                  <w:tcBorders/>
                </w:tcPr>
                <w:p>
                  <w:pPr>
                    <w:pStyle w:val="Compact"/>
                    <w:spacing w:before="36" w:after="36"/>
                    <w:jc w:val="center"/>
                    <w:rPr/>
                  </w:pPr>
                  <w:r>
                    <w:rPr/>
                    <w:t>Área (ha)</w:t>
                  </w:r>
                </w:p>
              </w:tc>
              <w:tc>
                <w:tcPr>
                  <w:tcW w:w="2640" w:type="dxa"/>
                  <w:tcBorders/>
                </w:tcPr>
                <w:p>
                  <w:pPr>
                    <w:pStyle w:val="Compact"/>
                    <w:spacing w:before="36" w:after="36"/>
                    <w:jc w:val="center"/>
                    <w:rPr/>
                  </w:pPr>
                  <w:r>
                    <w:rPr/>
                    <w:t>% Área total</w:t>
                  </w:r>
                </w:p>
              </w:tc>
            </w:tr>
            <w:tr>
              <w:trPr/>
              <w:tc>
                <w:tcPr>
                  <w:tcW w:w="2640" w:type="dxa"/>
                  <w:tcBorders/>
                </w:tcPr>
                <w:p>
                  <w:pPr>
                    <w:pStyle w:val="Compact"/>
                    <w:spacing w:before="36" w:after="36"/>
                    <w:jc w:val="center"/>
                    <w:rPr/>
                  </w:pPr>
                  <w:r>
                    <w:rPr/>
                    <w:t>PEPRN</w:t>
                  </w:r>
                </w:p>
              </w:tc>
              <w:tc>
                <w:tcPr>
                  <w:tcW w:w="2640" w:type="dxa"/>
                  <w:tcBorders/>
                </w:tcPr>
                <w:p>
                  <w:pPr>
                    <w:pStyle w:val="Compact"/>
                    <w:spacing w:before="36" w:after="36"/>
                    <w:jc w:val="center"/>
                    <w:rPr/>
                  </w:pPr>
                  <w:r>
                    <w:rPr/>
                    <w:t>197813.9</w:t>
                  </w:r>
                </w:p>
              </w:tc>
              <w:tc>
                <w:tcPr>
                  <w:tcW w:w="2640" w:type="dxa"/>
                  <w:tcBorders/>
                </w:tcPr>
                <w:p>
                  <w:pPr>
                    <w:pStyle w:val="Compact"/>
                    <w:spacing w:before="36" w:after="36"/>
                    <w:jc w:val="center"/>
                    <w:rPr/>
                  </w:pPr>
                  <w:r>
                    <w:rPr/>
                    <w:t>24.721</w:t>
                  </w:r>
                </w:p>
              </w:tc>
            </w:tr>
            <w:tr>
              <w:trPr/>
              <w:tc>
                <w:tcPr>
                  <w:tcW w:w="2640" w:type="dxa"/>
                  <w:tcBorders/>
                </w:tcPr>
                <w:p>
                  <w:pPr>
                    <w:pStyle w:val="Compact"/>
                    <w:spacing w:before="36" w:after="36"/>
                    <w:jc w:val="center"/>
                    <w:rPr/>
                  </w:pPr>
                  <w:r>
                    <w:rPr/>
                    <w:t>ZA</w:t>
                  </w:r>
                </w:p>
              </w:tc>
              <w:tc>
                <w:tcPr>
                  <w:tcW w:w="2640" w:type="dxa"/>
                  <w:tcBorders/>
                </w:tcPr>
                <w:p>
                  <w:pPr>
                    <w:pStyle w:val="Compact"/>
                    <w:spacing w:before="36" w:after="36"/>
                    <w:jc w:val="center"/>
                    <w:rPr/>
                  </w:pPr>
                  <w:r>
                    <w:rPr/>
                    <w:t>602362.3</w:t>
                  </w:r>
                </w:p>
              </w:tc>
              <w:tc>
                <w:tcPr>
                  <w:tcW w:w="2640" w:type="dxa"/>
                  <w:tcBorders/>
                </w:tcPr>
                <w:p>
                  <w:pPr>
                    <w:pStyle w:val="Compact"/>
                    <w:spacing w:before="36" w:after="36"/>
                    <w:jc w:val="center"/>
                    <w:rPr/>
                  </w:pPr>
                  <w:r>
                    <w:rPr/>
                    <w:t>75.279</w:t>
                  </w:r>
                </w:p>
              </w:tc>
            </w:tr>
          </w:tbl>
          <w:p>
            <w:pPr>
              <w:pStyle w:val="ImageCaption"/>
              <w:spacing w:before="200" w:after="120"/>
              <w:jc w:val="left"/>
              <w:rPr/>
            </w:pPr>
            <w:bookmarkStart w:id="55" w:name="tbl-fire-area-local"/>
            <w:r>
              <w:rPr/>
              <w:t>Tabela 4: PEST do Rio Negro - Área queimada por local.</w:t>
            </w:r>
            <w:bookmarkEnd w:id="55"/>
          </w:p>
        </w:tc>
      </w:tr>
    </w:tbl>
    <w:p>
      <w:pPr>
        <w:pStyle w:val="BodyText"/>
        <w:rPr/>
      </w:pPr>
      <w:r>
        <w:rPr/>
        <w:t>De 2013 a 2018, as áreas queimadas tanto no interior do parque (PEPRN) quanto na zona de amortecimento (ZA) foram relativamente baixas, sem grandes variações. A partir de 2019, observa-se um aumento acentuado da área queimada, especialmente na ZA, que passou de aproximadamente 9.770 ha (12,21% da área total queimada) em 2019 para um pico de 142.201 ha (17,77%) em 2024. O PEPRN também teve um aumento significativo, atingindo seu maior valor em 2024, com 57.633 ha, 7,203% da área total queimada (</w:t>
      </w:r>
      <w:hyperlink w:anchor="tbl-fire-area-local-year">
        <w:r>
          <w:rPr>
            <w:rStyle w:val="Hyperlink"/>
          </w:rPr>
          <w:t>Tabela 5</w:t>
        </w:r>
      </w:hyperlink>
      <w:r>
        <w:rPr/>
        <w:t>).</w:t>
      </w:r>
    </w:p>
    <w:p>
      <w:pPr>
        <w:pStyle w:val="BodyText"/>
        <w:rPr/>
      </w:pPr>
      <w:r>
        <w:rPr/>
        <w:t>Em todos os anos analisados, a área queimada na ZA foi superior àquela no PEPRN, indicando que as regiões externas ao parque são mais suscetíveis ao fogo. O ano de 2021 se destacou como um dos piores anos, com a ZA registrando 121.764 ha queimados (15,217%) e o PEPRN 46.336 ha (5,791%) (</w:t>
      </w:r>
      <w:hyperlink w:anchor="tbl-fire-area-local-year">
        <w:r>
          <w:rPr>
            <w:rStyle w:val="Hyperlink"/>
          </w:rPr>
          <w:t>Tabela 5</w:t>
        </w:r>
      </w:hyperlink>
      <w:r>
        <w:rPr/>
        <w:t>). A proporção total de área queimada confirma essa diferença: 75,279% das queimadas ocorreram na ZA, enquanto apenas 24,721% ocorreram no PEPRN (</w:t>
      </w:r>
      <w:hyperlink w:anchor="tbl-fire-area-local">
        <w:r>
          <w:rPr>
            <w:rStyle w:val="Hyperlink"/>
          </w:rPr>
          <w:t>Tabela 4</w:t>
        </w:r>
      </w:hyperlink>
      <w:r>
        <w:rPr/>
        <w:t xml:space="preserve">, </w:t>
      </w:r>
      <w:hyperlink w:anchor="fig-occurrence-map">
        <w:r>
          <w:rPr>
            <w:rStyle w:val="Hyperlink"/>
          </w:rPr>
          <w:t>Figura 5</w:t>
        </w:r>
      </w:hyperlink>
      <w:r>
        <w:rPr/>
        <w:t>).</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10206"/>
      </w:tblGrid>
      <w:tr>
        <w:trPr/>
        <w:tc>
          <w:tcPr>
            <w:tcW w:w="10206" w:type="dxa"/>
            <w:tcBorders/>
          </w:tcPr>
          <w:tbl>
            <w:tblPr>
              <w:tblStyle w:val="Table"/>
              <w:tblW w:w="7920" w:type="dxa"/>
              <w:jc w:val="left"/>
              <w:tblInd w:w="108" w:type="dxa"/>
              <w:tblLayout w:type="fixed"/>
              <w:tblCellMar>
                <w:top w:w="0" w:type="dxa"/>
                <w:left w:w="108" w:type="dxa"/>
                <w:bottom w:w="0" w:type="dxa"/>
                <w:right w:w="108" w:type="dxa"/>
              </w:tblCellMar>
              <w:tblLook w:val="0020" w:noHBand="0" w:noVBand="0" w:firstColumn="0" w:lastRow="0" w:lastColumn="0" w:firstRow="1"/>
            </w:tblPr>
            <w:tblGrid>
              <w:gridCol w:w="1980"/>
              <w:gridCol w:w="1980"/>
              <w:gridCol w:w="1980"/>
              <w:gridCol w:w="1979"/>
            </w:tblGrid>
            <w:tr>
              <w:trPr>
                <w:tblHeader w:val="true"/>
              </w:trPr>
              <w:tc>
                <w:tcPr>
                  <w:tcW w:w="1980" w:type="dxa"/>
                  <w:tcBorders/>
                </w:tcPr>
                <w:p>
                  <w:pPr>
                    <w:pStyle w:val="Compact"/>
                    <w:spacing w:before="36" w:after="36"/>
                    <w:jc w:val="center"/>
                    <w:rPr/>
                  </w:pPr>
                  <w:bookmarkStart w:id="56" w:name="tbl-fire-area-local-year"/>
                  <w:r>
                    <w:rPr/>
                    <w:t>Ano</w:t>
                  </w:r>
                </w:p>
              </w:tc>
              <w:tc>
                <w:tcPr>
                  <w:tcW w:w="1980" w:type="dxa"/>
                  <w:tcBorders/>
                </w:tcPr>
                <w:p>
                  <w:pPr>
                    <w:pStyle w:val="Compact"/>
                    <w:spacing w:before="36" w:after="36"/>
                    <w:jc w:val="center"/>
                    <w:rPr/>
                  </w:pPr>
                  <w:r>
                    <w:rPr/>
                    <w:t>Local</w:t>
                  </w:r>
                </w:p>
              </w:tc>
              <w:tc>
                <w:tcPr>
                  <w:tcW w:w="1980" w:type="dxa"/>
                  <w:tcBorders/>
                </w:tcPr>
                <w:p>
                  <w:pPr>
                    <w:pStyle w:val="Compact"/>
                    <w:spacing w:before="36" w:after="36"/>
                    <w:jc w:val="center"/>
                    <w:rPr/>
                  </w:pPr>
                  <w:r>
                    <w:rPr/>
                    <w:t>Área (ha)</w:t>
                  </w:r>
                </w:p>
              </w:tc>
              <w:tc>
                <w:tcPr>
                  <w:tcW w:w="1979" w:type="dxa"/>
                  <w:tcBorders/>
                </w:tcPr>
                <w:p>
                  <w:pPr>
                    <w:pStyle w:val="Compact"/>
                    <w:spacing w:before="36" w:after="36"/>
                    <w:jc w:val="center"/>
                    <w:rPr/>
                  </w:pPr>
                  <w:r>
                    <w:rPr/>
                    <w:t>% Área total</w:t>
                  </w:r>
                </w:p>
              </w:tc>
            </w:tr>
            <w:tr>
              <w:trPr/>
              <w:tc>
                <w:tcPr>
                  <w:tcW w:w="1980" w:type="dxa"/>
                  <w:tcBorders/>
                </w:tcPr>
                <w:p>
                  <w:pPr>
                    <w:pStyle w:val="Compact"/>
                    <w:spacing w:before="36" w:after="36"/>
                    <w:jc w:val="center"/>
                    <w:rPr/>
                  </w:pPr>
                  <w:r>
                    <w:rPr/>
                    <w:t>2013</w:t>
                  </w:r>
                </w:p>
              </w:tc>
              <w:tc>
                <w:tcPr>
                  <w:tcW w:w="1980" w:type="dxa"/>
                  <w:tcBorders/>
                </w:tcPr>
                <w:p>
                  <w:pPr>
                    <w:pStyle w:val="Compact"/>
                    <w:spacing w:before="36" w:after="36"/>
                    <w:jc w:val="center"/>
                    <w:rPr/>
                  </w:pPr>
                  <w:r>
                    <w:rPr/>
                    <w:t>PEPRN</w:t>
                  </w:r>
                </w:p>
              </w:tc>
              <w:tc>
                <w:tcPr>
                  <w:tcW w:w="1980" w:type="dxa"/>
                  <w:tcBorders/>
                </w:tcPr>
                <w:p>
                  <w:pPr>
                    <w:pStyle w:val="Compact"/>
                    <w:spacing w:before="36" w:after="36"/>
                    <w:jc w:val="center"/>
                    <w:rPr/>
                  </w:pPr>
                  <w:r>
                    <w:rPr/>
                    <w:t>1605.863</w:t>
                  </w:r>
                </w:p>
              </w:tc>
              <w:tc>
                <w:tcPr>
                  <w:tcW w:w="1979" w:type="dxa"/>
                  <w:tcBorders/>
                </w:tcPr>
                <w:p>
                  <w:pPr>
                    <w:pStyle w:val="Compact"/>
                    <w:spacing w:before="36" w:after="36"/>
                    <w:jc w:val="center"/>
                    <w:rPr/>
                  </w:pPr>
                  <w:r>
                    <w:rPr/>
                    <w:t>0.201</w:t>
                  </w:r>
                </w:p>
              </w:tc>
            </w:tr>
            <w:tr>
              <w:trPr/>
              <w:tc>
                <w:tcPr>
                  <w:tcW w:w="1980" w:type="dxa"/>
                  <w:tcBorders/>
                </w:tcPr>
                <w:p>
                  <w:pPr>
                    <w:pStyle w:val="Compact"/>
                    <w:spacing w:before="36" w:after="36"/>
                    <w:jc w:val="center"/>
                    <w:rPr/>
                  </w:pPr>
                  <w:r>
                    <w:rPr/>
                    <w:t>2013</w:t>
                  </w:r>
                </w:p>
              </w:tc>
              <w:tc>
                <w:tcPr>
                  <w:tcW w:w="1980" w:type="dxa"/>
                  <w:tcBorders/>
                </w:tcPr>
                <w:p>
                  <w:pPr>
                    <w:pStyle w:val="Compact"/>
                    <w:spacing w:before="36" w:after="36"/>
                    <w:jc w:val="center"/>
                    <w:rPr/>
                  </w:pPr>
                  <w:r>
                    <w:rPr/>
                    <w:t>ZA</w:t>
                  </w:r>
                </w:p>
              </w:tc>
              <w:tc>
                <w:tcPr>
                  <w:tcW w:w="1980" w:type="dxa"/>
                  <w:tcBorders/>
                </w:tcPr>
                <w:p>
                  <w:pPr>
                    <w:pStyle w:val="Compact"/>
                    <w:spacing w:before="36" w:after="36"/>
                    <w:jc w:val="center"/>
                    <w:rPr/>
                  </w:pPr>
                  <w:r>
                    <w:rPr/>
                    <w:t>20155.536</w:t>
                  </w:r>
                </w:p>
              </w:tc>
              <w:tc>
                <w:tcPr>
                  <w:tcW w:w="1979" w:type="dxa"/>
                  <w:tcBorders/>
                </w:tcPr>
                <w:p>
                  <w:pPr>
                    <w:pStyle w:val="Compact"/>
                    <w:spacing w:before="36" w:after="36"/>
                    <w:jc w:val="center"/>
                    <w:rPr/>
                  </w:pPr>
                  <w:r>
                    <w:rPr/>
                    <w:t>2.519</w:t>
                  </w:r>
                </w:p>
              </w:tc>
            </w:tr>
            <w:tr>
              <w:trPr/>
              <w:tc>
                <w:tcPr>
                  <w:tcW w:w="1980" w:type="dxa"/>
                  <w:tcBorders/>
                </w:tcPr>
                <w:p>
                  <w:pPr>
                    <w:pStyle w:val="Compact"/>
                    <w:spacing w:before="36" w:after="36"/>
                    <w:jc w:val="center"/>
                    <w:rPr/>
                  </w:pPr>
                  <w:r>
                    <w:rPr/>
                    <w:t>2014</w:t>
                  </w:r>
                </w:p>
              </w:tc>
              <w:tc>
                <w:tcPr>
                  <w:tcW w:w="1980" w:type="dxa"/>
                  <w:tcBorders/>
                </w:tcPr>
                <w:p>
                  <w:pPr>
                    <w:pStyle w:val="Compact"/>
                    <w:spacing w:before="36" w:after="36"/>
                    <w:jc w:val="center"/>
                    <w:rPr/>
                  </w:pPr>
                  <w:r>
                    <w:rPr/>
                    <w:t>PEPRN</w:t>
                  </w:r>
                </w:p>
              </w:tc>
              <w:tc>
                <w:tcPr>
                  <w:tcW w:w="1980" w:type="dxa"/>
                  <w:tcBorders/>
                </w:tcPr>
                <w:p>
                  <w:pPr>
                    <w:pStyle w:val="Compact"/>
                    <w:spacing w:before="36" w:after="36"/>
                    <w:jc w:val="center"/>
                    <w:rPr/>
                  </w:pPr>
                  <w:r>
                    <w:rPr/>
                    <w:t>1980.284</w:t>
                  </w:r>
                </w:p>
              </w:tc>
              <w:tc>
                <w:tcPr>
                  <w:tcW w:w="1979" w:type="dxa"/>
                  <w:tcBorders/>
                </w:tcPr>
                <w:p>
                  <w:pPr>
                    <w:pStyle w:val="Compact"/>
                    <w:spacing w:before="36" w:after="36"/>
                    <w:jc w:val="center"/>
                    <w:rPr/>
                  </w:pPr>
                  <w:r>
                    <w:rPr/>
                    <w:t>0.247</w:t>
                  </w:r>
                </w:p>
              </w:tc>
            </w:tr>
            <w:tr>
              <w:trPr/>
              <w:tc>
                <w:tcPr>
                  <w:tcW w:w="1980" w:type="dxa"/>
                  <w:tcBorders/>
                </w:tcPr>
                <w:p>
                  <w:pPr>
                    <w:pStyle w:val="Compact"/>
                    <w:spacing w:before="36" w:after="36"/>
                    <w:jc w:val="center"/>
                    <w:rPr/>
                  </w:pPr>
                  <w:r>
                    <w:rPr/>
                    <w:t>2014</w:t>
                  </w:r>
                </w:p>
              </w:tc>
              <w:tc>
                <w:tcPr>
                  <w:tcW w:w="1980" w:type="dxa"/>
                  <w:tcBorders/>
                </w:tcPr>
                <w:p>
                  <w:pPr>
                    <w:pStyle w:val="Compact"/>
                    <w:spacing w:before="36" w:after="36"/>
                    <w:jc w:val="center"/>
                    <w:rPr/>
                  </w:pPr>
                  <w:r>
                    <w:rPr/>
                    <w:t>ZA</w:t>
                  </w:r>
                </w:p>
              </w:tc>
              <w:tc>
                <w:tcPr>
                  <w:tcW w:w="1980" w:type="dxa"/>
                  <w:tcBorders/>
                </w:tcPr>
                <w:p>
                  <w:pPr>
                    <w:pStyle w:val="Compact"/>
                    <w:spacing w:before="36" w:after="36"/>
                    <w:jc w:val="center"/>
                    <w:rPr/>
                  </w:pPr>
                  <w:r>
                    <w:rPr/>
                    <w:t>6050.188</w:t>
                  </w:r>
                </w:p>
              </w:tc>
              <w:tc>
                <w:tcPr>
                  <w:tcW w:w="1979" w:type="dxa"/>
                  <w:tcBorders/>
                </w:tcPr>
                <w:p>
                  <w:pPr>
                    <w:pStyle w:val="Compact"/>
                    <w:spacing w:before="36" w:after="36"/>
                    <w:jc w:val="center"/>
                    <w:rPr/>
                  </w:pPr>
                  <w:r>
                    <w:rPr/>
                    <w:t>0.756</w:t>
                  </w:r>
                </w:p>
              </w:tc>
            </w:tr>
            <w:tr>
              <w:trPr/>
              <w:tc>
                <w:tcPr>
                  <w:tcW w:w="1980" w:type="dxa"/>
                  <w:tcBorders/>
                </w:tcPr>
                <w:p>
                  <w:pPr>
                    <w:pStyle w:val="Compact"/>
                    <w:spacing w:before="36" w:after="36"/>
                    <w:jc w:val="center"/>
                    <w:rPr/>
                  </w:pPr>
                  <w:r>
                    <w:rPr/>
                    <w:t>2015</w:t>
                  </w:r>
                </w:p>
              </w:tc>
              <w:tc>
                <w:tcPr>
                  <w:tcW w:w="1980" w:type="dxa"/>
                  <w:tcBorders/>
                </w:tcPr>
                <w:p>
                  <w:pPr>
                    <w:pStyle w:val="Compact"/>
                    <w:spacing w:before="36" w:after="36"/>
                    <w:jc w:val="center"/>
                    <w:rPr/>
                  </w:pPr>
                  <w:r>
                    <w:rPr/>
                    <w:t>PEPRN</w:t>
                  </w:r>
                </w:p>
              </w:tc>
              <w:tc>
                <w:tcPr>
                  <w:tcW w:w="1980" w:type="dxa"/>
                  <w:tcBorders/>
                </w:tcPr>
                <w:p>
                  <w:pPr>
                    <w:pStyle w:val="Compact"/>
                    <w:spacing w:before="36" w:after="36"/>
                    <w:jc w:val="center"/>
                    <w:rPr/>
                  </w:pPr>
                  <w:r>
                    <w:rPr/>
                    <w:t>1452.580</w:t>
                  </w:r>
                </w:p>
              </w:tc>
              <w:tc>
                <w:tcPr>
                  <w:tcW w:w="1979" w:type="dxa"/>
                  <w:tcBorders/>
                </w:tcPr>
                <w:p>
                  <w:pPr>
                    <w:pStyle w:val="Compact"/>
                    <w:spacing w:before="36" w:after="36"/>
                    <w:jc w:val="center"/>
                    <w:rPr/>
                  </w:pPr>
                  <w:r>
                    <w:rPr/>
                    <w:t>0.182</w:t>
                  </w:r>
                </w:p>
              </w:tc>
            </w:tr>
            <w:tr>
              <w:trPr/>
              <w:tc>
                <w:tcPr>
                  <w:tcW w:w="1980" w:type="dxa"/>
                  <w:tcBorders/>
                </w:tcPr>
                <w:p>
                  <w:pPr>
                    <w:pStyle w:val="Compact"/>
                    <w:spacing w:before="36" w:after="36"/>
                    <w:jc w:val="center"/>
                    <w:rPr/>
                  </w:pPr>
                  <w:r>
                    <w:rPr/>
                    <w:t>2015</w:t>
                  </w:r>
                </w:p>
              </w:tc>
              <w:tc>
                <w:tcPr>
                  <w:tcW w:w="1980" w:type="dxa"/>
                  <w:tcBorders/>
                </w:tcPr>
                <w:p>
                  <w:pPr>
                    <w:pStyle w:val="Compact"/>
                    <w:spacing w:before="36" w:after="36"/>
                    <w:jc w:val="center"/>
                    <w:rPr/>
                  </w:pPr>
                  <w:r>
                    <w:rPr/>
                    <w:t>ZA</w:t>
                  </w:r>
                </w:p>
              </w:tc>
              <w:tc>
                <w:tcPr>
                  <w:tcW w:w="1980" w:type="dxa"/>
                  <w:tcBorders/>
                </w:tcPr>
                <w:p>
                  <w:pPr>
                    <w:pStyle w:val="Compact"/>
                    <w:spacing w:before="36" w:after="36"/>
                    <w:jc w:val="center"/>
                    <w:rPr/>
                  </w:pPr>
                  <w:r>
                    <w:rPr/>
                    <w:t>6365.966</w:t>
                  </w:r>
                </w:p>
              </w:tc>
              <w:tc>
                <w:tcPr>
                  <w:tcW w:w="1979" w:type="dxa"/>
                  <w:tcBorders/>
                </w:tcPr>
                <w:p>
                  <w:pPr>
                    <w:pStyle w:val="Compact"/>
                    <w:spacing w:before="36" w:after="36"/>
                    <w:jc w:val="center"/>
                    <w:rPr/>
                  </w:pPr>
                  <w:r>
                    <w:rPr/>
                    <w:t>0.796</w:t>
                  </w:r>
                </w:p>
              </w:tc>
            </w:tr>
            <w:tr>
              <w:trPr/>
              <w:tc>
                <w:tcPr>
                  <w:tcW w:w="1980" w:type="dxa"/>
                  <w:tcBorders/>
                </w:tcPr>
                <w:p>
                  <w:pPr>
                    <w:pStyle w:val="Compact"/>
                    <w:spacing w:before="36" w:after="36"/>
                    <w:jc w:val="center"/>
                    <w:rPr/>
                  </w:pPr>
                  <w:r>
                    <w:rPr/>
                    <w:t>2016</w:t>
                  </w:r>
                </w:p>
              </w:tc>
              <w:tc>
                <w:tcPr>
                  <w:tcW w:w="1980" w:type="dxa"/>
                  <w:tcBorders/>
                </w:tcPr>
                <w:p>
                  <w:pPr>
                    <w:pStyle w:val="Compact"/>
                    <w:spacing w:before="36" w:after="36"/>
                    <w:jc w:val="center"/>
                    <w:rPr/>
                  </w:pPr>
                  <w:r>
                    <w:rPr/>
                    <w:t>PEPRN</w:t>
                  </w:r>
                </w:p>
              </w:tc>
              <w:tc>
                <w:tcPr>
                  <w:tcW w:w="1980" w:type="dxa"/>
                  <w:tcBorders/>
                </w:tcPr>
                <w:p>
                  <w:pPr>
                    <w:pStyle w:val="Compact"/>
                    <w:spacing w:before="36" w:after="36"/>
                    <w:jc w:val="center"/>
                    <w:rPr/>
                  </w:pPr>
                  <w:r>
                    <w:rPr/>
                    <w:t>447.871</w:t>
                  </w:r>
                </w:p>
              </w:tc>
              <w:tc>
                <w:tcPr>
                  <w:tcW w:w="1979" w:type="dxa"/>
                  <w:tcBorders/>
                </w:tcPr>
                <w:p>
                  <w:pPr>
                    <w:pStyle w:val="Compact"/>
                    <w:spacing w:before="36" w:after="36"/>
                    <w:jc w:val="center"/>
                    <w:rPr/>
                  </w:pPr>
                  <w:r>
                    <w:rPr/>
                    <w:t>0.056</w:t>
                  </w:r>
                </w:p>
              </w:tc>
            </w:tr>
            <w:tr>
              <w:trPr/>
              <w:tc>
                <w:tcPr>
                  <w:tcW w:w="1980" w:type="dxa"/>
                  <w:tcBorders/>
                </w:tcPr>
                <w:p>
                  <w:pPr>
                    <w:pStyle w:val="Compact"/>
                    <w:spacing w:before="36" w:after="36"/>
                    <w:jc w:val="center"/>
                    <w:rPr/>
                  </w:pPr>
                  <w:r>
                    <w:rPr/>
                    <w:t>2016</w:t>
                  </w:r>
                </w:p>
              </w:tc>
              <w:tc>
                <w:tcPr>
                  <w:tcW w:w="1980" w:type="dxa"/>
                  <w:tcBorders/>
                </w:tcPr>
                <w:p>
                  <w:pPr>
                    <w:pStyle w:val="Compact"/>
                    <w:spacing w:before="36" w:after="36"/>
                    <w:jc w:val="center"/>
                    <w:rPr/>
                  </w:pPr>
                  <w:r>
                    <w:rPr/>
                    <w:t>ZA</w:t>
                  </w:r>
                </w:p>
              </w:tc>
              <w:tc>
                <w:tcPr>
                  <w:tcW w:w="1980" w:type="dxa"/>
                  <w:tcBorders/>
                </w:tcPr>
                <w:p>
                  <w:pPr>
                    <w:pStyle w:val="Compact"/>
                    <w:spacing w:before="36" w:after="36"/>
                    <w:jc w:val="center"/>
                    <w:rPr/>
                  </w:pPr>
                  <w:r>
                    <w:rPr/>
                    <w:t>5242.396</w:t>
                  </w:r>
                </w:p>
              </w:tc>
              <w:tc>
                <w:tcPr>
                  <w:tcW w:w="1979" w:type="dxa"/>
                  <w:tcBorders/>
                </w:tcPr>
                <w:p>
                  <w:pPr>
                    <w:pStyle w:val="Compact"/>
                    <w:spacing w:before="36" w:after="36"/>
                    <w:jc w:val="center"/>
                    <w:rPr/>
                  </w:pPr>
                  <w:r>
                    <w:rPr/>
                    <w:t>0.655</w:t>
                  </w:r>
                </w:p>
              </w:tc>
            </w:tr>
            <w:tr>
              <w:trPr/>
              <w:tc>
                <w:tcPr>
                  <w:tcW w:w="1980" w:type="dxa"/>
                  <w:tcBorders/>
                </w:tcPr>
                <w:p>
                  <w:pPr>
                    <w:pStyle w:val="Compact"/>
                    <w:spacing w:before="36" w:after="36"/>
                    <w:jc w:val="center"/>
                    <w:rPr/>
                  </w:pPr>
                  <w:r>
                    <w:rPr/>
                    <w:t>2017</w:t>
                  </w:r>
                </w:p>
              </w:tc>
              <w:tc>
                <w:tcPr>
                  <w:tcW w:w="1980" w:type="dxa"/>
                  <w:tcBorders/>
                </w:tcPr>
                <w:p>
                  <w:pPr>
                    <w:pStyle w:val="Compact"/>
                    <w:spacing w:before="36" w:after="36"/>
                    <w:jc w:val="center"/>
                    <w:rPr/>
                  </w:pPr>
                  <w:r>
                    <w:rPr/>
                    <w:t>PEPRN</w:t>
                  </w:r>
                </w:p>
              </w:tc>
              <w:tc>
                <w:tcPr>
                  <w:tcW w:w="1980" w:type="dxa"/>
                  <w:tcBorders/>
                </w:tcPr>
                <w:p>
                  <w:pPr>
                    <w:pStyle w:val="Compact"/>
                    <w:spacing w:before="36" w:after="36"/>
                    <w:jc w:val="center"/>
                    <w:rPr/>
                  </w:pPr>
                  <w:r>
                    <w:rPr/>
                    <w:t>6523.691</w:t>
                  </w:r>
                </w:p>
              </w:tc>
              <w:tc>
                <w:tcPr>
                  <w:tcW w:w="1979" w:type="dxa"/>
                  <w:tcBorders/>
                </w:tcPr>
                <w:p>
                  <w:pPr>
                    <w:pStyle w:val="Compact"/>
                    <w:spacing w:before="36" w:after="36"/>
                    <w:jc w:val="center"/>
                    <w:rPr/>
                  </w:pPr>
                  <w:r>
                    <w:rPr/>
                    <w:t>0.815</w:t>
                  </w:r>
                </w:p>
              </w:tc>
            </w:tr>
            <w:tr>
              <w:trPr/>
              <w:tc>
                <w:tcPr>
                  <w:tcW w:w="1980" w:type="dxa"/>
                  <w:tcBorders/>
                </w:tcPr>
                <w:p>
                  <w:pPr>
                    <w:pStyle w:val="Compact"/>
                    <w:spacing w:before="36" w:after="36"/>
                    <w:jc w:val="center"/>
                    <w:rPr/>
                  </w:pPr>
                  <w:r>
                    <w:rPr/>
                    <w:t>2017</w:t>
                  </w:r>
                </w:p>
              </w:tc>
              <w:tc>
                <w:tcPr>
                  <w:tcW w:w="1980" w:type="dxa"/>
                  <w:tcBorders/>
                </w:tcPr>
                <w:p>
                  <w:pPr>
                    <w:pStyle w:val="Compact"/>
                    <w:spacing w:before="36" w:after="36"/>
                    <w:jc w:val="center"/>
                    <w:rPr/>
                  </w:pPr>
                  <w:r>
                    <w:rPr/>
                    <w:t>ZA</w:t>
                  </w:r>
                </w:p>
              </w:tc>
              <w:tc>
                <w:tcPr>
                  <w:tcW w:w="1980" w:type="dxa"/>
                  <w:tcBorders/>
                </w:tcPr>
                <w:p>
                  <w:pPr>
                    <w:pStyle w:val="Compact"/>
                    <w:spacing w:before="36" w:after="36"/>
                    <w:jc w:val="center"/>
                    <w:rPr/>
                  </w:pPr>
                  <w:r>
                    <w:rPr/>
                    <w:t>7185.453</w:t>
                  </w:r>
                </w:p>
              </w:tc>
              <w:tc>
                <w:tcPr>
                  <w:tcW w:w="1979" w:type="dxa"/>
                  <w:tcBorders/>
                </w:tcPr>
                <w:p>
                  <w:pPr>
                    <w:pStyle w:val="Compact"/>
                    <w:spacing w:before="36" w:after="36"/>
                    <w:jc w:val="center"/>
                    <w:rPr/>
                  </w:pPr>
                  <w:r>
                    <w:rPr/>
                    <w:t>0.898</w:t>
                  </w:r>
                </w:p>
              </w:tc>
            </w:tr>
            <w:tr>
              <w:trPr/>
              <w:tc>
                <w:tcPr>
                  <w:tcW w:w="1980" w:type="dxa"/>
                  <w:tcBorders/>
                </w:tcPr>
                <w:p>
                  <w:pPr>
                    <w:pStyle w:val="Compact"/>
                    <w:spacing w:before="36" w:after="36"/>
                    <w:jc w:val="center"/>
                    <w:rPr/>
                  </w:pPr>
                  <w:r>
                    <w:rPr/>
                    <w:t>2018</w:t>
                  </w:r>
                </w:p>
              </w:tc>
              <w:tc>
                <w:tcPr>
                  <w:tcW w:w="1980" w:type="dxa"/>
                  <w:tcBorders/>
                </w:tcPr>
                <w:p>
                  <w:pPr>
                    <w:pStyle w:val="Compact"/>
                    <w:spacing w:before="36" w:after="36"/>
                    <w:jc w:val="center"/>
                    <w:rPr/>
                  </w:pPr>
                  <w:r>
                    <w:rPr/>
                    <w:t>PEPRN</w:t>
                  </w:r>
                </w:p>
              </w:tc>
              <w:tc>
                <w:tcPr>
                  <w:tcW w:w="1980" w:type="dxa"/>
                  <w:tcBorders/>
                </w:tcPr>
                <w:p>
                  <w:pPr>
                    <w:pStyle w:val="Compact"/>
                    <w:spacing w:before="36" w:after="36"/>
                    <w:jc w:val="center"/>
                    <w:rPr/>
                  </w:pPr>
                  <w:r>
                    <w:rPr/>
                    <w:t>501.628</w:t>
                  </w:r>
                </w:p>
              </w:tc>
              <w:tc>
                <w:tcPr>
                  <w:tcW w:w="1979" w:type="dxa"/>
                  <w:tcBorders/>
                </w:tcPr>
                <w:p>
                  <w:pPr>
                    <w:pStyle w:val="Compact"/>
                    <w:spacing w:before="36" w:after="36"/>
                    <w:jc w:val="center"/>
                    <w:rPr/>
                  </w:pPr>
                  <w:r>
                    <w:rPr/>
                    <w:t>0.063</w:t>
                  </w:r>
                </w:p>
              </w:tc>
            </w:tr>
            <w:tr>
              <w:trPr/>
              <w:tc>
                <w:tcPr>
                  <w:tcW w:w="1980" w:type="dxa"/>
                  <w:tcBorders/>
                </w:tcPr>
                <w:p>
                  <w:pPr>
                    <w:pStyle w:val="Compact"/>
                    <w:spacing w:before="36" w:after="36"/>
                    <w:jc w:val="center"/>
                    <w:rPr/>
                  </w:pPr>
                  <w:r>
                    <w:rPr/>
                    <w:t>2018</w:t>
                  </w:r>
                </w:p>
              </w:tc>
              <w:tc>
                <w:tcPr>
                  <w:tcW w:w="1980" w:type="dxa"/>
                  <w:tcBorders/>
                </w:tcPr>
                <w:p>
                  <w:pPr>
                    <w:pStyle w:val="Compact"/>
                    <w:spacing w:before="36" w:after="36"/>
                    <w:jc w:val="center"/>
                    <w:rPr/>
                  </w:pPr>
                  <w:r>
                    <w:rPr/>
                    <w:t>ZA</w:t>
                  </w:r>
                </w:p>
              </w:tc>
              <w:tc>
                <w:tcPr>
                  <w:tcW w:w="1980" w:type="dxa"/>
                  <w:tcBorders/>
                </w:tcPr>
                <w:p>
                  <w:pPr>
                    <w:pStyle w:val="Compact"/>
                    <w:spacing w:before="36" w:after="36"/>
                    <w:jc w:val="center"/>
                    <w:rPr/>
                  </w:pPr>
                  <w:r>
                    <w:rPr/>
                    <w:t>3215.797</w:t>
                  </w:r>
                </w:p>
              </w:tc>
              <w:tc>
                <w:tcPr>
                  <w:tcW w:w="1979" w:type="dxa"/>
                  <w:tcBorders/>
                </w:tcPr>
                <w:p>
                  <w:pPr>
                    <w:pStyle w:val="Compact"/>
                    <w:spacing w:before="36" w:after="36"/>
                    <w:jc w:val="center"/>
                    <w:rPr/>
                  </w:pPr>
                  <w:r>
                    <w:rPr/>
                    <w:t>0.402</w:t>
                  </w:r>
                </w:p>
              </w:tc>
            </w:tr>
            <w:tr>
              <w:trPr/>
              <w:tc>
                <w:tcPr>
                  <w:tcW w:w="1980" w:type="dxa"/>
                  <w:tcBorders/>
                </w:tcPr>
                <w:p>
                  <w:pPr>
                    <w:pStyle w:val="Compact"/>
                    <w:spacing w:before="36" w:after="36"/>
                    <w:jc w:val="center"/>
                    <w:rPr/>
                  </w:pPr>
                  <w:r>
                    <w:rPr/>
                    <w:t>2019</w:t>
                  </w:r>
                </w:p>
              </w:tc>
              <w:tc>
                <w:tcPr>
                  <w:tcW w:w="1980" w:type="dxa"/>
                  <w:tcBorders/>
                </w:tcPr>
                <w:p>
                  <w:pPr>
                    <w:pStyle w:val="Compact"/>
                    <w:spacing w:before="36" w:after="36"/>
                    <w:jc w:val="center"/>
                    <w:rPr/>
                  </w:pPr>
                  <w:r>
                    <w:rPr/>
                    <w:t>PEPRN</w:t>
                  </w:r>
                </w:p>
              </w:tc>
              <w:tc>
                <w:tcPr>
                  <w:tcW w:w="1980" w:type="dxa"/>
                  <w:tcBorders/>
                </w:tcPr>
                <w:p>
                  <w:pPr>
                    <w:pStyle w:val="Compact"/>
                    <w:spacing w:before="36" w:after="36"/>
                    <w:jc w:val="center"/>
                    <w:rPr/>
                  </w:pPr>
                  <w:r>
                    <w:rPr/>
                    <w:t>11217.023</w:t>
                  </w:r>
                </w:p>
              </w:tc>
              <w:tc>
                <w:tcPr>
                  <w:tcW w:w="1979" w:type="dxa"/>
                  <w:tcBorders/>
                </w:tcPr>
                <w:p>
                  <w:pPr>
                    <w:pStyle w:val="Compact"/>
                    <w:spacing w:before="36" w:after="36"/>
                    <w:jc w:val="center"/>
                    <w:rPr/>
                  </w:pPr>
                  <w:r>
                    <w:rPr/>
                    <w:t>1.402</w:t>
                  </w:r>
                </w:p>
              </w:tc>
            </w:tr>
            <w:tr>
              <w:trPr/>
              <w:tc>
                <w:tcPr>
                  <w:tcW w:w="1980" w:type="dxa"/>
                  <w:tcBorders/>
                </w:tcPr>
                <w:p>
                  <w:pPr>
                    <w:pStyle w:val="Compact"/>
                    <w:spacing w:before="36" w:after="36"/>
                    <w:jc w:val="center"/>
                    <w:rPr/>
                  </w:pPr>
                  <w:r>
                    <w:rPr/>
                    <w:t>2019</w:t>
                  </w:r>
                </w:p>
              </w:tc>
              <w:tc>
                <w:tcPr>
                  <w:tcW w:w="1980" w:type="dxa"/>
                  <w:tcBorders/>
                </w:tcPr>
                <w:p>
                  <w:pPr>
                    <w:pStyle w:val="Compact"/>
                    <w:spacing w:before="36" w:after="36"/>
                    <w:jc w:val="center"/>
                    <w:rPr/>
                  </w:pPr>
                  <w:r>
                    <w:rPr/>
                    <w:t>ZA</w:t>
                  </w:r>
                </w:p>
              </w:tc>
              <w:tc>
                <w:tcPr>
                  <w:tcW w:w="1980" w:type="dxa"/>
                  <w:tcBorders/>
                </w:tcPr>
                <w:p>
                  <w:pPr>
                    <w:pStyle w:val="Compact"/>
                    <w:spacing w:before="36" w:after="36"/>
                    <w:jc w:val="center"/>
                    <w:rPr/>
                  </w:pPr>
                  <w:r>
                    <w:rPr/>
                    <w:t>97709.171</w:t>
                  </w:r>
                </w:p>
              </w:tc>
              <w:tc>
                <w:tcPr>
                  <w:tcW w:w="1979" w:type="dxa"/>
                  <w:tcBorders/>
                </w:tcPr>
                <w:p>
                  <w:pPr>
                    <w:pStyle w:val="Compact"/>
                    <w:spacing w:before="36" w:after="36"/>
                    <w:jc w:val="center"/>
                    <w:rPr/>
                  </w:pPr>
                  <w:r>
                    <w:rPr/>
                    <w:t>12.211</w:t>
                  </w:r>
                </w:p>
              </w:tc>
            </w:tr>
            <w:tr>
              <w:trPr/>
              <w:tc>
                <w:tcPr>
                  <w:tcW w:w="1980" w:type="dxa"/>
                  <w:tcBorders/>
                </w:tcPr>
                <w:p>
                  <w:pPr>
                    <w:pStyle w:val="Compact"/>
                    <w:spacing w:before="36" w:after="36"/>
                    <w:jc w:val="center"/>
                    <w:rPr/>
                  </w:pPr>
                  <w:r>
                    <w:rPr/>
                    <w:t>2020</w:t>
                  </w:r>
                </w:p>
              </w:tc>
              <w:tc>
                <w:tcPr>
                  <w:tcW w:w="1980" w:type="dxa"/>
                  <w:tcBorders/>
                </w:tcPr>
                <w:p>
                  <w:pPr>
                    <w:pStyle w:val="Compact"/>
                    <w:spacing w:before="36" w:after="36"/>
                    <w:jc w:val="center"/>
                    <w:rPr/>
                  </w:pPr>
                  <w:r>
                    <w:rPr/>
                    <w:t>PEPRN</w:t>
                  </w:r>
                </w:p>
              </w:tc>
              <w:tc>
                <w:tcPr>
                  <w:tcW w:w="1980" w:type="dxa"/>
                  <w:tcBorders/>
                </w:tcPr>
                <w:p>
                  <w:pPr>
                    <w:pStyle w:val="Compact"/>
                    <w:spacing w:before="36" w:after="36"/>
                    <w:jc w:val="center"/>
                    <w:rPr/>
                  </w:pPr>
                  <w:r>
                    <w:rPr/>
                    <w:t>11445.475</w:t>
                  </w:r>
                </w:p>
              </w:tc>
              <w:tc>
                <w:tcPr>
                  <w:tcW w:w="1979" w:type="dxa"/>
                  <w:tcBorders/>
                </w:tcPr>
                <w:p>
                  <w:pPr>
                    <w:pStyle w:val="Compact"/>
                    <w:spacing w:before="36" w:after="36"/>
                    <w:jc w:val="center"/>
                    <w:rPr/>
                  </w:pPr>
                  <w:r>
                    <w:rPr/>
                    <w:t>1.430</w:t>
                  </w:r>
                </w:p>
              </w:tc>
            </w:tr>
            <w:tr>
              <w:trPr/>
              <w:tc>
                <w:tcPr>
                  <w:tcW w:w="1980" w:type="dxa"/>
                  <w:tcBorders/>
                </w:tcPr>
                <w:p>
                  <w:pPr>
                    <w:pStyle w:val="Compact"/>
                    <w:spacing w:before="36" w:after="36"/>
                    <w:jc w:val="center"/>
                    <w:rPr/>
                  </w:pPr>
                  <w:r>
                    <w:rPr/>
                    <w:t>2020</w:t>
                  </w:r>
                </w:p>
              </w:tc>
              <w:tc>
                <w:tcPr>
                  <w:tcW w:w="1980" w:type="dxa"/>
                  <w:tcBorders/>
                </w:tcPr>
                <w:p>
                  <w:pPr>
                    <w:pStyle w:val="Compact"/>
                    <w:spacing w:before="36" w:after="36"/>
                    <w:jc w:val="center"/>
                    <w:rPr/>
                  </w:pPr>
                  <w:r>
                    <w:rPr/>
                    <w:t>ZA</w:t>
                  </w:r>
                </w:p>
              </w:tc>
              <w:tc>
                <w:tcPr>
                  <w:tcW w:w="1980" w:type="dxa"/>
                  <w:tcBorders/>
                </w:tcPr>
                <w:p>
                  <w:pPr>
                    <w:pStyle w:val="Compact"/>
                    <w:spacing w:before="36" w:after="36"/>
                    <w:jc w:val="center"/>
                    <w:rPr/>
                  </w:pPr>
                  <w:r>
                    <w:rPr/>
                    <w:t>37248.984</w:t>
                  </w:r>
                </w:p>
              </w:tc>
              <w:tc>
                <w:tcPr>
                  <w:tcW w:w="1979" w:type="dxa"/>
                  <w:tcBorders/>
                </w:tcPr>
                <w:p>
                  <w:pPr>
                    <w:pStyle w:val="Compact"/>
                    <w:spacing w:before="36" w:after="36"/>
                    <w:jc w:val="center"/>
                    <w:rPr/>
                  </w:pPr>
                  <w:r>
                    <w:rPr/>
                    <w:t>4.655</w:t>
                  </w:r>
                </w:p>
              </w:tc>
            </w:tr>
            <w:tr>
              <w:trPr/>
              <w:tc>
                <w:tcPr>
                  <w:tcW w:w="1980" w:type="dxa"/>
                  <w:tcBorders/>
                </w:tcPr>
                <w:p>
                  <w:pPr>
                    <w:pStyle w:val="Compact"/>
                    <w:spacing w:before="36" w:after="36"/>
                    <w:jc w:val="center"/>
                    <w:rPr/>
                  </w:pPr>
                  <w:r>
                    <w:rPr/>
                    <w:t>2021</w:t>
                  </w:r>
                </w:p>
              </w:tc>
              <w:tc>
                <w:tcPr>
                  <w:tcW w:w="1980" w:type="dxa"/>
                  <w:tcBorders/>
                </w:tcPr>
                <w:p>
                  <w:pPr>
                    <w:pStyle w:val="Compact"/>
                    <w:spacing w:before="36" w:after="36"/>
                    <w:jc w:val="center"/>
                    <w:rPr/>
                  </w:pPr>
                  <w:r>
                    <w:rPr/>
                    <w:t>PEPRN</w:t>
                  </w:r>
                </w:p>
              </w:tc>
              <w:tc>
                <w:tcPr>
                  <w:tcW w:w="1980" w:type="dxa"/>
                  <w:tcBorders/>
                </w:tcPr>
                <w:p>
                  <w:pPr>
                    <w:pStyle w:val="Compact"/>
                    <w:spacing w:before="36" w:after="36"/>
                    <w:jc w:val="center"/>
                    <w:rPr/>
                  </w:pPr>
                  <w:r>
                    <w:rPr/>
                    <w:t>46336.773</w:t>
                  </w:r>
                </w:p>
              </w:tc>
              <w:tc>
                <w:tcPr>
                  <w:tcW w:w="1979" w:type="dxa"/>
                  <w:tcBorders/>
                </w:tcPr>
                <w:p>
                  <w:pPr>
                    <w:pStyle w:val="Compact"/>
                    <w:spacing w:before="36" w:after="36"/>
                    <w:jc w:val="center"/>
                    <w:rPr/>
                  </w:pPr>
                  <w:r>
                    <w:rPr/>
                    <w:t>5.791</w:t>
                  </w:r>
                </w:p>
              </w:tc>
            </w:tr>
            <w:tr>
              <w:trPr/>
              <w:tc>
                <w:tcPr>
                  <w:tcW w:w="1980" w:type="dxa"/>
                  <w:tcBorders/>
                </w:tcPr>
                <w:p>
                  <w:pPr>
                    <w:pStyle w:val="Compact"/>
                    <w:spacing w:before="36" w:after="36"/>
                    <w:jc w:val="center"/>
                    <w:rPr/>
                  </w:pPr>
                  <w:r>
                    <w:rPr/>
                    <w:t>2021</w:t>
                  </w:r>
                </w:p>
              </w:tc>
              <w:tc>
                <w:tcPr>
                  <w:tcW w:w="1980" w:type="dxa"/>
                  <w:tcBorders/>
                </w:tcPr>
                <w:p>
                  <w:pPr>
                    <w:pStyle w:val="Compact"/>
                    <w:spacing w:before="36" w:after="36"/>
                    <w:jc w:val="center"/>
                    <w:rPr/>
                  </w:pPr>
                  <w:r>
                    <w:rPr/>
                    <w:t>ZA</w:t>
                  </w:r>
                </w:p>
              </w:tc>
              <w:tc>
                <w:tcPr>
                  <w:tcW w:w="1980" w:type="dxa"/>
                  <w:tcBorders/>
                </w:tcPr>
                <w:p>
                  <w:pPr>
                    <w:pStyle w:val="Compact"/>
                    <w:spacing w:before="36" w:after="36"/>
                    <w:jc w:val="center"/>
                    <w:rPr/>
                  </w:pPr>
                  <w:r>
                    <w:rPr/>
                    <w:t>121764.141</w:t>
                  </w:r>
                </w:p>
              </w:tc>
              <w:tc>
                <w:tcPr>
                  <w:tcW w:w="1979" w:type="dxa"/>
                  <w:tcBorders/>
                </w:tcPr>
                <w:p>
                  <w:pPr>
                    <w:pStyle w:val="Compact"/>
                    <w:spacing w:before="36" w:after="36"/>
                    <w:jc w:val="center"/>
                    <w:rPr/>
                  </w:pPr>
                  <w:r>
                    <w:rPr/>
                    <w:t>15.217</w:t>
                  </w:r>
                </w:p>
              </w:tc>
            </w:tr>
            <w:tr>
              <w:trPr/>
              <w:tc>
                <w:tcPr>
                  <w:tcW w:w="1980" w:type="dxa"/>
                  <w:tcBorders/>
                </w:tcPr>
                <w:p>
                  <w:pPr>
                    <w:pStyle w:val="Compact"/>
                    <w:spacing w:before="36" w:after="36"/>
                    <w:jc w:val="center"/>
                    <w:rPr/>
                  </w:pPr>
                  <w:r>
                    <w:rPr/>
                    <w:t>2022</w:t>
                  </w:r>
                </w:p>
              </w:tc>
              <w:tc>
                <w:tcPr>
                  <w:tcW w:w="1980" w:type="dxa"/>
                  <w:tcBorders/>
                </w:tcPr>
                <w:p>
                  <w:pPr>
                    <w:pStyle w:val="Compact"/>
                    <w:spacing w:before="36" w:after="36"/>
                    <w:jc w:val="center"/>
                    <w:rPr/>
                  </w:pPr>
                  <w:r>
                    <w:rPr/>
                    <w:t>PEPRN</w:t>
                  </w:r>
                </w:p>
              </w:tc>
              <w:tc>
                <w:tcPr>
                  <w:tcW w:w="1980" w:type="dxa"/>
                  <w:tcBorders/>
                </w:tcPr>
                <w:p>
                  <w:pPr>
                    <w:pStyle w:val="Compact"/>
                    <w:spacing w:before="36" w:after="36"/>
                    <w:jc w:val="center"/>
                    <w:rPr/>
                  </w:pPr>
                  <w:r>
                    <w:rPr/>
                    <w:t>17842.573</w:t>
                  </w:r>
                </w:p>
              </w:tc>
              <w:tc>
                <w:tcPr>
                  <w:tcW w:w="1979" w:type="dxa"/>
                  <w:tcBorders/>
                </w:tcPr>
                <w:p>
                  <w:pPr>
                    <w:pStyle w:val="Compact"/>
                    <w:spacing w:before="36" w:after="36"/>
                    <w:jc w:val="center"/>
                    <w:rPr/>
                  </w:pPr>
                  <w:r>
                    <w:rPr/>
                    <w:t>2.230</w:t>
                  </w:r>
                </w:p>
              </w:tc>
            </w:tr>
            <w:tr>
              <w:trPr/>
              <w:tc>
                <w:tcPr>
                  <w:tcW w:w="1980" w:type="dxa"/>
                  <w:tcBorders/>
                </w:tcPr>
                <w:p>
                  <w:pPr>
                    <w:pStyle w:val="Compact"/>
                    <w:spacing w:before="36" w:after="36"/>
                    <w:jc w:val="center"/>
                    <w:rPr/>
                  </w:pPr>
                  <w:r>
                    <w:rPr/>
                    <w:t>2022</w:t>
                  </w:r>
                </w:p>
              </w:tc>
              <w:tc>
                <w:tcPr>
                  <w:tcW w:w="1980" w:type="dxa"/>
                  <w:tcBorders/>
                </w:tcPr>
                <w:p>
                  <w:pPr>
                    <w:pStyle w:val="Compact"/>
                    <w:spacing w:before="36" w:after="36"/>
                    <w:jc w:val="center"/>
                    <w:rPr/>
                  </w:pPr>
                  <w:r>
                    <w:rPr/>
                    <w:t>ZA</w:t>
                  </w:r>
                </w:p>
              </w:tc>
              <w:tc>
                <w:tcPr>
                  <w:tcW w:w="1980" w:type="dxa"/>
                  <w:tcBorders/>
                </w:tcPr>
                <w:p>
                  <w:pPr>
                    <w:pStyle w:val="Compact"/>
                    <w:spacing w:before="36" w:after="36"/>
                    <w:jc w:val="center"/>
                    <w:rPr/>
                  </w:pPr>
                  <w:r>
                    <w:rPr/>
                    <w:t>61110.082</w:t>
                  </w:r>
                </w:p>
              </w:tc>
              <w:tc>
                <w:tcPr>
                  <w:tcW w:w="1979" w:type="dxa"/>
                  <w:tcBorders/>
                </w:tcPr>
                <w:p>
                  <w:pPr>
                    <w:pStyle w:val="Compact"/>
                    <w:spacing w:before="36" w:after="36"/>
                    <w:jc w:val="center"/>
                    <w:rPr/>
                  </w:pPr>
                  <w:r>
                    <w:rPr/>
                    <w:t>7.637</w:t>
                  </w:r>
                </w:p>
              </w:tc>
            </w:tr>
            <w:tr>
              <w:trPr/>
              <w:tc>
                <w:tcPr>
                  <w:tcW w:w="1980" w:type="dxa"/>
                  <w:tcBorders/>
                </w:tcPr>
                <w:p>
                  <w:pPr>
                    <w:pStyle w:val="Compact"/>
                    <w:spacing w:before="36" w:after="36"/>
                    <w:jc w:val="center"/>
                    <w:rPr/>
                  </w:pPr>
                  <w:r>
                    <w:rPr/>
                    <w:t>2023</w:t>
                  </w:r>
                </w:p>
              </w:tc>
              <w:tc>
                <w:tcPr>
                  <w:tcW w:w="1980" w:type="dxa"/>
                  <w:tcBorders/>
                </w:tcPr>
                <w:p>
                  <w:pPr>
                    <w:pStyle w:val="Compact"/>
                    <w:spacing w:before="36" w:after="36"/>
                    <w:jc w:val="center"/>
                    <w:rPr/>
                  </w:pPr>
                  <w:r>
                    <w:rPr/>
                    <w:t>PEPRN</w:t>
                  </w:r>
                </w:p>
              </w:tc>
              <w:tc>
                <w:tcPr>
                  <w:tcW w:w="1980" w:type="dxa"/>
                  <w:tcBorders/>
                </w:tcPr>
                <w:p>
                  <w:pPr>
                    <w:pStyle w:val="Compact"/>
                    <w:spacing w:before="36" w:after="36"/>
                    <w:jc w:val="center"/>
                    <w:rPr/>
                  </w:pPr>
                  <w:r>
                    <w:rPr/>
                    <w:t>40826.992</w:t>
                  </w:r>
                </w:p>
              </w:tc>
              <w:tc>
                <w:tcPr>
                  <w:tcW w:w="1979" w:type="dxa"/>
                  <w:tcBorders/>
                </w:tcPr>
                <w:p>
                  <w:pPr>
                    <w:pStyle w:val="Compact"/>
                    <w:spacing w:before="36" w:after="36"/>
                    <w:jc w:val="center"/>
                    <w:rPr/>
                  </w:pPr>
                  <w:r>
                    <w:rPr/>
                    <w:t>5.102</w:t>
                  </w:r>
                </w:p>
              </w:tc>
            </w:tr>
            <w:tr>
              <w:trPr/>
              <w:tc>
                <w:tcPr>
                  <w:tcW w:w="1980" w:type="dxa"/>
                  <w:tcBorders/>
                </w:tcPr>
                <w:p>
                  <w:pPr>
                    <w:pStyle w:val="Compact"/>
                    <w:spacing w:before="36" w:after="36"/>
                    <w:jc w:val="center"/>
                    <w:rPr/>
                  </w:pPr>
                  <w:r>
                    <w:rPr/>
                    <w:t>2023</w:t>
                  </w:r>
                </w:p>
              </w:tc>
              <w:tc>
                <w:tcPr>
                  <w:tcW w:w="1980" w:type="dxa"/>
                  <w:tcBorders/>
                </w:tcPr>
                <w:p>
                  <w:pPr>
                    <w:pStyle w:val="Compact"/>
                    <w:spacing w:before="36" w:after="36"/>
                    <w:jc w:val="center"/>
                    <w:rPr/>
                  </w:pPr>
                  <w:r>
                    <w:rPr/>
                    <w:t>ZA</w:t>
                  </w:r>
                </w:p>
              </w:tc>
              <w:tc>
                <w:tcPr>
                  <w:tcW w:w="1980" w:type="dxa"/>
                  <w:tcBorders/>
                </w:tcPr>
                <w:p>
                  <w:pPr>
                    <w:pStyle w:val="Compact"/>
                    <w:spacing w:before="36" w:after="36"/>
                    <w:jc w:val="center"/>
                    <w:rPr/>
                  </w:pPr>
                  <w:r>
                    <w:rPr/>
                    <w:t>94113.449</w:t>
                  </w:r>
                </w:p>
              </w:tc>
              <w:tc>
                <w:tcPr>
                  <w:tcW w:w="1979" w:type="dxa"/>
                  <w:tcBorders/>
                </w:tcPr>
                <w:p>
                  <w:pPr>
                    <w:pStyle w:val="Compact"/>
                    <w:spacing w:before="36" w:after="36"/>
                    <w:jc w:val="center"/>
                    <w:rPr/>
                  </w:pPr>
                  <w:r>
                    <w:rPr/>
                    <w:t>11.762</w:t>
                  </w:r>
                </w:p>
              </w:tc>
            </w:tr>
            <w:tr>
              <w:trPr/>
              <w:tc>
                <w:tcPr>
                  <w:tcW w:w="1980" w:type="dxa"/>
                  <w:tcBorders/>
                </w:tcPr>
                <w:p>
                  <w:pPr>
                    <w:pStyle w:val="Compact"/>
                    <w:spacing w:before="36" w:after="36"/>
                    <w:jc w:val="center"/>
                    <w:rPr/>
                  </w:pPr>
                  <w:r>
                    <w:rPr/>
                    <w:t>2024</w:t>
                  </w:r>
                </w:p>
              </w:tc>
              <w:tc>
                <w:tcPr>
                  <w:tcW w:w="1980" w:type="dxa"/>
                  <w:tcBorders/>
                </w:tcPr>
                <w:p>
                  <w:pPr>
                    <w:pStyle w:val="Compact"/>
                    <w:spacing w:before="36" w:after="36"/>
                    <w:jc w:val="center"/>
                    <w:rPr/>
                  </w:pPr>
                  <w:r>
                    <w:rPr/>
                    <w:t>PEPRN</w:t>
                  </w:r>
                </w:p>
              </w:tc>
              <w:tc>
                <w:tcPr>
                  <w:tcW w:w="1980" w:type="dxa"/>
                  <w:tcBorders/>
                </w:tcPr>
                <w:p>
                  <w:pPr>
                    <w:pStyle w:val="Compact"/>
                    <w:spacing w:before="36" w:after="36"/>
                    <w:jc w:val="center"/>
                    <w:rPr/>
                  </w:pPr>
                  <w:r>
                    <w:rPr/>
                    <w:t>57633.186</w:t>
                  </w:r>
                </w:p>
              </w:tc>
              <w:tc>
                <w:tcPr>
                  <w:tcW w:w="1979" w:type="dxa"/>
                  <w:tcBorders/>
                </w:tcPr>
                <w:p>
                  <w:pPr>
                    <w:pStyle w:val="Compact"/>
                    <w:spacing w:before="36" w:after="36"/>
                    <w:jc w:val="center"/>
                    <w:rPr/>
                  </w:pPr>
                  <w:r>
                    <w:rPr/>
                    <w:t>7.203</w:t>
                  </w:r>
                </w:p>
              </w:tc>
            </w:tr>
            <w:tr>
              <w:trPr/>
              <w:tc>
                <w:tcPr>
                  <w:tcW w:w="1980" w:type="dxa"/>
                  <w:tcBorders/>
                </w:tcPr>
                <w:p>
                  <w:pPr>
                    <w:pStyle w:val="Compact"/>
                    <w:spacing w:before="36" w:after="36"/>
                    <w:jc w:val="center"/>
                    <w:rPr/>
                  </w:pPr>
                  <w:r>
                    <w:rPr/>
                    <w:t>2024</w:t>
                  </w:r>
                </w:p>
              </w:tc>
              <w:tc>
                <w:tcPr>
                  <w:tcW w:w="1980" w:type="dxa"/>
                  <w:tcBorders/>
                </w:tcPr>
                <w:p>
                  <w:pPr>
                    <w:pStyle w:val="Compact"/>
                    <w:spacing w:before="36" w:after="36"/>
                    <w:jc w:val="center"/>
                    <w:rPr/>
                  </w:pPr>
                  <w:r>
                    <w:rPr/>
                    <w:t>ZA</w:t>
                  </w:r>
                </w:p>
              </w:tc>
              <w:tc>
                <w:tcPr>
                  <w:tcW w:w="1980" w:type="dxa"/>
                  <w:tcBorders/>
                </w:tcPr>
                <w:p>
                  <w:pPr>
                    <w:pStyle w:val="Compact"/>
                    <w:spacing w:before="36" w:after="36"/>
                    <w:jc w:val="center"/>
                    <w:rPr/>
                  </w:pPr>
                  <w:r>
                    <w:rPr/>
                    <w:t>142201.186</w:t>
                  </w:r>
                </w:p>
              </w:tc>
              <w:tc>
                <w:tcPr>
                  <w:tcW w:w="1979" w:type="dxa"/>
                  <w:tcBorders/>
                </w:tcPr>
                <w:p>
                  <w:pPr>
                    <w:pStyle w:val="Compact"/>
                    <w:spacing w:before="36" w:after="36"/>
                    <w:jc w:val="center"/>
                    <w:rPr/>
                  </w:pPr>
                  <w:r>
                    <w:rPr/>
                    <w:t>17.771</w:t>
                  </w:r>
                </w:p>
              </w:tc>
            </w:tr>
          </w:tbl>
          <w:p>
            <w:pPr>
              <w:pStyle w:val="ImageCaption"/>
              <w:spacing w:before="200" w:after="120"/>
              <w:jc w:val="left"/>
              <w:rPr/>
            </w:pPr>
            <w:bookmarkStart w:id="57" w:name="tbl-fire-area-local-year"/>
            <w:r>
              <w:rPr/>
              <w:t>Tabela 5: PEST do Rio Negro - Área queimada X local X ano.</w:t>
            </w:r>
            <w:bookmarkEnd w:id="57"/>
          </w:p>
        </w:tc>
      </w:tr>
    </w:tbl>
    <w:p>
      <w:pPr>
        <w:pStyle w:val="Heading4"/>
        <w:rPr/>
      </w:pPr>
      <w:r>
        <w:rPr/>
        <w:t>3.3.3 Fogo por classe de vegetação</w:t>
      </w:r>
    </w:p>
    <w:p>
      <w:pPr>
        <w:pStyle w:val="FirstParagraph"/>
        <w:rPr/>
      </w:pPr>
      <w:r>
        <w:rPr/>
        <w:t xml:space="preserve">O mapa da </w:t>
      </w:r>
      <w:hyperlink w:anchor="fig-mapa-classe-vegetacao">
        <w:r>
          <w:rPr>
            <w:rStyle w:val="Hyperlink"/>
          </w:rPr>
          <w:t>Figura 6</w:t>
        </w:r>
      </w:hyperlink>
      <w:r>
        <w:rPr/>
        <w:t xml:space="preserve"> exibe a distribuição espacial das diferentes classes de vegetação. As áreas são representadas por cores distintas, conforme indicado na legenda. Destacam-se grandes áreas de Savana Contato (ST), Savana Gramíneo-Lenhosa (Sg) e Parque de Savana (Sp), que juntas representam a maior parte da cobertura vegetal.</w:t>
      </w:r>
    </w:p>
    <w:p>
      <w:pPr>
        <w:pStyle w:val="BodyText"/>
        <w:rPr/>
      </w:pPr>
      <w:r>
        <w:rPr/>
        <w:t xml:space="preserve">A </w:t>
      </w:r>
      <w:hyperlink w:anchor="tbl-fire-area-vege">
        <w:r>
          <w:rPr>
            <w:rStyle w:val="Hyperlink"/>
          </w:rPr>
          <w:t>Tabela 6</w:t>
        </w:r>
      </w:hyperlink>
      <w:r>
        <w:rPr/>
        <w:t xml:space="preserve"> apresenta a área total ocupada por cada classe de vegetação e sua proporção em relação à área total atingida pelo fogo.</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10206"/>
      </w:tblGrid>
      <w:tr>
        <w:trPr/>
        <w:tc>
          <w:tcPr>
            <w:tcW w:w="10206" w:type="dxa"/>
            <w:tcBorders/>
          </w:tcPr>
          <w:tbl>
            <w:tblPr>
              <w:tblStyle w:val="Table"/>
              <w:tblW w:w="7920" w:type="dxa"/>
              <w:jc w:val="left"/>
              <w:tblInd w:w="108" w:type="dxa"/>
              <w:tblLayout w:type="fixed"/>
              <w:tblCellMar>
                <w:top w:w="0" w:type="dxa"/>
                <w:left w:w="108" w:type="dxa"/>
                <w:bottom w:w="0" w:type="dxa"/>
                <w:right w:w="108" w:type="dxa"/>
              </w:tblCellMar>
              <w:tblLook w:val="0020" w:noHBand="0" w:noVBand="0" w:firstColumn="0" w:lastRow="0" w:lastColumn="0" w:firstRow="1"/>
            </w:tblPr>
            <w:tblGrid>
              <w:gridCol w:w="2640"/>
              <w:gridCol w:w="2640"/>
              <w:gridCol w:w="2640"/>
            </w:tblGrid>
            <w:tr>
              <w:trPr>
                <w:tblHeader w:val="true"/>
              </w:trPr>
              <w:tc>
                <w:tcPr>
                  <w:tcW w:w="2640" w:type="dxa"/>
                  <w:tcBorders/>
                </w:tcPr>
                <w:p>
                  <w:pPr>
                    <w:pStyle w:val="Compact"/>
                    <w:spacing w:before="36" w:after="36"/>
                    <w:jc w:val="center"/>
                    <w:rPr/>
                  </w:pPr>
                  <w:bookmarkStart w:id="58" w:name="tbl-fire-area-vege"/>
                  <w:r>
                    <w:rPr/>
                    <w:t>Classe de Vegetação</w:t>
                  </w:r>
                </w:p>
              </w:tc>
              <w:tc>
                <w:tcPr>
                  <w:tcW w:w="2640" w:type="dxa"/>
                  <w:tcBorders/>
                </w:tcPr>
                <w:p>
                  <w:pPr>
                    <w:pStyle w:val="Compact"/>
                    <w:spacing w:before="36" w:after="36"/>
                    <w:jc w:val="center"/>
                    <w:rPr/>
                  </w:pPr>
                  <w:r>
                    <w:rPr/>
                    <w:t>Área (ha)</w:t>
                  </w:r>
                </w:p>
              </w:tc>
              <w:tc>
                <w:tcPr>
                  <w:tcW w:w="2640" w:type="dxa"/>
                  <w:tcBorders/>
                </w:tcPr>
                <w:p>
                  <w:pPr>
                    <w:pStyle w:val="Compact"/>
                    <w:spacing w:before="36" w:after="36"/>
                    <w:jc w:val="center"/>
                    <w:rPr/>
                  </w:pPr>
                  <w:r>
                    <w:rPr/>
                    <w:t>% Área total</w:t>
                  </w:r>
                </w:p>
              </w:tc>
            </w:tr>
            <w:tr>
              <w:trPr/>
              <w:tc>
                <w:tcPr>
                  <w:tcW w:w="2640" w:type="dxa"/>
                  <w:tcBorders/>
                </w:tcPr>
                <w:p>
                  <w:pPr>
                    <w:pStyle w:val="Compact"/>
                    <w:spacing w:before="36" w:after="36"/>
                    <w:jc w:val="center"/>
                    <w:rPr/>
                  </w:pPr>
                  <w:r>
                    <w:rPr/>
                    <w:t>A</w:t>
                  </w:r>
                </w:p>
              </w:tc>
              <w:tc>
                <w:tcPr>
                  <w:tcW w:w="2640" w:type="dxa"/>
                  <w:tcBorders/>
                </w:tcPr>
                <w:p>
                  <w:pPr>
                    <w:pStyle w:val="Compact"/>
                    <w:spacing w:before="36" w:after="36"/>
                    <w:jc w:val="center"/>
                    <w:rPr/>
                  </w:pPr>
                  <w:r>
                    <w:rPr/>
                    <w:t>7813.924</w:t>
                  </w:r>
                </w:p>
              </w:tc>
              <w:tc>
                <w:tcPr>
                  <w:tcW w:w="2640" w:type="dxa"/>
                  <w:tcBorders/>
                </w:tcPr>
                <w:p>
                  <w:pPr>
                    <w:pStyle w:val="Compact"/>
                    <w:spacing w:before="36" w:after="36"/>
                    <w:jc w:val="center"/>
                    <w:rPr/>
                  </w:pPr>
                  <w:r>
                    <w:rPr/>
                    <w:t>0.977</w:t>
                  </w:r>
                </w:p>
              </w:tc>
            </w:tr>
            <w:tr>
              <w:trPr/>
              <w:tc>
                <w:tcPr>
                  <w:tcW w:w="2640" w:type="dxa"/>
                  <w:tcBorders/>
                </w:tcPr>
                <w:p>
                  <w:pPr>
                    <w:pStyle w:val="Compact"/>
                    <w:spacing w:before="36" w:after="36"/>
                    <w:jc w:val="center"/>
                    <w:rPr/>
                  </w:pPr>
                  <w:r>
                    <w:rPr/>
                    <w:t>Cs</w:t>
                  </w:r>
                </w:p>
              </w:tc>
              <w:tc>
                <w:tcPr>
                  <w:tcW w:w="2640" w:type="dxa"/>
                  <w:tcBorders/>
                </w:tcPr>
                <w:p>
                  <w:pPr>
                    <w:pStyle w:val="Compact"/>
                    <w:spacing w:before="36" w:after="36"/>
                    <w:jc w:val="center"/>
                    <w:rPr/>
                  </w:pPr>
                  <w:r>
                    <w:rPr/>
                    <w:t>216.715</w:t>
                  </w:r>
                </w:p>
              </w:tc>
              <w:tc>
                <w:tcPr>
                  <w:tcW w:w="2640" w:type="dxa"/>
                  <w:tcBorders/>
                </w:tcPr>
                <w:p>
                  <w:pPr>
                    <w:pStyle w:val="Compact"/>
                    <w:spacing w:before="36" w:after="36"/>
                    <w:jc w:val="center"/>
                    <w:rPr/>
                  </w:pPr>
                  <w:r>
                    <w:rPr/>
                    <w:t>0.027</w:t>
                  </w:r>
                </w:p>
              </w:tc>
            </w:tr>
            <w:tr>
              <w:trPr/>
              <w:tc>
                <w:tcPr>
                  <w:tcW w:w="2640" w:type="dxa"/>
                  <w:tcBorders/>
                </w:tcPr>
                <w:p>
                  <w:pPr>
                    <w:pStyle w:val="Compact"/>
                    <w:spacing w:before="36" w:after="36"/>
                    <w:jc w:val="center"/>
                    <w:rPr/>
                  </w:pPr>
                  <w:r>
                    <w:rPr/>
                    <w:t>Fa</w:t>
                  </w:r>
                </w:p>
              </w:tc>
              <w:tc>
                <w:tcPr>
                  <w:tcW w:w="2640" w:type="dxa"/>
                  <w:tcBorders/>
                </w:tcPr>
                <w:p>
                  <w:pPr>
                    <w:pStyle w:val="Compact"/>
                    <w:spacing w:before="36" w:after="36"/>
                    <w:jc w:val="center"/>
                    <w:rPr/>
                  </w:pPr>
                  <w:r>
                    <w:rPr/>
                    <w:t>55150.647</w:t>
                  </w:r>
                </w:p>
              </w:tc>
              <w:tc>
                <w:tcPr>
                  <w:tcW w:w="2640" w:type="dxa"/>
                  <w:tcBorders/>
                </w:tcPr>
                <w:p>
                  <w:pPr>
                    <w:pStyle w:val="Compact"/>
                    <w:spacing w:before="36" w:after="36"/>
                    <w:jc w:val="center"/>
                    <w:rPr/>
                  </w:pPr>
                  <w:r>
                    <w:rPr/>
                    <w:t>6.892</w:t>
                  </w:r>
                </w:p>
              </w:tc>
            </w:tr>
            <w:tr>
              <w:trPr/>
              <w:tc>
                <w:tcPr>
                  <w:tcW w:w="2640" w:type="dxa"/>
                  <w:tcBorders/>
                </w:tcPr>
                <w:p>
                  <w:pPr>
                    <w:pStyle w:val="Compact"/>
                    <w:spacing w:before="36" w:after="36"/>
                    <w:jc w:val="center"/>
                    <w:rPr/>
                  </w:pPr>
                  <w:r>
                    <w:rPr/>
                    <w:t>ST</w:t>
                  </w:r>
                </w:p>
              </w:tc>
              <w:tc>
                <w:tcPr>
                  <w:tcW w:w="2640" w:type="dxa"/>
                  <w:tcBorders/>
                </w:tcPr>
                <w:p>
                  <w:pPr>
                    <w:pStyle w:val="Compact"/>
                    <w:spacing w:before="36" w:after="36"/>
                    <w:jc w:val="center"/>
                    <w:rPr/>
                  </w:pPr>
                  <w:r>
                    <w:rPr/>
                    <w:t>309237.962</w:t>
                  </w:r>
                </w:p>
              </w:tc>
              <w:tc>
                <w:tcPr>
                  <w:tcW w:w="2640" w:type="dxa"/>
                  <w:tcBorders/>
                </w:tcPr>
                <w:p>
                  <w:pPr>
                    <w:pStyle w:val="Compact"/>
                    <w:spacing w:before="36" w:after="36"/>
                    <w:jc w:val="center"/>
                    <w:rPr/>
                  </w:pPr>
                  <w:r>
                    <w:rPr/>
                    <w:t>38.646</w:t>
                  </w:r>
                </w:p>
              </w:tc>
            </w:tr>
            <w:tr>
              <w:trPr/>
              <w:tc>
                <w:tcPr>
                  <w:tcW w:w="2640" w:type="dxa"/>
                  <w:tcBorders/>
                </w:tcPr>
                <w:p>
                  <w:pPr>
                    <w:pStyle w:val="Compact"/>
                    <w:spacing w:before="36" w:after="36"/>
                    <w:jc w:val="center"/>
                    <w:rPr/>
                  </w:pPr>
                  <w:r>
                    <w:rPr/>
                    <w:t>Sd</w:t>
                  </w:r>
                </w:p>
              </w:tc>
              <w:tc>
                <w:tcPr>
                  <w:tcW w:w="2640" w:type="dxa"/>
                  <w:tcBorders/>
                </w:tcPr>
                <w:p>
                  <w:pPr>
                    <w:pStyle w:val="Compact"/>
                    <w:spacing w:before="36" w:after="36"/>
                    <w:jc w:val="center"/>
                    <w:rPr/>
                  </w:pPr>
                  <w:r>
                    <w:rPr/>
                    <w:t>70288.906</w:t>
                  </w:r>
                </w:p>
              </w:tc>
              <w:tc>
                <w:tcPr>
                  <w:tcW w:w="2640" w:type="dxa"/>
                  <w:tcBorders/>
                </w:tcPr>
                <w:p>
                  <w:pPr>
                    <w:pStyle w:val="Compact"/>
                    <w:spacing w:before="36" w:after="36"/>
                    <w:jc w:val="center"/>
                    <w:rPr/>
                  </w:pPr>
                  <w:r>
                    <w:rPr/>
                    <w:t>8.784</w:t>
                  </w:r>
                </w:p>
              </w:tc>
            </w:tr>
            <w:tr>
              <w:trPr/>
              <w:tc>
                <w:tcPr>
                  <w:tcW w:w="2640" w:type="dxa"/>
                  <w:tcBorders/>
                </w:tcPr>
                <w:p>
                  <w:pPr>
                    <w:pStyle w:val="Compact"/>
                    <w:spacing w:before="36" w:after="36"/>
                    <w:jc w:val="center"/>
                    <w:rPr/>
                  </w:pPr>
                  <w:r>
                    <w:rPr/>
                    <w:t>Sg</w:t>
                  </w:r>
                </w:p>
              </w:tc>
              <w:tc>
                <w:tcPr>
                  <w:tcW w:w="2640" w:type="dxa"/>
                  <w:tcBorders/>
                </w:tcPr>
                <w:p>
                  <w:pPr>
                    <w:pStyle w:val="Compact"/>
                    <w:spacing w:before="36" w:after="36"/>
                    <w:jc w:val="center"/>
                    <w:rPr/>
                  </w:pPr>
                  <w:r>
                    <w:rPr/>
                    <w:t>168572.028</w:t>
                  </w:r>
                </w:p>
              </w:tc>
              <w:tc>
                <w:tcPr>
                  <w:tcW w:w="2640" w:type="dxa"/>
                  <w:tcBorders/>
                </w:tcPr>
                <w:p>
                  <w:pPr>
                    <w:pStyle w:val="Compact"/>
                    <w:spacing w:before="36" w:after="36"/>
                    <w:jc w:val="center"/>
                    <w:rPr/>
                  </w:pPr>
                  <w:r>
                    <w:rPr/>
                    <w:t>21.067</w:t>
                  </w:r>
                </w:p>
              </w:tc>
            </w:tr>
            <w:tr>
              <w:trPr/>
              <w:tc>
                <w:tcPr>
                  <w:tcW w:w="2640" w:type="dxa"/>
                  <w:tcBorders/>
                </w:tcPr>
                <w:p>
                  <w:pPr>
                    <w:pStyle w:val="Compact"/>
                    <w:spacing w:before="36" w:after="36"/>
                    <w:jc w:val="center"/>
                    <w:rPr/>
                  </w:pPr>
                  <w:r>
                    <w:rPr/>
                    <w:t>Sp</w:t>
                  </w:r>
                </w:p>
              </w:tc>
              <w:tc>
                <w:tcPr>
                  <w:tcW w:w="2640" w:type="dxa"/>
                  <w:tcBorders/>
                </w:tcPr>
                <w:p>
                  <w:pPr>
                    <w:pStyle w:val="Compact"/>
                    <w:spacing w:before="36" w:after="36"/>
                    <w:jc w:val="center"/>
                    <w:rPr/>
                  </w:pPr>
                  <w:r>
                    <w:rPr/>
                    <w:t>188896.104</w:t>
                  </w:r>
                </w:p>
              </w:tc>
              <w:tc>
                <w:tcPr>
                  <w:tcW w:w="2640" w:type="dxa"/>
                  <w:tcBorders/>
                </w:tcPr>
                <w:p>
                  <w:pPr>
                    <w:pStyle w:val="Compact"/>
                    <w:spacing w:before="36" w:after="36"/>
                    <w:jc w:val="center"/>
                    <w:rPr/>
                  </w:pPr>
                  <w:r>
                    <w:rPr/>
                    <w:t>23.607</w:t>
                  </w:r>
                </w:p>
              </w:tc>
            </w:tr>
          </w:tbl>
          <w:p>
            <w:pPr>
              <w:pStyle w:val="ImageCaption"/>
              <w:spacing w:before="200" w:after="120"/>
              <w:jc w:val="left"/>
              <w:rPr/>
            </w:pPr>
            <w:bookmarkStart w:id="59" w:name="tbl-fire-area-vege"/>
            <w:r>
              <w:rPr/>
              <w:t>Tabela 6: PEST do Rio Negro - Área queimada por classe de vegetação.</w:t>
            </w:r>
            <w:bookmarkEnd w:id="59"/>
          </w:p>
        </w:tc>
      </w:tr>
    </w:tbl>
    <w:p>
      <w:pPr>
        <w:pStyle w:val="BodyText"/>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10206"/>
      </w:tblGrid>
      <w:tr>
        <w:trPr/>
        <w:tc>
          <w:tcPr>
            <w:tcW w:w="10206" w:type="dxa"/>
            <w:tcBorders/>
          </w:tcPr>
          <w:p>
            <w:pPr>
              <w:pStyle w:val="Compact"/>
              <w:spacing w:before="36" w:after="36"/>
              <w:jc w:val="center"/>
              <w:rPr/>
            </w:pPr>
            <w:bookmarkStart w:id="60" w:name="fig-mapa-classe-vegetacao"/>
            <w:r>
              <w:rPr/>
              <w:drawing>
                <wp:inline distT="0" distB="0" distL="0" distR="0">
                  <wp:extent cx="6477000" cy="6477000"/>
                  <wp:effectExtent l="0" t="0" r="0" b="0"/>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7"/>
                          <a:stretch>
                            <a:fillRect/>
                          </a:stretch>
                        </pic:blipFill>
                        <pic:spPr bwMode="auto">
                          <a:xfrm>
                            <a:off x="0" y="0"/>
                            <a:ext cx="6477000" cy="6477000"/>
                          </a:xfrm>
                          <a:prstGeom prst="rect">
                            <a:avLst/>
                          </a:prstGeom>
                          <a:noFill/>
                        </pic:spPr>
                      </pic:pic>
                    </a:graphicData>
                  </a:graphic>
                </wp:inline>
              </w:drawing>
            </w:r>
          </w:p>
          <w:p>
            <w:pPr>
              <w:pStyle w:val="ImageCaption"/>
              <w:spacing w:before="200" w:after="120"/>
              <w:jc w:val="left"/>
              <w:rPr/>
            </w:pPr>
            <w:bookmarkStart w:id="61" w:name="fig-mapa-classe-vegetacao"/>
            <w:r>
              <w:rPr/>
              <w:t>Figura 6: PEST do Rio Negro - Mapa das Áreas queimadas por classe de vegetação</w:t>
            </w:r>
            <w:bookmarkEnd w:id="61"/>
          </w:p>
        </w:tc>
      </w:tr>
    </w:tbl>
    <w:p>
      <w:pPr>
        <w:pStyle w:val="BodyText"/>
        <w:rPr/>
      </w:pPr>
      <w:r>
        <w:rPr/>
        <w:t xml:space="preserve">A Savana Contato (ST) é a classe dominante, cobrindo aproximadamente </w:t>
      </w:r>
      <w:r>
        <w:rPr>
          <w:b/>
          <w:bCs/>
        </w:rPr>
        <w:t>38,65%</w:t>
      </w:r>
      <w:r>
        <w:rPr/>
        <w:t xml:space="preserve"> da área total. Em seguida, a Savana Parque (Sp) e a Savana Gramíneo-Lenhosa (Sg) representam </w:t>
      </w:r>
      <w:r>
        <w:rPr>
          <w:b/>
          <w:bCs/>
        </w:rPr>
        <w:t>23,61%</w:t>
      </w:r>
      <w:r>
        <w:rPr/>
        <w:t xml:space="preserve"> e </w:t>
      </w:r>
      <w:r>
        <w:rPr>
          <w:b/>
          <w:bCs/>
        </w:rPr>
        <w:t>21,07%</w:t>
      </w:r>
      <w:r>
        <w:rPr/>
        <w:t xml:space="preserve">, respectivamente. As Florestas Estacionais Semideciduais Aluviais (Fa) ocupam cerca de </w:t>
      </w:r>
      <w:r>
        <w:rPr>
          <w:b/>
          <w:bCs/>
        </w:rPr>
        <w:t>6,89%</w:t>
      </w:r>
      <w:r>
        <w:rPr/>
        <w:t xml:space="preserve">, enquanto a Savana Florestada (Sd) ocupa </w:t>
      </w:r>
      <w:r>
        <w:rPr>
          <w:b/>
          <w:bCs/>
        </w:rPr>
        <w:t>8,78%</w:t>
      </w:r>
      <w:r>
        <w:rPr/>
        <w:t xml:space="preserve">. As áreas alagadas (A) e a Floresta Decidual Submontana (Cs) representam as menores proporções, com </w:t>
      </w:r>
      <w:r>
        <w:rPr>
          <w:b/>
          <w:bCs/>
        </w:rPr>
        <w:t>0,98%</w:t>
      </w:r>
      <w:r>
        <w:rPr/>
        <w:t xml:space="preserve"> e </w:t>
      </w:r>
      <w:r>
        <w:rPr>
          <w:b/>
          <w:bCs/>
        </w:rPr>
        <w:t>0,03%</w:t>
      </w:r>
      <w:r>
        <w:rPr/>
        <w:t>, respectivamente.</w:t>
      </w:r>
    </w:p>
    <w:p>
      <w:pPr>
        <w:pStyle w:val="BodyText"/>
        <w:rPr/>
      </w:pPr>
      <w:bookmarkStart w:id="62" w:name="local-proposto"/>
      <w:bookmarkStart w:id="63" w:name="regime-de-incêndios-predominante"/>
      <w:r>
        <w:rPr/>
        <w:t>Este padrão de distribuição é característico de ambientes com regimes de fogo e sazonalidade hídrica marcante (Furley 2006; Parr et al. 2009; Bond e Parr 2010).</w:t>
      </w:r>
      <w:bookmarkEnd w:id="62"/>
      <w:bookmarkEnd w:id="63"/>
    </w:p>
    <w:p>
      <w:pPr>
        <w:pStyle w:val="Heading2"/>
        <w:rPr/>
      </w:pPr>
      <w:bookmarkStart w:id="64" w:name="__RefHeading___Toc6899_760125585"/>
      <w:bookmarkStart w:id="65" w:name="metodologia-proposta"/>
      <w:bookmarkEnd w:id="64"/>
      <w:r>
        <w:rPr/>
        <w:t>4 METODOLOGIA PROPOSTA</w:t>
      </w:r>
    </w:p>
    <w:p>
      <w:pPr>
        <w:pStyle w:val="Heading3"/>
        <w:rPr/>
      </w:pPr>
      <w:bookmarkStart w:id="66" w:name="__RefHeading___Toc6901_760125585"/>
      <w:bookmarkStart w:id="67" w:name="sec-metodologia-isfm"/>
      <w:bookmarkEnd w:id="66"/>
      <w:r>
        <w:rPr/>
        <w:t>4.1 METODOLOGIA ISFM</w:t>
      </w:r>
    </w:p>
    <w:p>
      <w:pPr>
        <w:pStyle w:val="FirstParagraph"/>
        <w:rPr/>
      </w:pPr>
      <w:r>
        <w:rPr/>
        <w:t>A metodologia proposta é a Gestão Internacional do Fogo na Savana (ISFM, na sigla em inglês). Uma metodologia globalmente aplicável para a redução de emissões, e do aumento do sequestro de carbono como opção, em paisagens de savana inspirada nas práticas tradicionais de gestão do fogo.</w:t>
      </w:r>
    </w:p>
    <w:p>
      <w:pPr>
        <w:pStyle w:val="BodyText"/>
        <w:rPr/>
      </w:pPr>
      <w:r>
        <w:rPr/>
        <w:t>Está atualmente a ser desenvolvida pela Maki e pelo ISFMI como Verra (Verified Carbon Standard), uma nota concetual aceite em 2023 e um projeto de metodologia a ser finalizado.</w:t>
      </w:r>
    </w:p>
    <w:p>
      <w:pPr>
        <w:pStyle w:val="BodyText"/>
        <w:rPr/>
      </w:pPr>
      <w:r>
        <w:rPr/>
        <w:t>A metodologia ISFM está relacionada com a prevenção ou redução das emissões de metano (CH4) e óxido nitroso (N2O) nas savanas lenhosas globais, alterando a estação em que os incêndios ocorrem. O conceito ISFM incentiva a mudança da sazonalidade do fogo do final da estação seca para o início da estação seca, o que reduz a intensidade do fogo e reduz as emissões associadas aos incêndios de alta intensidade no final da estação seca em paisagens de savanas lenhosas globais.</w:t>
      </w:r>
    </w:p>
    <w:p>
      <w:pPr>
        <w:pStyle w:val="BodyText"/>
        <w:rPr/>
      </w:pPr>
      <w:r>
        <w:rPr/>
        <w:t>Além disso, a metodologia também oferece um quadro opcional para permitir a contabilização de potenciais de sequestro de carbono acima da biomassa lenhosa do solo (tanto na biomassa viva como na biomassa lenhosa acima do solo (tanto na biomassa viva como nos detritos lenhosos mortos/grosseiros) que estão associados à redução dos incêndios intensos no final da estação seca, bem como os aumentos no reservatório de carbono orgânico do solo (caso existam).</w:t>
      </w:r>
    </w:p>
    <w:p>
      <w:pPr>
        <w:pStyle w:val="BodyText"/>
        <w:rPr/>
      </w:pPr>
      <w:r>
        <w:rPr/>
        <w:t>A metodologia ISFM centra-se na definição de uma “estação seca precoce” e de uma “estação seca tardia”, cada uma com o seu próprio conjunto de parâmetros de cálculo para determinar as emissões líquidas de metano e de óxido nitroso.</w:t>
      </w:r>
    </w:p>
    <w:p>
      <w:pPr>
        <w:pStyle w:val="BodyText"/>
        <w:rPr/>
      </w:pPr>
      <w:bookmarkStart w:id="68" w:name="sec-metodologia-isfm"/>
      <w:r>
        <w:rPr/>
        <w:t>Os cálculos de redução das emissões de GEE calculam as emissões de metano e de óxido nitroso, mas não mas não incluem as emissões de CO2 porque o CO2 não é afetado significativamente pela sazonalidade dos incêndios nas savanas. (Em savanas altamente sazonais, as diretrizes do IPCC assumem que a quantidade de CO2 emitida durante uma estação de incêndios é equivalente à quantidade removida da atmosfera através do crescimento da vegetação na estação húmida seguinte).</w:t>
      </w:r>
      <w:bookmarkEnd w:id="68"/>
    </w:p>
    <w:p>
      <w:pPr>
        <w:pStyle w:val="Heading3"/>
        <w:rPr/>
      </w:pPr>
      <w:bookmarkStart w:id="69" w:name="__RefHeading___Toc6903_760125585"/>
      <w:bookmarkStart w:id="70" w:name="regime-de-comércio-de-carbono"/>
      <w:bookmarkEnd w:id="69"/>
      <w:r>
        <w:rPr/>
        <w:t>4.2 REGIME DE COMÉRCIO DE CARBONO</w:t>
      </w:r>
    </w:p>
    <w:p>
      <w:pPr>
        <w:pStyle w:val="FirstParagraph"/>
        <w:rPr/>
      </w:pPr>
      <w:r>
        <w:rPr/>
        <w:t>As Unidades de Carbono Verificado (VCU), emitidas pela Verra ao abrigo da Norma Verified Carbon, representam uma redução ou remoção de uma tonelada de dióxido de carbono equivalente (CO2e) alcançada pelo projeto.</w:t>
      </w:r>
    </w:p>
    <w:p>
      <w:pPr>
        <w:pStyle w:val="BodyText"/>
        <w:rPr/>
      </w:pPr>
      <w:bookmarkStart w:id="71" w:name="metodologia-proposta"/>
      <w:bookmarkStart w:id="72" w:name="regime-de-comércio-de-carbono"/>
      <w:r>
        <w:rPr/>
        <w:t>As VCUs geradas pelo Projeto SFM destinam-se a ser comercializadas no mercado internacional de carbono voluntário. internacional.</w:t>
      </w:r>
      <w:bookmarkEnd w:id="71"/>
      <w:bookmarkEnd w:id="72"/>
    </w:p>
    <w:p>
      <w:pPr>
        <w:pStyle w:val="Heading2"/>
        <w:rPr/>
      </w:pPr>
      <w:bookmarkStart w:id="73" w:name="__RefHeading___Toc6905_760125585"/>
      <w:bookmarkStart w:id="74" w:name="atividades-do-projeto"/>
      <w:bookmarkEnd w:id="73"/>
      <w:r>
        <w:rPr/>
        <w:t>5 ATIVIDADES DO PROJETO</w:t>
      </w:r>
    </w:p>
    <w:p>
      <w:pPr>
        <w:pStyle w:val="Heading3"/>
        <w:rPr/>
      </w:pPr>
      <w:bookmarkStart w:id="75" w:name="__RefHeading___Toc6907_760125585"/>
      <w:bookmarkStart w:id="76" w:name="desenvolvimento-e-registo"/>
      <w:bookmarkEnd w:id="75"/>
      <w:r>
        <w:rPr/>
        <w:t>5.1 DESENVOLVIMENTO E REGISTO</w:t>
      </w:r>
    </w:p>
    <w:p>
      <w:pPr>
        <w:pStyle w:val="FirstParagraph"/>
        <w:rPr/>
      </w:pPr>
      <w:r>
        <w:rPr/>
        <w:t>As atividades necessárias para desenvolver um projeto de Manejo Florestal Sustentável (SFM) e registrá-lo no Programa VCS da Verra incluem:</w:t>
      </w:r>
    </w:p>
    <w:p>
      <w:pPr>
        <w:pStyle w:val="Compact"/>
        <w:numPr>
          <w:ilvl w:val="0"/>
          <w:numId w:val="54"/>
        </w:numPr>
        <w:rPr/>
      </w:pPr>
      <w:r>
        <w:rPr/>
        <w:t>Processo de dupla diligencia.</w:t>
        <w:br/>
      </w:r>
    </w:p>
    <w:p>
      <w:pPr>
        <w:pStyle w:val="Compact"/>
        <w:numPr>
          <w:ilvl w:val="0"/>
          <w:numId w:val="55"/>
        </w:numPr>
        <w:rPr/>
      </w:pPr>
      <w:r>
        <w:rPr/>
        <w:t>Processo de consulta às partes interessadas e Consentimento Livre, Prévio e Informado (FPIC)</w:t>
        <w:br/>
      </w:r>
    </w:p>
    <w:p>
      <w:pPr>
        <w:pStyle w:val="Compact"/>
        <w:numPr>
          <w:ilvl w:val="0"/>
          <w:numId w:val="56"/>
        </w:numPr>
        <w:rPr/>
      </w:pPr>
      <w:r>
        <w:rPr/>
        <w:t>Projeto / plano do projeto</w:t>
        <w:br/>
      </w:r>
    </w:p>
    <w:p>
      <w:pPr>
        <w:pStyle w:val="Compact"/>
        <w:numPr>
          <w:ilvl w:val="0"/>
          <w:numId w:val="57"/>
        </w:numPr>
        <w:rPr/>
      </w:pPr>
      <w:r>
        <w:rPr/>
        <w:t>Mapa validado do tipo de combustível da vegetação</w:t>
        <w:br/>
      </w:r>
    </w:p>
    <w:p>
      <w:pPr>
        <w:pStyle w:val="Compact"/>
        <w:numPr>
          <w:ilvl w:val="0"/>
          <w:numId w:val="58"/>
        </w:numPr>
        <w:rPr/>
      </w:pPr>
      <w:bookmarkStart w:id="77" w:name="desenvolvimento-e-registo"/>
      <w:r>
        <w:rPr/>
        <w:t>Pacote de registro no VCS</w:t>
      </w:r>
      <w:bookmarkEnd w:id="77"/>
    </w:p>
    <w:p>
      <w:pPr>
        <w:pStyle w:val="Heading3"/>
        <w:rPr/>
      </w:pPr>
      <w:bookmarkStart w:id="78" w:name="__RefHeading___Toc6909_760125585"/>
      <w:bookmarkStart w:id="79" w:name="operações-de-gestão-de-incêndios"/>
      <w:bookmarkEnd w:id="78"/>
      <w:r>
        <w:rPr/>
        <w:t>5.2 OPERAÇÕES DE GESTÃO DE INCÊNDIOS</w:t>
      </w:r>
    </w:p>
    <w:p>
      <w:pPr>
        <w:pStyle w:val="FirstParagraph"/>
        <w:rPr/>
      </w:pPr>
      <w:r>
        <w:rPr/>
        <w:t>As operações de manejo do fogo envolvem a implementação estratégica de queimas prescritas em escala de paisagem durante a EDS (maio – julho) para transformar os regimes de fogo existentes de incêndios florestais descontrolados de alta intensidade na LDS em regimes de fogo de baixa intensidade.</w:t>
      </w:r>
    </w:p>
    <w:p>
      <w:pPr>
        <w:pStyle w:val="BodyText"/>
        <w:rPr/>
      </w:pPr>
      <w:r>
        <w:rPr/>
        <w:t xml:space="preserve">A implementação começa com técnicas de queima no solo; no entanto, as operações de queima prescrita aérea são essenciais para estabelecer queimadas estratégicas suficientes, que atuam como aceiros para reduzir efetivamente os incêndios na LDS em paisagens remotas e inacessíveis. Cápsulas de ignição retardada são lançadas utilizando o sistema autônomo </w:t>
      </w:r>
      <w:r>
        <w:rPr>
          <w:b/>
          <w:bCs/>
        </w:rPr>
        <w:t>Raindance Systems R3 Machine</w:t>
      </w:r>
      <w:r>
        <w:rPr/>
        <w:t>, que é fixado no assento padrão de um helicóptero.</w:t>
      </w:r>
    </w:p>
    <w:p>
      <w:pPr>
        <w:pStyle w:val="BodyText"/>
        <w:rPr/>
      </w:pPr>
      <w:r>
        <w:rPr/>
        <w:t xml:space="preserve">Informações de incêndios obtidas por sensoriamento remoto e mapeamento GIS são essenciais para o planejamento do </w:t>
      </w:r>
      <w:r>
        <w:rPr>
          <w:b/>
          <w:bCs/>
        </w:rPr>
        <w:t>Manejo Sustentável do Fogo (SFM)</w:t>
      </w:r>
      <w:r>
        <w:rPr/>
        <w:t xml:space="preserve">, incluindo histórico de incêndios, informações de fogo ativo em tempo quase real, imagens atualizadas do satélite </w:t>
      </w:r>
      <w:r>
        <w:rPr>
          <w:b/>
          <w:bCs/>
        </w:rPr>
        <w:t>Sentinel-2</w:t>
      </w:r>
      <w:r>
        <w:rPr/>
        <w:t xml:space="preserve"> e produtos de mapeamento de carga de combustível. Sistemas de navegação em campo contendo essas informações são igualmente importantes para orientar e adaptar as atividades de implementação.</w:t>
      </w:r>
    </w:p>
    <w:p>
      <w:pPr>
        <w:pStyle w:val="BodyText"/>
        <w:rPr/>
      </w:pPr>
      <w:r>
        <w:rPr/>
        <w:t>Uma pequena equipe de SFM, composta por um coordenador/gerente de incêndios e três a quatro profissionais experientes (5 a 10 anos de experiência de campo), coordena e implementa as atividades de manejo do fogo.</w:t>
      </w:r>
    </w:p>
    <w:p>
      <w:pPr>
        <w:pStyle w:val="BodyText"/>
        <w:rPr/>
      </w:pPr>
      <w:r>
        <w:rPr/>
        <w:t>As operações de manejo do fogo seguem um ciclo anual de planejamento, implementação e monitoramento, conforme descrito abaixo:</w:t>
      </w:r>
    </w:p>
    <w:p>
      <w:pPr>
        <w:pStyle w:val="Compact"/>
        <w:numPr>
          <w:ilvl w:val="0"/>
          <w:numId w:val="59"/>
        </w:numPr>
        <w:rPr/>
      </w:pPr>
      <w:r>
        <w:rPr/>
        <w:t>Planejamento do SFM (abril / maio)</w:t>
      </w:r>
    </w:p>
    <w:p>
      <w:pPr>
        <w:pStyle w:val="SourceCode"/>
        <w:rPr/>
      </w:pPr>
      <w:r>
        <w:rPr>
          <w:rStyle w:val="VerbatimChar"/>
        </w:rPr>
        <w:t>+ Levantamentos de campo e análise de informações sobre incêndios para avaliar os principais determinantes do manejo do fogo.</w:t>
      </w:r>
      <w:r>
        <w:rPr/>
        <w:br/>
      </w:r>
      <w:r>
        <w:rPr>
          <w:rStyle w:val="VerbatimChar"/>
        </w:rPr>
        <w:t>+ Consultas com as partes interessadas para revisar e planejar os objetivos do manejo do fogo, avaliar a capacidade e os recursos existentes e definir o plano de implementação.</w:t>
      </w:r>
    </w:p>
    <w:p>
      <w:pPr>
        <w:pStyle w:val="Compact"/>
        <w:numPr>
          <w:ilvl w:val="0"/>
          <w:numId w:val="60"/>
        </w:numPr>
        <w:rPr/>
      </w:pPr>
      <w:r>
        <w:rPr/>
        <w:t>Implementação do SFM (maio a julho)</w:t>
      </w:r>
    </w:p>
    <w:p>
      <w:pPr>
        <w:pStyle w:val="SourceCode"/>
        <w:rPr/>
      </w:pPr>
      <w:r>
        <w:rPr>
          <w:rStyle w:val="VerbatimChar"/>
        </w:rPr>
        <w:t>+ Queima prescrita estratégica em escala de paisagem durante a EDS para gerar incêndios autolimitantes de baixa intensidade, reduzindo a intensidade do fogo, a área queimada e os incêndios na LDS.</w:t>
      </w:r>
      <w:r>
        <w:rPr/>
        <w:br/>
      </w:r>
      <w:r>
        <w:rPr>
          <w:rStyle w:val="VerbatimChar"/>
        </w:rPr>
        <w:t xml:space="preserve">+ Implementação cuidadosa para proteger a vegetação sensível ao fogo, melhorar o funcionamento do ecossistema (por exemplo, o ciclo da água) e atingir objetivos de uso da terra e gestão da biodiversidade  </w:t>
      </w:r>
      <w:r>
        <w:rPr/>
        <w:br/>
      </w:r>
      <w:r>
        <w:rPr>
          <w:rStyle w:val="VerbatimChar"/>
        </w:rPr>
        <w:t>+ Estabelecimento de padrões de queima em mosaico rotacional para diversificar o tempo desde a última queima ao longo dos anos e reduzir a frequência de incêndios.</w:t>
      </w:r>
    </w:p>
    <w:p>
      <w:pPr>
        <w:pStyle w:val="Compact"/>
        <w:numPr>
          <w:ilvl w:val="0"/>
          <w:numId w:val="61"/>
        </w:numPr>
        <w:rPr/>
      </w:pPr>
      <w:r>
        <w:rPr/>
        <w:t>Monitoramento do SFM (maio a novembro)</w:t>
      </w:r>
    </w:p>
    <w:p>
      <w:pPr>
        <w:pStyle w:val="SourceCode"/>
        <w:rPr/>
      </w:pPr>
      <w:r>
        <w:rPr>
          <w:rStyle w:val="VerbatimChar"/>
        </w:rPr>
        <w:t xml:space="preserve">+ Monitoramento de campo e por sensoriamento remoto para avaliar a eficácia das queimas prescritas na consecução dos objetivos de manejo, confirmar a ocorrência de incêndios autolimitantes e detectar ignições de incêndios na LDS  </w:t>
      </w:r>
      <w:r>
        <w:rPr/>
        <w:br/>
      </w:r>
      <w:r>
        <w:rPr>
          <w:rStyle w:val="VerbatimChar"/>
        </w:rPr>
        <w:t>+ Consultas com as partes interessadas para avaliar o apoio de organizações parceiras e parceiros locais.</w:t>
      </w:r>
    </w:p>
    <w:p>
      <w:pPr>
        <w:pStyle w:val="FirstParagraph"/>
        <w:rPr/>
      </w:pPr>
      <w:r>
        <w:rPr/>
        <w:t xml:space="preserve">A autorização do </w:t>
      </w:r>
      <w:r>
        <w:rPr>
          <w:b/>
          <w:bCs/>
        </w:rPr>
        <w:t>Instituto Chico Mendes de Conservação da Biodiversidade (ICMBio)</w:t>
      </w:r>
      <w:r>
        <w:rPr/>
        <w:t xml:space="preserve">, conforme a </w:t>
      </w:r>
      <w:r>
        <w:rPr>
          <w:b/>
          <w:bCs/>
        </w:rPr>
        <w:t>LEI No 9.985, DE 18 DE JULHO DE 2000 e LEI Nº 11.284, DE 2 DE MARÇO DE 2006</w:t>
      </w:r>
      <w:r>
        <w:rPr/>
        <w:t xml:space="preserve">, e do </w:t>
      </w:r>
      <w:r>
        <w:rPr>
          <w:b/>
          <w:bCs/>
        </w:rPr>
        <w:t>Serviço Florestal Brasileiro (SFB)</w:t>
      </w:r>
      <w:r>
        <w:rPr/>
        <w:t xml:space="preserve">, conforme a </w:t>
      </w:r>
      <w:r>
        <w:rPr>
          <w:b/>
          <w:bCs/>
        </w:rPr>
        <w:t>LEI Nº 12.651, DE 25 DE MAIO DE 2012</w:t>
      </w:r>
      <w:r>
        <w:rPr/>
        <w:t xml:space="preserve">, será necessária para implementar queimas prescritas no </w:t>
      </w:r>
      <w:r>
        <w:rPr>
          <w:b/>
          <w:bCs/>
        </w:rPr>
        <w:t>Parque Estadual do Pantanal do Rio Negro</w:t>
      </w:r>
      <w:r>
        <w:rPr/>
        <w:t xml:space="preserve"> e nas Florestas Nacionais, respectivamente.</w:t>
      </w:r>
    </w:p>
    <w:p>
      <w:pPr>
        <w:pStyle w:val="BodyText"/>
        <w:rPr/>
      </w:pPr>
      <w:r>
        <w:rPr/>
        <w:t xml:space="preserve">Além disso, será necessária autorização da </w:t>
      </w:r>
      <w:r>
        <w:rPr>
          <w:b/>
          <w:bCs/>
        </w:rPr>
        <w:t>Agência Nacional de Aviação Civil (Anac)</w:t>
      </w:r>
      <w:r>
        <w:rPr/>
        <w:t xml:space="preserve"> para aprovar o uso da </w:t>
      </w:r>
      <w:r>
        <w:rPr>
          <w:b/>
          <w:bCs/>
        </w:rPr>
        <w:t>R3 Machine</w:t>
      </w:r>
      <w:r>
        <w:rPr/>
        <w:t xml:space="preserve"> e a implementação de queimadas aéreas.</w:t>
      </w:r>
      <w:bookmarkEnd w:id="79"/>
    </w:p>
    <w:p>
      <w:pPr>
        <w:pStyle w:val="Heading3"/>
        <w:rPr/>
      </w:pPr>
      <w:bookmarkStart w:id="80" w:name="__RefHeading___Toc6911_760125585"/>
      <w:bookmarkStart w:id="81" w:name="acompanhamento-informação-e-verificação"/>
      <w:bookmarkEnd w:id="80"/>
      <w:r>
        <w:rPr/>
        <w:t>5.3 ACOMPANHAMENTO, INFORMAÇÃO E VERIFICAÇÃO</w:t>
      </w:r>
    </w:p>
    <w:p>
      <w:pPr>
        <w:pStyle w:val="FirstParagraph"/>
        <w:rPr/>
      </w:pPr>
      <w:r>
        <w:rPr/>
        <w:t>As atividades necessárias para a emissão de um VCU para reduções de emissões ou sequestro de carbono sob o programa Verra VCS.</w:t>
      </w:r>
    </w:p>
    <w:p>
      <w:pPr>
        <w:pStyle w:val="BodyText"/>
        <w:rPr/>
      </w:pPr>
      <w:r>
        <w:rPr/>
        <w:t>O método para quantificar as reduções de emissões de metano (CH₄) e óxido nitroso (N₂O) é baseado na observação direta por sensoriamento remoto da extensão espacial e da data dos incêndios (sazonalidade dos incêndios). Essas observações são então combinadas com parâmetros que definem as cargas de combustível, a eficiência da queima, a combustão dos combustíveis e os fatores de emissão de diferentes tipos de combustível da vegetação, conforme literatura revisada por pares, derivada de medições de emissões de incêndios ocorrendo dentro de uma região específica aplicável.</w:t>
      </w:r>
    </w:p>
    <w:p>
      <w:pPr>
        <w:pStyle w:val="BodyText"/>
        <w:rPr/>
      </w:pPr>
      <w:r>
        <w:rPr/>
        <w:t>Parâmetros de referência específicos para miombo, derivados da pesquisa colaborativa financiada pelo ISFMI e Maki, incluindo o DF e o DNPW da Zâmbia, ao longo dos últimos cinco anos, serão publicados em breve. O manuscrito “Framework for a savanna burning emissions abatement methodology applicable to fire-prone miombo woodlands in southern Africa” (Miombo Paper) foi recentemente submetido (dezembro de 2023) ao International Journal of Wildland Fire.</w:t>
      </w:r>
    </w:p>
    <w:p>
      <w:pPr>
        <w:pStyle w:val="BodyText"/>
        <w:rPr/>
      </w:pPr>
      <w:r>
        <w:rPr/>
        <w:t xml:space="preserve">O método para quantificar o sequestro / remoção de carbono exige a incorporação de parâmetros de referência específicos para apoiar a Metodologia ISFM, que estão atualmente em fase de pesquisa (ver </w:t>
      </w:r>
      <w:hyperlink w:anchor="sec-increase-carbon-sequestration">
        <w:r>
          <w:rPr>
            <w:rStyle w:val="Hyperlink"/>
          </w:rPr>
          <w:t>Seção 6.3</w:t>
        </w:r>
      </w:hyperlink>
      <w:r>
        <w:rPr/>
        <w:t>).</w:t>
      </w:r>
    </w:p>
    <w:p>
      <w:pPr>
        <w:pStyle w:val="BodyText"/>
        <w:rPr/>
      </w:pPr>
      <w:bookmarkStart w:id="82" w:name="atividades-do-projeto"/>
      <w:bookmarkStart w:id="83" w:name="acompanhamento-informação-e-verificação"/>
      <w:r>
        <w:rPr/>
        <w:t>Um sistema digital de monitoramento, relatório e verificação (MRV) ou uma ferramenta metodológica está atualmente em desenvolvimento para automatizar as observações diretas e os cálculos de quantificação necessários para monitorar o desempenho do projeto e facilitar os requisitos de relatório e auditoria do VCS.</w:t>
      </w:r>
      <w:bookmarkEnd w:id="82"/>
      <w:bookmarkEnd w:id="83"/>
    </w:p>
    <w:p>
      <w:pPr>
        <w:pStyle w:val="Heading2"/>
        <w:rPr/>
      </w:pPr>
      <w:bookmarkStart w:id="84" w:name="__RefHeading___Toc6913_760125585"/>
      <w:bookmarkStart w:id="85" w:name="potenciais-créditos-de-carbono"/>
      <w:bookmarkEnd w:id="84"/>
      <w:r>
        <w:rPr/>
        <w:t>6 POTENCIAIS CRÉDITOS DE CARBONO</w:t>
      </w:r>
    </w:p>
    <w:p>
      <w:pPr>
        <w:pStyle w:val="Heading3"/>
        <w:rPr/>
      </w:pPr>
      <w:bookmarkStart w:id="86" w:name="__RefHeading___Toc6915_760125585"/>
      <w:bookmarkStart w:id="87" w:name="tipos-de-combustível-da-vegetação"/>
      <w:bookmarkEnd w:id="86"/>
      <w:r>
        <w:rPr/>
        <w:t>6.1 TIPOS DE COMBUSTÍVEL DA VEGETAÇÃO</w:t>
      </w:r>
      <w:bookmarkEnd w:id="87"/>
    </w:p>
    <w:p>
      <w:pPr>
        <w:pStyle w:val="Heading3"/>
        <w:rPr/>
      </w:pPr>
      <w:bookmarkStart w:id="88" w:name="__RefHeading___Toc6917_760125585"/>
      <w:bookmarkStart w:id="89" w:name="Xb2940048d3a9cb5f88d578d1a22a6f9b6b63f4b"/>
      <w:bookmarkEnd w:id="88"/>
      <w:r>
        <w:rPr/>
        <w:t>6.2 POTENCIAL DE REDUÇÃO / PREVENÇÃO DE EMISSÕES</w:t>
      </w:r>
    </w:p>
    <w:p>
      <w:pPr>
        <w:pStyle w:val="FirstParagraph"/>
        <w:rPr/>
      </w:pPr>
      <w:r>
        <w:rPr/>
        <w:t xml:space="preserve">O processo seguinte, utilizado na metodologia ISFM (ver seção </w:t>
      </w:r>
      <w:hyperlink w:anchor="sec-metodologia-isfm">
        <w:r>
          <w:rPr>
            <w:rStyle w:val="Hyperlink"/>
          </w:rPr>
          <w:t>Seção 4.1</w:t>
        </w:r>
      </w:hyperlink>
      <w:r>
        <w:rPr/>
        <w:t>), foi adaptado para fornecer estimativas preliminares das emissões da linha de base e do projeto, utilizando a resolução relativamente Burned Area Product (MCD64A1) e o mapa VFT WorldCover 2021 generalizado da ESA.</w:t>
      </w:r>
    </w:p>
    <w:p>
      <w:pPr>
        <w:pStyle w:val="BodyText"/>
        <w:rPr/>
      </w:pPr>
      <w:r>
        <w:rPr/>
        <w:t>Parque Estadual do Pantanal do Rio Negro</w:t>
      </w:r>
    </w:p>
    <w:p>
      <w:pPr>
        <w:pStyle w:val="BodyText"/>
        <w:rPr/>
      </w:pPr>
      <w:r>
        <w:rPr/>
        <w:t xml:space="preserve">A </w:t>
      </w:r>
      <w:hyperlink w:anchor="fig-fire-history">
        <w:r>
          <w:rPr>
            <w:rStyle w:val="Hyperlink"/>
          </w:rPr>
          <w:t>Figura 7</w:t>
        </w:r>
      </w:hyperlink>
      <w:r>
        <w:rPr/>
        <w:t xml:space="preserve"> apresenta o histórico da área queimada e das emissões de gases de efeito estufa (GEE) no Parque Estadual do Pantanal do Rio Negro (PEST do Rio Negro) ao longo do período de 2013 a 2024.</w:t>
      </w:r>
    </w:p>
    <w:p>
      <w:pPr>
        <w:pStyle w:val="BodyText"/>
        <w:rPr/>
      </w:pPr>
      <w:r>
        <w:rPr/>
        <w:t>Entre 2013 e 2017, observa-se uma área queimada relativamente pequena, com emissões de GEE correspondentes também em níveis reduzidos. A partir de 2018, nota-se um crescimento acentuado na área queimada, culminando em picos nos anos de 2019, 2021 e 2024, onde as queimadas superaram 100.000 ha em cada um desses anos. Embora as emissões sigam, em geral, a tendência da área queimada, há variações significativas, possivelmente influenciadas por fatores como a intensidade do fogo e o tipo de vegetação afetada.</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10206"/>
      </w:tblGrid>
      <w:tr>
        <w:trPr/>
        <w:tc>
          <w:tcPr>
            <w:tcW w:w="10206" w:type="dxa"/>
            <w:tcBorders/>
          </w:tcPr>
          <w:p>
            <w:pPr>
              <w:pStyle w:val="Compact"/>
              <w:spacing w:before="36" w:after="36"/>
              <w:jc w:val="center"/>
              <w:rPr/>
            </w:pPr>
            <w:bookmarkStart w:id="90" w:name="fig-fire-history"/>
            <w:r>
              <w:rPr/>
              <w:drawing>
                <wp:inline distT="0" distB="0" distL="0" distR="0">
                  <wp:extent cx="4620260" cy="3696335"/>
                  <wp:effectExtent l="0" t="0" r="0" b="0"/>
                  <wp:docPr id="7"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7" descr=""/>
                          <pic:cNvPicPr>
                            <a:picLocks noChangeAspect="1" noChangeArrowheads="1"/>
                          </pic:cNvPicPr>
                        </pic:nvPicPr>
                        <pic:blipFill>
                          <a:blip r:embed="rId8"/>
                          <a:stretch>
                            <a:fillRect/>
                          </a:stretch>
                        </pic:blipFill>
                        <pic:spPr bwMode="auto">
                          <a:xfrm>
                            <a:off x="0" y="0"/>
                            <a:ext cx="4620260" cy="3696335"/>
                          </a:xfrm>
                          <a:prstGeom prst="rect">
                            <a:avLst/>
                          </a:prstGeom>
                          <a:noFill/>
                        </pic:spPr>
                      </pic:pic>
                    </a:graphicData>
                  </a:graphic>
                </wp:inline>
              </w:drawing>
            </w:r>
          </w:p>
          <w:p>
            <w:pPr>
              <w:pStyle w:val="ImageCaption"/>
              <w:spacing w:before="200" w:after="120"/>
              <w:jc w:val="left"/>
              <w:rPr/>
            </w:pPr>
            <w:bookmarkStart w:id="91" w:name="fig-fire-history"/>
            <w:r>
              <w:rPr/>
              <w:t>Figura 7: PEST do Rio Negro - Área queimada e emissões de GEE em VFTs elegíveis 2013-2024.</w:t>
            </w:r>
            <w:bookmarkEnd w:id="91"/>
          </w:p>
        </w:tc>
      </w:tr>
      <w:tr>
        <w:trPr/>
        <w:tc>
          <w:tcPr>
            <w:tcW w:w="10206" w:type="dxa"/>
            <w:tcBorders/>
          </w:tcPr>
          <w:p>
            <w:pPr>
              <w:pStyle w:val="Compact"/>
              <w:spacing w:before="36" w:after="36"/>
              <w:jc w:val="center"/>
              <w:rPr/>
            </w:pPr>
            <w:bookmarkStart w:id="92" w:name="fig-fire-history-season"/>
            <w:r>
              <w:rPr/>
              <w:drawing>
                <wp:inline distT="0" distB="0" distL="0" distR="0">
                  <wp:extent cx="4620260" cy="3696335"/>
                  <wp:effectExtent l="0" t="0" r="0" b="0"/>
                  <wp:docPr id="8"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8" descr=""/>
                          <pic:cNvPicPr>
                            <a:picLocks noChangeAspect="1" noChangeArrowheads="1"/>
                          </pic:cNvPicPr>
                        </pic:nvPicPr>
                        <pic:blipFill>
                          <a:blip r:embed="rId9"/>
                          <a:stretch>
                            <a:fillRect/>
                          </a:stretch>
                        </pic:blipFill>
                        <pic:spPr bwMode="auto">
                          <a:xfrm>
                            <a:off x="0" y="0"/>
                            <a:ext cx="4620260" cy="3696335"/>
                          </a:xfrm>
                          <a:prstGeom prst="rect">
                            <a:avLst/>
                          </a:prstGeom>
                          <a:noFill/>
                        </pic:spPr>
                      </pic:pic>
                    </a:graphicData>
                  </a:graphic>
                </wp:inline>
              </w:drawing>
            </w:r>
          </w:p>
          <w:p>
            <w:pPr>
              <w:pStyle w:val="ImageCaption"/>
              <w:spacing w:before="200" w:after="120"/>
              <w:jc w:val="left"/>
              <w:rPr/>
            </w:pPr>
            <w:bookmarkStart w:id="93" w:name="fig-fire-history-season"/>
            <w:r>
              <w:rPr/>
              <w:t>Figura 8: PEST do Rio Negro - Área queimada por estação e emissões médias de GEE 2013-2024. eds = “Early Dry Season”, Área queimada no início da estação seca. lts = “Late Dry Season”, Área queimada no final de estação seca.</w:t>
            </w:r>
            <w:bookmarkEnd w:id="93"/>
          </w:p>
        </w:tc>
      </w:tr>
    </w:tbl>
    <w:p>
      <w:pPr>
        <w:pStyle w:val="BodyText"/>
        <w:rPr/>
      </w:pPr>
      <w:r>
        <w:rPr/>
        <w:t xml:space="preserve">A </w:t>
      </w:r>
      <w:hyperlink w:anchor="tbl-ghg-emissions-seasons">
        <w:r>
          <w:rPr>
            <w:rStyle w:val="Hyperlink"/>
          </w:rPr>
          <w:t>Tabela 7</w:t>
        </w:r>
      </w:hyperlink>
      <w:r>
        <w:rPr/>
        <w:t xml:space="preserve"> resume os valores anuais de área queimada e emissões de GEE. A média anual da área queimada no período foi de 66.030,2 ha, com a maior parte da queima concentrada na LDS (60.702,42 ha em média), representando cerca de 92% do total. Esse padrão sugere que a seca mais intensa nos meses finais da estação favorece a propagação do fogo.</w:t>
      </w:r>
    </w:p>
    <w:p>
      <w:pPr>
        <w:pStyle w:val="BodyText"/>
        <w:rPr/>
      </w:pPr>
      <w:r>
        <w:rPr/>
        <w:t>A análise evidencia que as queimadas no PEST do Rio Negro são predominantemente concentradas no final da estação seca, resultando em emissões elevadas de GEE. A tendência de aumento na área queimada e nas emissões em anos recentes indica a necessidade de estratégias de gestão para reduzir os impactos ambientais das queimadas, especialmente na LDS.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10206"/>
      </w:tblGrid>
      <w:tr>
        <w:trPr/>
        <w:tc>
          <w:tcPr>
            <w:tcW w:w="10206" w:type="dxa"/>
            <w:tcBorders/>
          </w:tcPr>
          <w:tbl>
            <w:tblPr>
              <w:tblStyle w:val="Table"/>
              <w:tblW w:w="5000" w:type="pct"/>
              <w:jc w:val="left"/>
              <w:tblInd w:w="108" w:type="dxa"/>
              <w:tblLayout w:type="fixed"/>
              <w:tblCellMar>
                <w:top w:w="0" w:type="dxa"/>
                <w:left w:w="108" w:type="dxa"/>
                <w:bottom w:w="0" w:type="dxa"/>
                <w:right w:w="108" w:type="dxa"/>
              </w:tblCellMar>
              <w:tblLook w:val="0020" w:noHBand="0" w:noVBand="0" w:firstColumn="0" w:lastRow="0" w:lastColumn="0" w:firstRow="1"/>
            </w:tblPr>
            <w:tblGrid>
              <w:gridCol w:w="672"/>
              <w:gridCol w:w="1010"/>
              <w:gridCol w:w="1123"/>
              <w:gridCol w:w="1233"/>
              <w:gridCol w:w="1909"/>
              <w:gridCol w:w="1910"/>
              <w:gridCol w:w="2132"/>
            </w:tblGrid>
            <w:tr>
              <w:trPr>
                <w:tblHeader w:val="true"/>
              </w:trPr>
              <w:tc>
                <w:tcPr>
                  <w:tcW w:w="672" w:type="dxa"/>
                  <w:tcBorders/>
                </w:tcPr>
                <w:p>
                  <w:pPr>
                    <w:pStyle w:val="Compact"/>
                    <w:spacing w:before="36" w:after="36"/>
                    <w:jc w:val="center"/>
                    <w:rPr/>
                  </w:pPr>
                  <w:bookmarkStart w:id="94" w:name="tbl-ghg-emissions-seasons"/>
                  <w:r>
                    <w:rPr/>
                    <w:t>Ano</w:t>
                  </w:r>
                </w:p>
              </w:tc>
              <w:tc>
                <w:tcPr>
                  <w:tcW w:w="1010" w:type="dxa"/>
                  <w:tcBorders/>
                </w:tcPr>
                <w:p>
                  <w:pPr>
                    <w:pStyle w:val="Compact"/>
                    <w:spacing w:before="36" w:after="36"/>
                    <w:jc w:val="center"/>
                    <w:rPr/>
                  </w:pPr>
                  <w:r>
                    <w:rPr/>
                    <w:t>EDS (ha)</w:t>
                  </w:r>
                </w:p>
              </w:tc>
              <w:tc>
                <w:tcPr>
                  <w:tcW w:w="1123" w:type="dxa"/>
                  <w:tcBorders/>
                </w:tcPr>
                <w:p>
                  <w:pPr>
                    <w:pStyle w:val="Compact"/>
                    <w:spacing w:before="36" w:after="36"/>
                    <w:jc w:val="center"/>
                    <w:rPr/>
                  </w:pPr>
                  <w:r>
                    <w:rPr/>
                    <w:t>LDS (ha)</w:t>
                  </w:r>
                </w:p>
              </w:tc>
              <w:tc>
                <w:tcPr>
                  <w:tcW w:w="1233" w:type="dxa"/>
                  <w:tcBorders/>
                </w:tcPr>
                <w:p>
                  <w:pPr>
                    <w:pStyle w:val="Compact"/>
                    <w:spacing w:before="36" w:after="36"/>
                    <w:jc w:val="center"/>
                    <w:rPr/>
                  </w:pPr>
                  <w:r>
                    <w:rPr/>
                    <w:t>Total (ha)</w:t>
                  </w:r>
                </w:p>
              </w:tc>
              <w:tc>
                <w:tcPr>
                  <w:tcW w:w="1909" w:type="dxa"/>
                  <w:tcBorders/>
                </w:tcPr>
                <w:p>
                  <w:pPr>
                    <w:pStyle w:val="Compact"/>
                    <w:spacing w:before="36" w:after="36"/>
                    <w:jc w:val="center"/>
                    <w:rPr/>
                  </w:pPr>
                  <w:r>
                    <w:rPr/>
                    <w:t>EDS (tCO2-e/ano)</w:t>
                  </w:r>
                </w:p>
              </w:tc>
              <w:tc>
                <w:tcPr>
                  <w:tcW w:w="1910" w:type="dxa"/>
                  <w:tcBorders/>
                </w:tcPr>
                <w:p>
                  <w:pPr>
                    <w:pStyle w:val="Compact"/>
                    <w:spacing w:before="36" w:after="36"/>
                    <w:jc w:val="center"/>
                    <w:rPr/>
                  </w:pPr>
                  <w:r>
                    <w:rPr/>
                    <w:t>LDS (tCO2-e/ano)</w:t>
                  </w:r>
                </w:p>
              </w:tc>
              <w:tc>
                <w:tcPr>
                  <w:tcW w:w="2132" w:type="dxa"/>
                  <w:tcBorders/>
                </w:tcPr>
                <w:p>
                  <w:pPr>
                    <w:pStyle w:val="Compact"/>
                    <w:spacing w:before="36" w:after="36"/>
                    <w:jc w:val="center"/>
                    <w:rPr/>
                  </w:pPr>
                  <w:r>
                    <w:rPr/>
                    <w:t>Total (tCO2-e/ano)</w:t>
                  </w:r>
                </w:p>
              </w:tc>
            </w:tr>
            <w:tr>
              <w:trPr/>
              <w:tc>
                <w:tcPr>
                  <w:tcW w:w="672" w:type="dxa"/>
                  <w:tcBorders/>
                </w:tcPr>
                <w:p>
                  <w:pPr>
                    <w:pStyle w:val="Compact"/>
                    <w:spacing w:before="36" w:after="36"/>
                    <w:jc w:val="center"/>
                    <w:rPr/>
                  </w:pPr>
                  <w:r>
                    <w:rPr/>
                    <w:t>2013</w:t>
                  </w:r>
                </w:p>
              </w:tc>
              <w:tc>
                <w:tcPr>
                  <w:tcW w:w="1010" w:type="dxa"/>
                  <w:tcBorders/>
                </w:tcPr>
                <w:p>
                  <w:pPr>
                    <w:pStyle w:val="Compact"/>
                    <w:spacing w:before="36" w:after="36"/>
                    <w:jc w:val="center"/>
                    <w:rPr/>
                  </w:pPr>
                  <w:r>
                    <w:rPr/>
                    <w:t>424.61</w:t>
                  </w:r>
                </w:p>
              </w:tc>
              <w:tc>
                <w:tcPr>
                  <w:tcW w:w="1123" w:type="dxa"/>
                  <w:tcBorders/>
                </w:tcPr>
                <w:p>
                  <w:pPr>
                    <w:pStyle w:val="Compact"/>
                    <w:spacing w:before="36" w:after="36"/>
                    <w:jc w:val="center"/>
                    <w:rPr/>
                  </w:pPr>
                  <w:r>
                    <w:rPr/>
                    <w:t>20966.37</w:t>
                  </w:r>
                </w:p>
              </w:tc>
              <w:tc>
                <w:tcPr>
                  <w:tcW w:w="1233" w:type="dxa"/>
                  <w:tcBorders/>
                </w:tcPr>
                <w:p>
                  <w:pPr>
                    <w:pStyle w:val="Compact"/>
                    <w:spacing w:before="36" w:after="36"/>
                    <w:jc w:val="center"/>
                    <w:rPr/>
                  </w:pPr>
                  <w:r>
                    <w:rPr/>
                    <w:t>21390.98</w:t>
                  </w:r>
                </w:p>
              </w:tc>
              <w:tc>
                <w:tcPr>
                  <w:tcW w:w="1909" w:type="dxa"/>
                  <w:tcBorders/>
                </w:tcPr>
                <w:p>
                  <w:pPr>
                    <w:pStyle w:val="Compact"/>
                    <w:spacing w:before="36" w:after="36"/>
                    <w:jc w:val="center"/>
                    <w:rPr/>
                  </w:pPr>
                  <w:r>
                    <w:rPr/>
                    <w:t>25.53</w:t>
                  </w:r>
                </w:p>
              </w:tc>
              <w:tc>
                <w:tcPr>
                  <w:tcW w:w="1910" w:type="dxa"/>
                  <w:tcBorders/>
                </w:tcPr>
                <w:p>
                  <w:pPr>
                    <w:pStyle w:val="Compact"/>
                    <w:spacing w:before="36" w:after="36"/>
                    <w:jc w:val="center"/>
                    <w:rPr/>
                  </w:pPr>
                  <w:r>
                    <w:rPr/>
                    <w:t>2881.69</w:t>
                  </w:r>
                </w:p>
              </w:tc>
              <w:tc>
                <w:tcPr>
                  <w:tcW w:w="2132" w:type="dxa"/>
                  <w:tcBorders/>
                </w:tcPr>
                <w:p>
                  <w:pPr>
                    <w:pStyle w:val="Compact"/>
                    <w:spacing w:before="36" w:after="36"/>
                    <w:jc w:val="center"/>
                    <w:rPr/>
                  </w:pPr>
                  <w:r>
                    <w:rPr/>
                    <w:t>2907.23</w:t>
                  </w:r>
                </w:p>
              </w:tc>
            </w:tr>
            <w:tr>
              <w:trPr/>
              <w:tc>
                <w:tcPr>
                  <w:tcW w:w="672" w:type="dxa"/>
                  <w:tcBorders/>
                </w:tcPr>
                <w:p>
                  <w:pPr>
                    <w:pStyle w:val="Compact"/>
                    <w:spacing w:before="36" w:after="36"/>
                    <w:jc w:val="center"/>
                    <w:rPr/>
                  </w:pPr>
                  <w:r>
                    <w:rPr/>
                    <w:t>2014</w:t>
                  </w:r>
                </w:p>
              </w:tc>
              <w:tc>
                <w:tcPr>
                  <w:tcW w:w="1010" w:type="dxa"/>
                  <w:tcBorders/>
                </w:tcPr>
                <w:p>
                  <w:pPr>
                    <w:pStyle w:val="Compact"/>
                    <w:spacing w:before="36" w:after="36"/>
                    <w:jc w:val="center"/>
                    <w:rPr/>
                  </w:pPr>
                  <w:r>
                    <w:rPr/>
                    <w:t>0.00</w:t>
                  </w:r>
                </w:p>
              </w:tc>
              <w:tc>
                <w:tcPr>
                  <w:tcW w:w="1123" w:type="dxa"/>
                  <w:tcBorders/>
                </w:tcPr>
                <w:p>
                  <w:pPr>
                    <w:pStyle w:val="Compact"/>
                    <w:spacing w:before="36" w:after="36"/>
                    <w:jc w:val="center"/>
                    <w:rPr/>
                  </w:pPr>
                  <w:r>
                    <w:rPr/>
                    <w:t>7764.04</w:t>
                  </w:r>
                </w:p>
              </w:tc>
              <w:tc>
                <w:tcPr>
                  <w:tcW w:w="1233" w:type="dxa"/>
                  <w:tcBorders/>
                </w:tcPr>
                <w:p>
                  <w:pPr>
                    <w:pStyle w:val="Compact"/>
                    <w:spacing w:before="36" w:after="36"/>
                    <w:jc w:val="center"/>
                    <w:rPr/>
                  </w:pPr>
                  <w:r>
                    <w:rPr/>
                    <w:t>7764.04</w:t>
                  </w:r>
                </w:p>
              </w:tc>
              <w:tc>
                <w:tcPr>
                  <w:tcW w:w="1909" w:type="dxa"/>
                  <w:tcBorders/>
                </w:tcPr>
                <w:p>
                  <w:pPr>
                    <w:pStyle w:val="Compact"/>
                    <w:spacing w:before="36" w:after="36"/>
                    <w:jc w:val="center"/>
                    <w:rPr/>
                  </w:pPr>
                  <w:r>
                    <w:rPr/>
                    <w:t>0.00</w:t>
                  </w:r>
                </w:p>
              </w:tc>
              <w:tc>
                <w:tcPr>
                  <w:tcW w:w="1910" w:type="dxa"/>
                  <w:tcBorders/>
                </w:tcPr>
                <w:p>
                  <w:pPr>
                    <w:pStyle w:val="Compact"/>
                    <w:spacing w:before="36" w:after="36"/>
                    <w:jc w:val="center"/>
                    <w:rPr/>
                  </w:pPr>
                  <w:r>
                    <w:rPr/>
                    <w:t>1067.12</w:t>
                  </w:r>
                </w:p>
              </w:tc>
              <w:tc>
                <w:tcPr>
                  <w:tcW w:w="2132" w:type="dxa"/>
                  <w:tcBorders/>
                </w:tcPr>
                <w:p>
                  <w:pPr>
                    <w:pStyle w:val="Compact"/>
                    <w:spacing w:before="36" w:after="36"/>
                    <w:jc w:val="center"/>
                    <w:rPr/>
                  </w:pPr>
                  <w:r>
                    <w:rPr/>
                    <w:t>1067.12</w:t>
                  </w:r>
                </w:p>
              </w:tc>
            </w:tr>
            <w:tr>
              <w:trPr/>
              <w:tc>
                <w:tcPr>
                  <w:tcW w:w="672" w:type="dxa"/>
                  <w:tcBorders/>
                </w:tcPr>
                <w:p>
                  <w:pPr>
                    <w:pStyle w:val="Compact"/>
                    <w:spacing w:before="36" w:after="36"/>
                    <w:jc w:val="center"/>
                    <w:rPr/>
                  </w:pPr>
                  <w:r>
                    <w:rPr/>
                    <w:t>2015</w:t>
                  </w:r>
                </w:p>
              </w:tc>
              <w:tc>
                <w:tcPr>
                  <w:tcW w:w="1010" w:type="dxa"/>
                  <w:tcBorders/>
                </w:tcPr>
                <w:p>
                  <w:pPr>
                    <w:pStyle w:val="Compact"/>
                    <w:spacing w:before="36" w:after="36"/>
                    <w:jc w:val="center"/>
                    <w:rPr/>
                  </w:pPr>
                  <w:r>
                    <w:rPr/>
                    <w:t>779.77</w:t>
                  </w:r>
                </w:p>
              </w:tc>
              <w:tc>
                <w:tcPr>
                  <w:tcW w:w="1123" w:type="dxa"/>
                  <w:tcBorders/>
                </w:tcPr>
                <w:p>
                  <w:pPr>
                    <w:pStyle w:val="Compact"/>
                    <w:spacing w:before="36" w:after="36"/>
                    <w:jc w:val="center"/>
                    <w:rPr/>
                  </w:pPr>
                  <w:r>
                    <w:rPr/>
                    <w:t>6654.03</w:t>
                  </w:r>
                </w:p>
              </w:tc>
              <w:tc>
                <w:tcPr>
                  <w:tcW w:w="1233" w:type="dxa"/>
                  <w:tcBorders/>
                </w:tcPr>
                <w:p>
                  <w:pPr>
                    <w:pStyle w:val="Compact"/>
                    <w:spacing w:before="36" w:after="36"/>
                    <w:jc w:val="center"/>
                    <w:rPr/>
                  </w:pPr>
                  <w:r>
                    <w:rPr/>
                    <w:t>7433.80</w:t>
                  </w:r>
                </w:p>
              </w:tc>
              <w:tc>
                <w:tcPr>
                  <w:tcW w:w="1909" w:type="dxa"/>
                  <w:tcBorders/>
                </w:tcPr>
                <w:p>
                  <w:pPr>
                    <w:pStyle w:val="Compact"/>
                    <w:spacing w:before="36" w:after="36"/>
                    <w:jc w:val="center"/>
                    <w:rPr/>
                  </w:pPr>
                  <w:r>
                    <w:rPr/>
                    <w:t>46.89</w:t>
                  </w:r>
                </w:p>
              </w:tc>
              <w:tc>
                <w:tcPr>
                  <w:tcW w:w="1910" w:type="dxa"/>
                  <w:tcBorders/>
                </w:tcPr>
                <w:p>
                  <w:pPr>
                    <w:pStyle w:val="Compact"/>
                    <w:spacing w:before="36" w:after="36"/>
                    <w:jc w:val="center"/>
                    <w:rPr/>
                  </w:pPr>
                  <w:r>
                    <w:rPr/>
                    <w:t>914.55</w:t>
                  </w:r>
                </w:p>
              </w:tc>
              <w:tc>
                <w:tcPr>
                  <w:tcW w:w="2132" w:type="dxa"/>
                  <w:tcBorders/>
                </w:tcPr>
                <w:p>
                  <w:pPr>
                    <w:pStyle w:val="Compact"/>
                    <w:spacing w:before="36" w:after="36"/>
                    <w:jc w:val="center"/>
                    <w:rPr/>
                  </w:pPr>
                  <w:r>
                    <w:rPr/>
                    <w:t>961.45</w:t>
                  </w:r>
                </w:p>
              </w:tc>
            </w:tr>
            <w:tr>
              <w:trPr/>
              <w:tc>
                <w:tcPr>
                  <w:tcW w:w="672" w:type="dxa"/>
                  <w:tcBorders/>
                </w:tcPr>
                <w:p>
                  <w:pPr>
                    <w:pStyle w:val="Compact"/>
                    <w:spacing w:before="36" w:after="36"/>
                    <w:jc w:val="center"/>
                    <w:rPr/>
                  </w:pPr>
                  <w:r>
                    <w:rPr/>
                    <w:t>2016</w:t>
                  </w:r>
                </w:p>
              </w:tc>
              <w:tc>
                <w:tcPr>
                  <w:tcW w:w="1010" w:type="dxa"/>
                  <w:tcBorders/>
                </w:tcPr>
                <w:p>
                  <w:pPr>
                    <w:pStyle w:val="Compact"/>
                    <w:spacing w:before="36" w:after="36"/>
                    <w:jc w:val="center"/>
                    <w:rPr/>
                  </w:pPr>
                  <w:r>
                    <w:rPr/>
                    <w:t>812.53</w:t>
                  </w:r>
                </w:p>
              </w:tc>
              <w:tc>
                <w:tcPr>
                  <w:tcW w:w="1123" w:type="dxa"/>
                  <w:tcBorders/>
                </w:tcPr>
                <w:p>
                  <w:pPr>
                    <w:pStyle w:val="Compact"/>
                    <w:spacing w:before="36" w:after="36"/>
                    <w:jc w:val="center"/>
                    <w:rPr/>
                  </w:pPr>
                  <w:r>
                    <w:rPr/>
                    <w:t>4770.60</w:t>
                  </w:r>
                </w:p>
              </w:tc>
              <w:tc>
                <w:tcPr>
                  <w:tcW w:w="1233" w:type="dxa"/>
                  <w:tcBorders/>
                </w:tcPr>
                <w:p>
                  <w:pPr>
                    <w:pStyle w:val="Compact"/>
                    <w:spacing w:before="36" w:after="36"/>
                    <w:jc w:val="center"/>
                    <w:rPr/>
                  </w:pPr>
                  <w:r>
                    <w:rPr/>
                    <w:t>5583.13</w:t>
                  </w:r>
                </w:p>
              </w:tc>
              <w:tc>
                <w:tcPr>
                  <w:tcW w:w="1909" w:type="dxa"/>
                  <w:tcBorders/>
                </w:tcPr>
                <w:p>
                  <w:pPr>
                    <w:pStyle w:val="Compact"/>
                    <w:spacing w:before="36" w:after="36"/>
                    <w:jc w:val="center"/>
                    <w:rPr/>
                  </w:pPr>
                  <w:r>
                    <w:rPr/>
                    <w:t>48.86</w:t>
                  </w:r>
                </w:p>
              </w:tc>
              <w:tc>
                <w:tcPr>
                  <w:tcW w:w="1910" w:type="dxa"/>
                  <w:tcBorders/>
                </w:tcPr>
                <w:p>
                  <w:pPr>
                    <w:pStyle w:val="Compact"/>
                    <w:spacing w:before="36" w:after="36"/>
                    <w:jc w:val="center"/>
                    <w:rPr/>
                  </w:pPr>
                  <w:r>
                    <w:rPr/>
                    <w:t>655.69</w:t>
                  </w:r>
                </w:p>
              </w:tc>
              <w:tc>
                <w:tcPr>
                  <w:tcW w:w="2132" w:type="dxa"/>
                  <w:tcBorders/>
                </w:tcPr>
                <w:p>
                  <w:pPr>
                    <w:pStyle w:val="Compact"/>
                    <w:spacing w:before="36" w:after="36"/>
                    <w:jc w:val="center"/>
                    <w:rPr/>
                  </w:pPr>
                  <w:r>
                    <w:rPr/>
                    <w:t>704.55</w:t>
                  </w:r>
                </w:p>
              </w:tc>
            </w:tr>
            <w:tr>
              <w:trPr/>
              <w:tc>
                <w:tcPr>
                  <w:tcW w:w="672" w:type="dxa"/>
                  <w:tcBorders/>
                </w:tcPr>
                <w:p>
                  <w:pPr>
                    <w:pStyle w:val="Compact"/>
                    <w:spacing w:before="36" w:after="36"/>
                    <w:jc w:val="center"/>
                    <w:rPr/>
                  </w:pPr>
                  <w:r>
                    <w:rPr/>
                    <w:t>2017</w:t>
                  </w:r>
                </w:p>
              </w:tc>
              <w:tc>
                <w:tcPr>
                  <w:tcW w:w="1010" w:type="dxa"/>
                  <w:tcBorders/>
                </w:tcPr>
                <w:p>
                  <w:pPr>
                    <w:pStyle w:val="Compact"/>
                    <w:spacing w:before="36" w:after="36"/>
                    <w:jc w:val="center"/>
                    <w:rPr/>
                  </w:pPr>
                  <w:r>
                    <w:rPr/>
                    <w:t>3252.01</w:t>
                  </w:r>
                </w:p>
              </w:tc>
              <w:tc>
                <w:tcPr>
                  <w:tcW w:w="1123" w:type="dxa"/>
                  <w:tcBorders/>
                </w:tcPr>
                <w:p>
                  <w:pPr>
                    <w:pStyle w:val="Compact"/>
                    <w:spacing w:before="36" w:after="36"/>
                    <w:jc w:val="center"/>
                    <w:rPr/>
                  </w:pPr>
                  <w:r>
                    <w:rPr/>
                    <w:t>10323.29</w:t>
                  </w:r>
                </w:p>
              </w:tc>
              <w:tc>
                <w:tcPr>
                  <w:tcW w:w="1233" w:type="dxa"/>
                  <w:tcBorders/>
                </w:tcPr>
                <w:p>
                  <w:pPr>
                    <w:pStyle w:val="Compact"/>
                    <w:spacing w:before="36" w:after="36"/>
                    <w:jc w:val="center"/>
                    <w:rPr/>
                  </w:pPr>
                  <w:r>
                    <w:rPr/>
                    <w:t>13575.30</w:t>
                  </w:r>
                </w:p>
              </w:tc>
              <w:tc>
                <w:tcPr>
                  <w:tcW w:w="1909" w:type="dxa"/>
                  <w:tcBorders/>
                </w:tcPr>
                <w:p>
                  <w:pPr>
                    <w:pStyle w:val="Compact"/>
                    <w:spacing w:before="36" w:after="36"/>
                    <w:jc w:val="center"/>
                    <w:rPr/>
                  </w:pPr>
                  <w:r>
                    <w:rPr/>
                    <w:t>195.56</w:t>
                  </w:r>
                </w:p>
              </w:tc>
              <w:tc>
                <w:tcPr>
                  <w:tcW w:w="1910" w:type="dxa"/>
                  <w:tcBorders/>
                </w:tcPr>
                <w:p>
                  <w:pPr>
                    <w:pStyle w:val="Compact"/>
                    <w:spacing w:before="36" w:after="36"/>
                    <w:jc w:val="center"/>
                    <w:rPr/>
                  </w:pPr>
                  <w:r>
                    <w:rPr/>
                    <w:t>1418.87</w:t>
                  </w:r>
                </w:p>
              </w:tc>
              <w:tc>
                <w:tcPr>
                  <w:tcW w:w="2132" w:type="dxa"/>
                  <w:tcBorders/>
                </w:tcPr>
                <w:p>
                  <w:pPr>
                    <w:pStyle w:val="Compact"/>
                    <w:spacing w:before="36" w:after="36"/>
                    <w:jc w:val="center"/>
                    <w:rPr/>
                  </w:pPr>
                  <w:r>
                    <w:rPr/>
                    <w:t>1614.43</w:t>
                  </w:r>
                </w:p>
              </w:tc>
            </w:tr>
            <w:tr>
              <w:trPr/>
              <w:tc>
                <w:tcPr>
                  <w:tcW w:w="672" w:type="dxa"/>
                  <w:tcBorders/>
                </w:tcPr>
                <w:p>
                  <w:pPr>
                    <w:pStyle w:val="Compact"/>
                    <w:spacing w:before="36" w:after="36"/>
                    <w:jc w:val="center"/>
                    <w:rPr/>
                  </w:pPr>
                  <w:r>
                    <w:rPr/>
                    <w:t>2018</w:t>
                  </w:r>
                </w:p>
              </w:tc>
              <w:tc>
                <w:tcPr>
                  <w:tcW w:w="1010" w:type="dxa"/>
                  <w:tcBorders/>
                </w:tcPr>
                <w:p>
                  <w:pPr>
                    <w:pStyle w:val="Compact"/>
                    <w:spacing w:before="36" w:after="36"/>
                    <w:jc w:val="center"/>
                    <w:rPr/>
                  </w:pPr>
                  <w:r>
                    <w:rPr/>
                    <w:t>232.30</w:t>
                  </w:r>
                </w:p>
              </w:tc>
              <w:tc>
                <w:tcPr>
                  <w:tcW w:w="1123" w:type="dxa"/>
                  <w:tcBorders/>
                </w:tcPr>
                <w:p>
                  <w:pPr>
                    <w:pStyle w:val="Compact"/>
                    <w:spacing w:before="36" w:after="36"/>
                    <w:jc w:val="center"/>
                    <w:rPr/>
                  </w:pPr>
                  <w:r>
                    <w:rPr/>
                    <w:t>3383.31</w:t>
                  </w:r>
                </w:p>
              </w:tc>
              <w:tc>
                <w:tcPr>
                  <w:tcW w:w="1233" w:type="dxa"/>
                  <w:tcBorders/>
                </w:tcPr>
                <w:p>
                  <w:pPr>
                    <w:pStyle w:val="Compact"/>
                    <w:spacing w:before="36" w:after="36"/>
                    <w:jc w:val="center"/>
                    <w:rPr/>
                  </w:pPr>
                  <w:r>
                    <w:rPr/>
                    <w:t>3615.61</w:t>
                  </w:r>
                </w:p>
              </w:tc>
              <w:tc>
                <w:tcPr>
                  <w:tcW w:w="1909" w:type="dxa"/>
                  <w:tcBorders/>
                </w:tcPr>
                <w:p>
                  <w:pPr>
                    <w:pStyle w:val="Compact"/>
                    <w:spacing w:before="36" w:after="36"/>
                    <w:jc w:val="center"/>
                    <w:rPr/>
                  </w:pPr>
                  <w:r>
                    <w:rPr/>
                    <w:t>13.97</w:t>
                  </w:r>
                </w:p>
              </w:tc>
              <w:tc>
                <w:tcPr>
                  <w:tcW w:w="1910" w:type="dxa"/>
                  <w:tcBorders/>
                </w:tcPr>
                <w:p>
                  <w:pPr>
                    <w:pStyle w:val="Compact"/>
                    <w:spacing w:before="36" w:after="36"/>
                    <w:jc w:val="center"/>
                    <w:rPr/>
                  </w:pPr>
                  <w:r>
                    <w:rPr/>
                    <w:t>465.01</w:t>
                  </w:r>
                </w:p>
              </w:tc>
              <w:tc>
                <w:tcPr>
                  <w:tcW w:w="2132" w:type="dxa"/>
                  <w:tcBorders/>
                </w:tcPr>
                <w:p>
                  <w:pPr>
                    <w:pStyle w:val="Compact"/>
                    <w:spacing w:before="36" w:after="36"/>
                    <w:jc w:val="center"/>
                    <w:rPr/>
                  </w:pPr>
                  <w:r>
                    <w:rPr/>
                    <w:t>478.98</w:t>
                  </w:r>
                </w:p>
              </w:tc>
            </w:tr>
            <w:tr>
              <w:trPr/>
              <w:tc>
                <w:tcPr>
                  <w:tcW w:w="672" w:type="dxa"/>
                  <w:tcBorders/>
                </w:tcPr>
                <w:p>
                  <w:pPr>
                    <w:pStyle w:val="Compact"/>
                    <w:spacing w:before="36" w:after="36"/>
                    <w:jc w:val="center"/>
                    <w:rPr/>
                  </w:pPr>
                  <w:r>
                    <w:rPr/>
                    <w:t>2019</w:t>
                  </w:r>
                </w:p>
              </w:tc>
              <w:tc>
                <w:tcPr>
                  <w:tcW w:w="1010" w:type="dxa"/>
                  <w:tcBorders/>
                </w:tcPr>
                <w:p>
                  <w:pPr>
                    <w:pStyle w:val="Compact"/>
                    <w:spacing w:before="36" w:after="36"/>
                    <w:jc w:val="center"/>
                    <w:rPr/>
                  </w:pPr>
                  <w:r>
                    <w:rPr/>
                    <w:t>0.00</w:t>
                  </w:r>
                </w:p>
              </w:tc>
              <w:tc>
                <w:tcPr>
                  <w:tcW w:w="1123" w:type="dxa"/>
                  <w:tcBorders/>
                </w:tcPr>
                <w:p>
                  <w:pPr>
                    <w:pStyle w:val="Compact"/>
                    <w:spacing w:before="36" w:after="36"/>
                    <w:jc w:val="center"/>
                    <w:rPr/>
                  </w:pPr>
                  <w:r>
                    <w:rPr/>
                    <w:t>108099.71</w:t>
                  </w:r>
                </w:p>
              </w:tc>
              <w:tc>
                <w:tcPr>
                  <w:tcW w:w="1233" w:type="dxa"/>
                  <w:tcBorders/>
                </w:tcPr>
                <w:p>
                  <w:pPr>
                    <w:pStyle w:val="Compact"/>
                    <w:spacing w:before="36" w:after="36"/>
                    <w:jc w:val="center"/>
                    <w:rPr/>
                  </w:pPr>
                  <w:r>
                    <w:rPr/>
                    <w:t>108099.71</w:t>
                  </w:r>
                </w:p>
              </w:tc>
              <w:tc>
                <w:tcPr>
                  <w:tcW w:w="1909" w:type="dxa"/>
                  <w:tcBorders/>
                </w:tcPr>
                <w:p>
                  <w:pPr>
                    <w:pStyle w:val="Compact"/>
                    <w:spacing w:before="36" w:after="36"/>
                    <w:jc w:val="center"/>
                    <w:rPr/>
                  </w:pPr>
                  <w:r>
                    <w:rPr/>
                    <w:t>0.00</w:t>
                  </w:r>
                </w:p>
              </w:tc>
              <w:tc>
                <w:tcPr>
                  <w:tcW w:w="1910" w:type="dxa"/>
                  <w:tcBorders/>
                </w:tcPr>
                <w:p>
                  <w:pPr>
                    <w:pStyle w:val="Compact"/>
                    <w:spacing w:before="36" w:after="36"/>
                    <w:jc w:val="center"/>
                    <w:rPr/>
                  </w:pPr>
                  <w:r>
                    <w:rPr/>
                    <w:t>14857.61</w:t>
                  </w:r>
                </w:p>
              </w:tc>
              <w:tc>
                <w:tcPr>
                  <w:tcW w:w="2132" w:type="dxa"/>
                  <w:tcBorders/>
                </w:tcPr>
                <w:p>
                  <w:pPr>
                    <w:pStyle w:val="Compact"/>
                    <w:spacing w:before="36" w:after="36"/>
                    <w:jc w:val="center"/>
                    <w:rPr/>
                  </w:pPr>
                  <w:r>
                    <w:rPr/>
                    <w:t>14857.61</w:t>
                  </w:r>
                </w:p>
              </w:tc>
            </w:tr>
            <w:tr>
              <w:trPr/>
              <w:tc>
                <w:tcPr>
                  <w:tcW w:w="672" w:type="dxa"/>
                  <w:tcBorders/>
                </w:tcPr>
                <w:p>
                  <w:pPr>
                    <w:pStyle w:val="Compact"/>
                    <w:spacing w:before="36" w:after="36"/>
                    <w:jc w:val="center"/>
                    <w:rPr/>
                  </w:pPr>
                  <w:r>
                    <w:rPr/>
                    <w:t>2020</w:t>
                  </w:r>
                </w:p>
              </w:tc>
              <w:tc>
                <w:tcPr>
                  <w:tcW w:w="1010" w:type="dxa"/>
                  <w:tcBorders/>
                </w:tcPr>
                <w:p>
                  <w:pPr>
                    <w:pStyle w:val="Compact"/>
                    <w:spacing w:before="36" w:after="36"/>
                    <w:jc w:val="center"/>
                    <w:rPr/>
                  </w:pPr>
                  <w:r>
                    <w:rPr/>
                    <w:t>3797.26</w:t>
                  </w:r>
                </w:p>
              </w:tc>
              <w:tc>
                <w:tcPr>
                  <w:tcW w:w="1123" w:type="dxa"/>
                  <w:tcBorders/>
                </w:tcPr>
                <w:p>
                  <w:pPr>
                    <w:pStyle w:val="Compact"/>
                    <w:spacing w:before="36" w:after="36"/>
                    <w:jc w:val="center"/>
                    <w:rPr/>
                  </w:pPr>
                  <w:r>
                    <w:rPr/>
                    <w:t>44667.65</w:t>
                  </w:r>
                </w:p>
              </w:tc>
              <w:tc>
                <w:tcPr>
                  <w:tcW w:w="1233" w:type="dxa"/>
                  <w:tcBorders/>
                </w:tcPr>
                <w:p>
                  <w:pPr>
                    <w:pStyle w:val="Compact"/>
                    <w:spacing w:before="36" w:after="36"/>
                    <w:jc w:val="center"/>
                    <w:rPr/>
                  </w:pPr>
                  <w:r>
                    <w:rPr/>
                    <w:t>48464.91</w:t>
                  </w:r>
                </w:p>
              </w:tc>
              <w:tc>
                <w:tcPr>
                  <w:tcW w:w="1909" w:type="dxa"/>
                  <w:tcBorders/>
                </w:tcPr>
                <w:p>
                  <w:pPr>
                    <w:pStyle w:val="Compact"/>
                    <w:spacing w:before="36" w:after="36"/>
                    <w:jc w:val="center"/>
                    <w:rPr/>
                  </w:pPr>
                  <w:r>
                    <w:rPr/>
                    <w:t>228.35</w:t>
                  </w:r>
                </w:p>
              </w:tc>
              <w:tc>
                <w:tcPr>
                  <w:tcW w:w="1910" w:type="dxa"/>
                  <w:tcBorders/>
                </w:tcPr>
                <w:p>
                  <w:pPr>
                    <w:pStyle w:val="Compact"/>
                    <w:spacing w:before="36" w:after="36"/>
                    <w:jc w:val="center"/>
                    <w:rPr/>
                  </w:pPr>
                  <w:r>
                    <w:rPr/>
                    <w:t>6139.28</w:t>
                  </w:r>
                </w:p>
              </w:tc>
              <w:tc>
                <w:tcPr>
                  <w:tcW w:w="2132" w:type="dxa"/>
                  <w:tcBorders/>
                </w:tcPr>
                <w:p>
                  <w:pPr>
                    <w:pStyle w:val="Compact"/>
                    <w:spacing w:before="36" w:after="36"/>
                    <w:jc w:val="center"/>
                    <w:rPr/>
                  </w:pPr>
                  <w:r>
                    <w:rPr/>
                    <w:t>6367.64</w:t>
                  </w:r>
                </w:p>
              </w:tc>
            </w:tr>
            <w:tr>
              <w:trPr/>
              <w:tc>
                <w:tcPr>
                  <w:tcW w:w="672" w:type="dxa"/>
                  <w:tcBorders/>
                </w:tcPr>
                <w:p>
                  <w:pPr>
                    <w:pStyle w:val="Compact"/>
                    <w:spacing w:before="36" w:after="36"/>
                    <w:jc w:val="center"/>
                    <w:rPr/>
                  </w:pPr>
                  <w:r>
                    <w:rPr/>
                    <w:t>2021</w:t>
                  </w:r>
                </w:p>
              </w:tc>
              <w:tc>
                <w:tcPr>
                  <w:tcW w:w="1010" w:type="dxa"/>
                  <w:tcBorders/>
                </w:tcPr>
                <w:p>
                  <w:pPr>
                    <w:pStyle w:val="Compact"/>
                    <w:spacing w:before="36" w:after="36"/>
                    <w:jc w:val="center"/>
                    <w:rPr/>
                  </w:pPr>
                  <w:r>
                    <w:rPr/>
                    <w:t>1430.74</w:t>
                  </w:r>
                </w:p>
              </w:tc>
              <w:tc>
                <w:tcPr>
                  <w:tcW w:w="1123" w:type="dxa"/>
                  <w:tcBorders/>
                </w:tcPr>
                <w:p>
                  <w:pPr>
                    <w:pStyle w:val="Compact"/>
                    <w:spacing w:before="36" w:after="36"/>
                    <w:jc w:val="center"/>
                    <w:rPr/>
                  </w:pPr>
                  <w:r>
                    <w:rPr/>
                    <w:t>163813.08</w:t>
                  </w:r>
                </w:p>
              </w:tc>
              <w:tc>
                <w:tcPr>
                  <w:tcW w:w="1233" w:type="dxa"/>
                  <w:tcBorders/>
                </w:tcPr>
                <w:p>
                  <w:pPr>
                    <w:pStyle w:val="Compact"/>
                    <w:spacing w:before="36" w:after="36"/>
                    <w:jc w:val="center"/>
                    <w:rPr/>
                  </w:pPr>
                  <w:r>
                    <w:rPr/>
                    <w:t>165243.81</w:t>
                  </w:r>
                </w:p>
              </w:tc>
              <w:tc>
                <w:tcPr>
                  <w:tcW w:w="1909" w:type="dxa"/>
                  <w:tcBorders/>
                </w:tcPr>
                <w:p>
                  <w:pPr>
                    <w:pStyle w:val="Compact"/>
                    <w:spacing w:before="36" w:after="36"/>
                    <w:jc w:val="center"/>
                    <w:rPr/>
                  </w:pPr>
                  <w:r>
                    <w:rPr/>
                    <w:t>86.04</w:t>
                  </w:r>
                </w:p>
              </w:tc>
              <w:tc>
                <w:tcPr>
                  <w:tcW w:w="1910" w:type="dxa"/>
                  <w:tcBorders/>
                </w:tcPr>
                <w:p>
                  <w:pPr>
                    <w:pStyle w:val="Compact"/>
                    <w:spacing w:before="36" w:after="36"/>
                    <w:jc w:val="center"/>
                    <w:rPr/>
                  </w:pPr>
                  <w:r>
                    <w:rPr/>
                    <w:t>22515.05</w:t>
                  </w:r>
                </w:p>
              </w:tc>
              <w:tc>
                <w:tcPr>
                  <w:tcW w:w="2132" w:type="dxa"/>
                  <w:tcBorders/>
                </w:tcPr>
                <w:p>
                  <w:pPr>
                    <w:pStyle w:val="Compact"/>
                    <w:spacing w:before="36" w:after="36"/>
                    <w:jc w:val="center"/>
                    <w:rPr/>
                  </w:pPr>
                  <w:r>
                    <w:rPr/>
                    <w:t>22601.09</w:t>
                  </w:r>
                </w:p>
              </w:tc>
            </w:tr>
            <w:tr>
              <w:trPr/>
              <w:tc>
                <w:tcPr>
                  <w:tcW w:w="672" w:type="dxa"/>
                  <w:tcBorders/>
                </w:tcPr>
                <w:p>
                  <w:pPr>
                    <w:pStyle w:val="Compact"/>
                    <w:spacing w:before="36" w:after="36"/>
                    <w:jc w:val="center"/>
                    <w:rPr/>
                  </w:pPr>
                  <w:r>
                    <w:rPr/>
                    <w:t>2022</w:t>
                  </w:r>
                </w:p>
              </w:tc>
              <w:tc>
                <w:tcPr>
                  <w:tcW w:w="1010" w:type="dxa"/>
                  <w:tcBorders/>
                </w:tcPr>
                <w:p>
                  <w:pPr>
                    <w:pStyle w:val="Compact"/>
                    <w:spacing w:before="36" w:after="36"/>
                    <w:jc w:val="center"/>
                    <w:rPr/>
                  </w:pPr>
                  <w:r>
                    <w:rPr/>
                    <w:t>45577.85</w:t>
                  </w:r>
                </w:p>
              </w:tc>
              <w:tc>
                <w:tcPr>
                  <w:tcW w:w="1123" w:type="dxa"/>
                  <w:tcBorders/>
                </w:tcPr>
                <w:p>
                  <w:pPr>
                    <w:pStyle w:val="Compact"/>
                    <w:spacing w:before="36" w:after="36"/>
                    <w:jc w:val="center"/>
                    <w:rPr/>
                  </w:pPr>
                  <w:r>
                    <w:rPr/>
                    <w:t>32884.47</w:t>
                  </w:r>
                </w:p>
              </w:tc>
              <w:tc>
                <w:tcPr>
                  <w:tcW w:w="1233" w:type="dxa"/>
                  <w:tcBorders/>
                </w:tcPr>
                <w:p>
                  <w:pPr>
                    <w:pStyle w:val="Compact"/>
                    <w:spacing w:before="36" w:after="36"/>
                    <w:jc w:val="center"/>
                    <w:rPr/>
                  </w:pPr>
                  <w:r>
                    <w:rPr/>
                    <w:t>78462.33</w:t>
                  </w:r>
                </w:p>
              </w:tc>
              <w:tc>
                <w:tcPr>
                  <w:tcW w:w="1909" w:type="dxa"/>
                  <w:tcBorders/>
                </w:tcPr>
                <w:p>
                  <w:pPr>
                    <w:pStyle w:val="Compact"/>
                    <w:spacing w:before="36" w:after="36"/>
                    <w:jc w:val="center"/>
                    <w:rPr/>
                  </w:pPr>
                  <w:r>
                    <w:rPr/>
                    <w:t>2740.89</w:t>
                  </w:r>
                </w:p>
              </w:tc>
              <w:tc>
                <w:tcPr>
                  <w:tcW w:w="1910" w:type="dxa"/>
                  <w:tcBorders/>
                </w:tcPr>
                <w:p>
                  <w:pPr>
                    <w:pStyle w:val="Compact"/>
                    <w:spacing w:before="36" w:after="36"/>
                    <w:jc w:val="center"/>
                    <w:rPr/>
                  </w:pPr>
                  <w:r>
                    <w:rPr/>
                    <w:t>4519.76</w:t>
                  </w:r>
                </w:p>
              </w:tc>
              <w:tc>
                <w:tcPr>
                  <w:tcW w:w="2132" w:type="dxa"/>
                  <w:tcBorders/>
                </w:tcPr>
                <w:p>
                  <w:pPr>
                    <w:pStyle w:val="Compact"/>
                    <w:spacing w:before="36" w:after="36"/>
                    <w:jc w:val="center"/>
                    <w:rPr/>
                  </w:pPr>
                  <w:r>
                    <w:rPr/>
                    <w:t>7260.65</w:t>
                  </w:r>
                </w:p>
              </w:tc>
            </w:tr>
            <w:tr>
              <w:trPr/>
              <w:tc>
                <w:tcPr>
                  <w:tcW w:w="672" w:type="dxa"/>
                  <w:tcBorders/>
                </w:tcPr>
                <w:p>
                  <w:pPr>
                    <w:pStyle w:val="Compact"/>
                    <w:spacing w:before="36" w:after="36"/>
                    <w:jc w:val="center"/>
                    <w:rPr/>
                  </w:pPr>
                  <w:r>
                    <w:rPr/>
                    <w:t>2023</w:t>
                  </w:r>
                </w:p>
              </w:tc>
              <w:tc>
                <w:tcPr>
                  <w:tcW w:w="1010" w:type="dxa"/>
                  <w:tcBorders/>
                </w:tcPr>
                <w:p>
                  <w:pPr>
                    <w:pStyle w:val="Compact"/>
                    <w:spacing w:before="36" w:after="36"/>
                    <w:jc w:val="center"/>
                    <w:rPr/>
                  </w:pPr>
                  <w:r>
                    <w:rPr/>
                    <w:t>0.00</w:t>
                  </w:r>
                </w:p>
              </w:tc>
              <w:tc>
                <w:tcPr>
                  <w:tcW w:w="1123" w:type="dxa"/>
                  <w:tcBorders/>
                </w:tcPr>
                <w:p>
                  <w:pPr>
                    <w:pStyle w:val="Compact"/>
                    <w:spacing w:before="36" w:after="36"/>
                    <w:jc w:val="center"/>
                    <w:rPr/>
                  </w:pPr>
                  <w:r>
                    <w:rPr/>
                    <w:t>134373.11</w:t>
                  </w:r>
                </w:p>
              </w:tc>
              <w:tc>
                <w:tcPr>
                  <w:tcW w:w="1233" w:type="dxa"/>
                  <w:tcBorders/>
                </w:tcPr>
                <w:p>
                  <w:pPr>
                    <w:pStyle w:val="Compact"/>
                    <w:spacing w:before="36" w:after="36"/>
                    <w:jc w:val="center"/>
                    <w:rPr/>
                  </w:pPr>
                  <w:r>
                    <w:rPr/>
                    <w:t>134373.11</w:t>
                  </w:r>
                </w:p>
              </w:tc>
              <w:tc>
                <w:tcPr>
                  <w:tcW w:w="1909" w:type="dxa"/>
                  <w:tcBorders/>
                </w:tcPr>
                <w:p>
                  <w:pPr>
                    <w:pStyle w:val="Compact"/>
                    <w:spacing w:before="36" w:after="36"/>
                    <w:jc w:val="center"/>
                    <w:rPr/>
                  </w:pPr>
                  <w:r>
                    <w:rPr/>
                    <w:t>0.00</w:t>
                  </w:r>
                </w:p>
              </w:tc>
              <w:tc>
                <w:tcPr>
                  <w:tcW w:w="1910" w:type="dxa"/>
                  <w:tcBorders/>
                </w:tcPr>
                <w:p>
                  <w:pPr>
                    <w:pStyle w:val="Compact"/>
                    <w:spacing w:before="36" w:after="36"/>
                    <w:jc w:val="center"/>
                    <w:rPr/>
                  </w:pPr>
                  <w:r>
                    <w:rPr/>
                    <w:t>18468.72</w:t>
                  </w:r>
                </w:p>
              </w:tc>
              <w:tc>
                <w:tcPr>
                  <w:tcW w:w="2132" w:type="dxa"/>
                  <w:tcBorders/>
                </w:tcPr>
                <w:p>
                  <w:pPr>
                    <w:pStyle w:val="Compact"/>
                    <w:spacing w:before="36" w:after="36"/>
                    <w:jc w:val="center"/>
                    <w:rPr/>
                  </w:pPr>
                  <w:r>
                    <w:rPr/>
                    <w:t>18468.72</w:t>
                  </w:r>
                </w:p>
              </w:tc>
            </w:tr>
            <w:tr>
              <w:trPr/>
              <w:tc>
                <w:tcPr>
                  <w:tcW w:w="672" w:type="dxa"/>
                  <w:tcBorders/>
                </w:tcPr>
                <w:p>
                  <w:pPr>
                    <w:pStyle w:val="Compact"/>
                    <w:spacing w:before="36" w:after="36"/>
                    <w:jc w:val="center"/>
                    <w:rPr/>
                  </w:pPr>
                  <w:r>
                    <w:rPr/>
                    <w:t>2024</w:t>
                  </w:r>
                </w:p>
              </w:tc>
              <w:tc>
                <w:tcPr>
                  <w:tcW w:w="1010" w:type="dxa"/>
                  <w:tcBorders/>
                </w:tcPr>
                <w:p>
                  <w:pPr>
                    <w:pStyle w:val="Compact"/>
                    <w:spacing w:before="36" w:after="36"/>
                    <w:jc w:val="center"/>
                    <w:rPr/>
                  </w:pPr>
                  <w:r>
                    <w:rPr/>
                    <w:t>7626.26</w:t>
                  </w:r>
                </w:p>
              </w:tc>
              <w:tc>
                <w:tcPr>
                  <w:tcW w:w="1123" w:type="dxa"/>
                  <w:tcBorders/>
                </w:tcPr>
                <w:p>
                  <w:pPr>
                    <w:pStyle w:val="Compact"/>
                    <w:spacing w:before="36" w:after="36"/>
                    <w:jc w:val="center"/>
                    <w:rPr/>
                  </w:pPr>
                  <w:r>
                    <w:rPr/>
                    <w:t>190729.37</w:t>
                  </w:r>
                </w:p>
              </w:tc>
              <w:tc>
                <w:tcPr>
                  <w:tcW w:w="1233" w:type="dxa"/>
                  <w:tcBorders/>
                </w:tcPr>
                <w:p>
                  <w:pPr>
                    <w:pStyle w:val="Compact"/>
                    <w:spacing w:before="36" w:after="36"/>
                    <w:jc w:val="center"/>
                    <w:rPr/>
                  </w:pPr>
                  <w:r>
                    <w:rPr/>
                    <w:t>198355.63</w:t>
                  </w:r>
                </w:p>
              </w:tc>
              <w:tc>
                <w:tcPr>
                  <w:tcW w:w="1909" w:type="dxa"/>
                  <w:tcBorders/>
                </w:tcPr>
                <w:p>
                  <w:pPr>
                    <w:pStyle w:val="Compact"/>
                    <w:spacing w:before="36" w:after="36"/>
                    <w:jc w:val="center"/>
                    <w:rPr/>
                  </w:pPr>
                  <w:r>
                    <w:rPr/>
                    <w:t>458.62</w:t>
                  </w:r>
                </w:p>
              </w:tc>
              <w:tc>
                <w:tcPr>
                  <w:tcW w:w="1910" w:type="dxa"/>
                  <w:tcBorders/>
                </w:tcPr>
                <w:p>
                  <w:pPr>
                    <w:pStyle w:val="Compact"/>
                    <w:spacing w:before="36" w:after="36"/>
                    <w:jc w:val="center"/>
                    <w:rPr/>
                  </w:pPr>
                  <w:r>
                    <w:rPr/>
                    <w:t>26214.53</w:t>
                  </w:r>
                </w:p>
              </w:tc>
              <w:tc>
                <w:tcPr>
                  <w:tcW w:w="2132" w:type="dxa"/>
                  <w:tcBorders/>
                </w:tcPr>
                <w:p>
                  <w:pPr>
                    <w:pStyle w:val="Compact"/>
                    <w:spacing w:before="36" w:after="36"/>
                    <w:jc w:val="center"/>
                    <w:rPr/>
                  </w:pPr>
                  <w:r>
                    <w:rPr/>
                    <w:t>26673.14</w:t>
                  </w:r>
                </w:p>
              </w:tc>
            </w:tr>
            <w:tr>
              <w:trPr/>
              <w:tc>
                <w:tcPr>
                  <w:tcW w:w="672" w:type="dxa"/>
                  <w:tcBorders/>
                </w:tcPr>
                <w:p>
                  <w:pPr>
                    <w:pStyle w:val="Compact"/>
                    <w:spacing w:before="36" w:after="36"/>
                    <w:jc w:val="center"/>
                    <w:rPr/>
                  </w:pPr>
                  <w:r>
                    <w:rPr/>
                    <w:t>Média</w:t>
                  </w:r>
                </w:p>
              </w:tc>
              <w:tc>
                <w:tcPr>
                  <w:tcW w:w="1010" w:type="dxa"/>
                  <w:tcBorders/>
                </w:tcPr>
                <w:p>
                  <w:pPr>
                    <w:pStyle w:val="Compact"/>
                    <w:spacing w:before="36" w:after="36"/>
                    <w:jc w:val="center"/>
                    <w:rPr/>
                  </w:pPr>
                  <w:r>
                    <w:rPr/>
                    <w:t>5327.78</w:t>
                  </w:r>
                </w:p>
              </w:tc>
              <w:tc>
                <w:tcPr>
                  <w:tcW w:w="1123" w:type="dxa"/>
                  <w:tcBorders/>
                </w:tcPr>
                <w:p>
                  <w:pPr>
                    <w:pStyle w:val="Compact"/>
                    <w:spacing w:before="36" w:after="36"/>
                    <w:jc w:val="center"/>
                    <w:rPr/>
                  </w:pPr>
                  <w:r>
                    <w:rPr/>
                    <w:t>60702.42</w:t>
                  </w:r>
                </w:p>
              </w:tc>
              <w:tc>
                <w:tcPr>
                  <w:tcW w:w="1233" w:type="dxa"/>
                  <w:tcBorders/>
                </w:tcPr>
                <w:p>
                  <w:pPr>
                    <w:pStyle w:val="Compact"/>
                    <w:spacing w:before="36" w:after="36"/>
                    <w:jc w:val="center"/>
                    <w:rPr/>
                  </w:pPr>
                  <w:r>
                    <w:rPr/>
                    <w:t>66030.20</w:t>
                  </w:r>
                </w:p>
              </w:tc>
              <w:tc>
                <w:tcPr>
                  <w:tcW w:w="1909" w:type="dxa"/>
                  <w:tcBorders/>
                </w:tcPr>
                <w:p>
                  <w:pPr>
                    <w:pStyle w:val="Compact"/>
                    <w:spacing w:before="36" w:after="36"/>
                    <w:jc w:val="center"/>
                    <w:rPr/>
                  </w:pPr>
                  <w:r>
                    <w:rPr/>
                    <w:t>320.39</w:t>
                  </w:r>
                </w:p>
              </w:tc>
              <w:tc>
                <w:tcPr>
                  <w:tcW w:w="1910" w:type="dxa"/>
                  <w:tcBorders/>
                </w:tcPr>
                <w:p>
                  <w:pPr>
                    <w:pStyle w:val="Compact"/>
                    <w:spacing w:before="36" w:after="36"/>
                    <w:jc w:val="center"/>
                    <w:rPr/>
                  </w:pPr>
                  <w:r>
                    <w:rPr/>
                    <w:t>8343.16</w:t>
                  </w:r>
                </w:p>
              </w:tc>
              <w:tc>
                <w:tcPr>
                  <w:tcW w:w="2132" w:type="dxa"/>
                  <w:tcBorders/>
                </w:tcPr>
                <w:p>
                  <w:pPr>
                    <w:pStyle w:val="Compact"/>
                    <w:spacing w:before="36" w:after="36"/>
                    <w:jc w:val="center"/>
                    <w:rPr/>
                  </w:pPr>
                  <w:r>
                    <w:rPr/>
                    <w:t>8663.55</w:t>
                  </w:r>
                </w:p>
              </w:tc>
            </w:tr>
          </w:tbl>
          <w:p>
            <w:pPr>
              <w:pStyle w:val="ImageCaption"/>
              <w:spacing w:before="200" w:after="120"/>
              <w:jc w:val="left"/>
              <w:rPr/>
            </w:pPr>
            <w:bookmarkStart w:id="95" w:name="tbl-ghg-emissions-seasons"/>
            <w:r>
              <w:rPr/>
              <w:t>Tabela 7: PEST do Rio Negro - Área queimada e emissões de GEE por estação.</w:t>
            </w:r>
            <w:bookmarkEnd w:id="95"/>
          </w:p>
        </w:tc>
      </w:tr>
    </w:tbl>
    <w:p>
      <w:pPr>
        <w:pStyle w:val="BodyText"/>
        <w:rPr/>
      </w:pPr>
      <w:r>
        <w:rPr/>
      </w:r>
    </w:p>
    <w:p>
      <w:pPr>
        <w:pStyle w:val="BodyText"/>
        <w:rPr/>
      </w:pPr>
      <w:r>
        <w:rPr/>
        <w:t xml:space="preserve">A gestão das queimadas florestais em áreas protegidas é essencial para mitigar os impactos ambientais e reduzir as emissões de gases de efeito estufa (GEE). A </w:t>
      </w:r>
      <w:hyperlink w:anchor="fig-emission-reduce">
        <w:r>
          <w:rPr>
            <w:rStyle w:val="Hyperlink"/>
          </w:rPr>
          <w:t>Figura 9</w:t>
        </w:r>
      </w:hyperlink>
      <w:r>
        <w:rPr/>
        <w:t xml:space="preserve"> ilustra a evolução da área queimada e das emissões de GEE ao longo dos anos, destacando a redução significativa desses fatores após o início do projeto.</w:t>
      </w:r>
    </w:p>
    <w:p>
      <w:pPr>
        <w:pStyle w:val="BodyText"/>
        <w:rPr/>
      </w:pPr>
      <w:r>
        <w:rPr/>
        <w:t xml:space="preserve">A partir de 2025, ano em que o projeto será implementado (marcado pela linha preta pontilhada na </w:t>
      </w:r>
      <w:hyperlink w:anchor="fig-emission-reduce">
        <w:r>
          <w:rPr>
            <w:rStyle w:val="Hyperlink"/>
          </w:rPr>
          <w:t>Figura 9</w:t>
        </w:r>
      </w:hyperlink>
      <w:r>
        <w:rPr/>
        <w:t>), observa-se uma redução significativa tanto na área queimada quanto nas emissões de GEE.</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10206"/>
      </w:tblGrid>
      <w:tr>
        <w:trPr/>
        <w:tc>
          <w:tcPr>
            <w:tcW w:w="10206" w:type="dxa"/>
            <w:tcBorders/>
          </w:tcPr>
          <w:p>
            <w:pPr>
              <w:pStyle w:val="Compact"/>
              <w:spacing w:before="36" w:after="36"/>
              <w:jc w:val="center"/>
              <w:rPr/>
            </w:pPr>
            <w:bookmarkStart w:id="96" w:name="fig-emission-reduce"/>
            <w:r>
              <w:rPr/>
              <w:drawing>
                <wp:inline distT="0" distB="0" distL="0" distR="0">
                  <wp:extent cx="4620260" cy="3696335"/>
                  <wp:effectExtent l="0" t="0" r="0" b="0"/>
                  <wp:docPr id="9"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9" descr=""/>
                          <pic:cNvPicPr>
                            <a:picLocks noChangeAspect="1" noChangeArrowheads="1"/>
                          </pic:cNvPicPr>
                        </pic:nvPicPr>
                        <pic:blipFill>
                          <a:blip r:embed="rId10"/>
                          <a:stretch>
                            <a:fillRect/>
                          </a:stretch>
                        </pic:blipFill>
                        <pic:spPr bwMode="auto">
                          <a:xfrm>
                            <a:off x="0" y="0"/>
                            <a:ext cx="4620260" cy="3696335"/>
                          </a:xfrm>
                          <a:prstGeom prst="rect">
                            <a:avLst/>
                          </a:prstGeom>
                          <a:noFill/>
                        </pic:spPr>
                      </pic:pic>
                    </a:graphicData>
                  </a:graphic>
                </wp:inline>
              </w:drawing>
            </w:r>
          </w:p>
          <w:p>
            <w:pPr>
              <w:pStyle w:val="ImageCaption"/>
              <w:spacing w:before="200" w:after="120"/>
              <w:jc w:val="left"/>
              <w:rPr/>
            </w:pPr>
            <w:bookmarkStart w:id="97" w:name="fig-emission-reduce"/>
            <w:r>
              <w:rPr/>
              <w:t>Figura 9: PEST do Rio Negro - Emissões de GEE do projeto</w:t>
            </w:r>
            <w:bookmarkEnd w:id="97"/>
          </w:p>
        </w:tc>
      </w:tr>
    </w:tbl>
    <w:p>
      <w:pPr>
        <w:pStyle w:val="BodyText"/>
        <w:rPr/>
      </w:pPr>
      <w:r>
        <w:rPr/>
        <w:t xml:space="preserve">Espera-se que a implementação estratégica do fogo controlado à escala da paisagem reduza efetivamente os incêndios de LDS em 50%, e as potenciais reduções de emissões de GEE durante os anos do projeto são estimadas em 35% da linha de base: 3032,24 tCO2-e/ano (ver </w:t>
      </w:r>
      <w:hyperlink w:anchor="fig-emission-reduce">
        <w:r>
          <w:rPr>
            <w:rStyle w:val="Hyperlink"/>
          </w:rPr>
          <w:t>Figura 9</w:t>
        </w:r>
      </w:hyperlink>
      <w:r>
        <w:rPr/>
        <w:t>).</w:t>
      </w:r>
      <w:bookmarkEnd w:id="89"/>
    </w:p>
    <w:p>
      <w:pPr>
        <w:pStyle w:val="Heading3"/>
        <w:rPr/>
      </w:pPr>
      <w:bookmarkStart w:id="98" w:name="__RefHeading___Toc6919_760125585"/>
      <w:bookmarkStart w:id="99" w:name="sec-increase-carbon-sequestration"/>
      <w:bookmarkEnd w:id="98"/>
      <w:r>
        <w:rPr/>
        <w:t>6.3 AUMENTO DA SEQUESTRO / REMOÇÃO DE CARBONO</w:t>
      </w:r>
    </w:p>
    <w:p>
      <w:pPr>
        <w:pStyle w:val="FirstParagraph"/>
        <w:rPr/>
      </w:pPr>
      <w:r>
        <w:rPr/>
        <w:t>O desenvolvimento de um projeto de Manejo Sustentável da Floresta (SFM) no Parque Estadual do Pantanal do Rio Negro (PEST do Rio Negro) é considerado viável, sendo a Área do Projeto apresenta potencial para a geração de créditos de carbono utilizando a Metodologia ISFM, devido à maior proporção e frequência de incêndios LDS.</w:t>
      </w:r>
    </w:p>
    <w:p>
      <w:pPr>
        <w:pStyle w:val="BodyText"/>
        <w:rPr/>
      </w:pPr>
      <w:r>
        <w:rPr/>
        <w:t>Como titular da terra, recomenda-se que o concessionário da GMA (ou seu representante – por exemplo, Posaidon) seja o Proponente do Projeto. Esse proponente será o responsável legal pelo projeto SFM, receberá os créditos de carbono gerados e assumirá todas as obrigações junto ao Governo do Brasil.</w:t>
      </w:r>
    </w:p>
    <w:p>
      <w:pPr>
        <w:pStyle w:val="BodyText"/>
        <w:rPr/>
      </w:pPr>
      <w:r>
        <w:rPr/>
        <w:t>A Maki é recomendada como a Desenvolvedora do Projeto, encarregada da configuração e implementação do projeto. Também será responsável pelo cumprimento de todas as obrigações da Verra necessárias para a certificação dos VCUs gerados, incluindo os seguintes componentes principais do projeto:</w:t>
      </w:r>
    </w:p>
    <w:p>
      <w:pPr>
        <w:pStyle w:val="Compact"/>
        <w:numPr>
          <w:ilvl w:val="0"/>
          <w:numId w:val="62"/>
        </w:numPr>
        <w:rPr/>
      </w:pPr>
      <w:r>
        <w:rPr>
          <w:b/>
          <w:bCs/>
        </w:rPr>
        <w:t>Desenvolvimento e Registro</w:t>
      </w:r>
      <w:r>
        <w:rPr/>
        <w:t xml:space="preserve"> – atividades necessárias para registrar o projeto na Verra.</w:t>
        <w:br/>
      </w:r>
    </w:p>
    <w:p>
      <w:pPr>
        <w:pStyle w:val="Compact"/>
        <w:numPr>
          <w:ilvl w:val="0"/>
          <w:numId w:val="63"/>
        </w:numPr>
        <w:rPr/>
      </w:pPr>
      <w:r>
        <w:rPr>
          <w:b/>
          <w:bCs/>
        </w:rPr>
        <w:t>Operações de Manejo do Fogo</w:t>
      </w:r>
      <w:r>
        <w:rPr/>
        <w:t xml:space="preserve"> – planejamento, implementação e monitoramento anual das operações de manejo do fogo.</w:t>
        <w:br/>
      </w:r>
    </w:p>
    <w:p>
      <w:pPr>
        <w:pStyle w:val="Compact"/>
        <w:numPr>
          <w:ilvl w:val="0"/>
          <w:numId w:val="64"/>
        </w:numPr>
        <w:rPr/>
      </w:pPr>
      <w:r>
        <w:rPr>
          <w:b/>
          <w:bCs/>
        </w:rPr>
        <w:t>Monitoramento, Relatórios e Verificação</w:t>
      </w:r>
      <w:r>
        <w:rPr/>
        <w:t xml:space="preserve"> – atividades essenciais para a certificação de VCUs pela Verra.</w:t>
      </w:r>
    </w:p>
    <w:p>
      <w:pPr>
        <w:pStyle w:val="FirstParagraph"/>
        <w:rPr/>
      </w:pPr>
      <w:r>
        <w:rPr/>
        <w:t>Estima-se que o desenvolvimento completo do projeto levará de 2 a 3 anos. Em 2025, recomenda-se iniciar as seguintes atividades para familiarização, conscientização e obtenção do acordo das partes interessadas sobre o desenvolvimento do projeto:</w:t>
      </w:r>
    </w:p>
    <w:p>
      <w:pPr>
        <w:pStyle w:val="Heading4"/>
        <w:rPr/>
      </w:pPr>
      <w:bookmarkStart w:id="100" w:name="Xf099607f8c9a48f841d6f89165f7b97976035f3"/>
      <w:r>
        <w:rPr/>
        <w:t>6.3.1 Coleta de Informações GIS e Desenvolvimento de Mapas</w:t>
      </w:r>
    </w:p>
    <w:p>
      <w:pPr>
        <w:pStyle w:val="FirstParagraph"/>
        <w:rPr/>
      </w:pPr>
      <w:r>
        <w:rPr/>
        <w:t>Realizar uma visita de campo em julho para dar início às seguintes atividades:</w:t>
      </w:r>
    </w:p>
    <w:p>
      <w:pPr>
        <w:pStyle w:val="Compact"/>
        <w:numPr>
          <w:ilvl w:val="0"/>
          <w:numId w:val="65"/>
        </w:numPr>
        <w:rPr/>
      </w:pPr>
      <w:r>
        <w:rPr>
          <w:b/>
          <w:bCs/>
        </w:rPr>
        <w:t>Levantamentos de campo e validação de informações sobre incêndios</w:t>
      </w:r>
      <w:r>
        <w:rPr/>
        <w:t xml:space="preserve"> para avaliar os principais determinantes do manejo do fogo.</w:t>
        <w:br/>
      </w:r>
    </w:p>
    <w:p>
      <w:pPr>
        <w:pStyle w:val="Compact"/>
        <w:numPr>
          <w:ilvl w:val="0"/>
          <w:numId w:val="19"/>
        </w:numPr>
        <w:rPr/>
      </w:pPr>
      <w:r>
        <w:rPr>
          <w:b/>
          <w:bCs/>
        </w:rPr>
        <w:t>Consultas com partes interessadas</w:t>
      </w:r>
      <w:r>
        <w:rPr/>
        <w:t xml:space="preserve"> para avaliar objetivos de manejo do fogo, capacidade/recursos existentes e opções de design do projeto.</w:t>
        <w:br/>
      </w:r>
    </w:p>
    <w:p>
      <w:pPr>
        <w:pStyle w:val="Compact"/>
        <w:numPr>
          <w:ilvl w:val="0"/>
          <w:numId w:val="19"/>
        </w:numPr>
        <w:rPr/>
      </w:pPr>
      <w:r>
        <w:rPr>
          <w:b/>
          <w:bCs/>
        </w:rPr>
        <w:t>Demonstração de técnicas terrestres e aéreas</w:t>
      </w:r>
      <w:r>
        <w:rPr/>
        <w:t xml:space="preserve"> para a implementação em escala de paisagem da queima prescrita estratégica EDS, visando reduzir o risco de incêndios LDS.</w:t>
        <w:br/>
      </w:r>
    </w:p>
    <w:p>
      <w:pPr>
        <w:pStyle w:val="Compact"/>
        <w:numPr>
          <w:ilvl w:val="0"/>
          <w:numId w:val="19"/>
        </w:numPr>
        <w:rPr/>
      </w:pPr>
      <w:r>
        <w:rPr>
          <w:b/>
          <w:bCs/>
        </w:rPr>
        <w:t>Início da validação e refinamento do mapa VFT</w:t>
      </w:r>
      <w:r>
        <w:rPr/>
        <w:t>.</w:t>
      </w:r>
      <w:bookmarkEnd w:id="100"/>
    </w:p>
    <w:p>
      <w:pPr>
        <w:pStyle w:val="Heading4"/>
        <w:rPr/>
      </w:pPr>
      <w:bookmarkStart w:id="101" w:name="X54b8043612142ca002fac3c6618dfd1f76a0823"/>
      <w:r>
        <w:rPr/>
        <w:t>6.3.2 Atualização dos cálculos de emissões de referência</w:t>
      </w:r>
    </w:p>
    <w:p>
      <w:pPr>
        <w:pStyle w:val="FirstParagraph"/>
        <w:rPr/>
      </w:pPr>
      <w:bookmarkStart w:id="102" w:name="X54b8043612142ca002fac3c6618dfd1f76a0823"/>
      <w:r>
        <w:rPr/>
        <w:t>Atualizar os cálculos de emissões de 2013 a 2024 utilizando a ferramenta automatizada de Mapeamento de Incêndios (imagens Sentinel 10m) e a Ferramenta de Cálculo de Redução de Emissões para quantificar com precisão o potencial de redução de emissões.</w:t>
      </w:r>
      <w:bookmarkEnd w:id="102"/>
    </w:p>
    <w:p>
      <w:pPr>
        <w:pStyle w:val="Heading4"/>
        <w:rPr/>
      </w:pPr>
      <w:bookmarkStart w:id="103" w:name="Xd19a8483aa4eccd40d91fcc8f4db84d4437e7cb"/>
      <w:r>
        <w:rPr/>
        <w:t>6.3.3 Apoio ao Processo de Triagem e Aprovação do Projeto</w:t>
      </w:r>
    </w:p>
    <w:p>
      <w:pPr>
        <w:pStyle w:val="FirstParagraph"/>
        <w:rPr/>
      </w:pPr>
      <w:bookmarkStart w:id="104" w:name="potenciais-créditos-de-carbono"/>
      <w:bookmarkStart w:id="105" w:name="sec-increase-carbon-sequestration"/>
      <w:bookmarkStart w:id="106" w:name="Xd19a8483aa4eccd40d91fcc8f4db84d4437e7cb"/>
      <w:r>
        <w:rPr/>
        <w:t>Apoiar o processo de triagem e aprovação do projeto junto ao Governo do Brasil.</w:t>
      </w:r>
      <w:bookmarkEnd w:id="104"/>
      <w:bookmarkEnd w:id="105"/>
      <w:bookmarkEnd w:id="106"/>
    </w:p>
    <w:p>
      <w:pPr>
        <w:pStyle w:val="Heading2"/>
        <w:rPr/>
      </w:pPr>
      <w:bookmarkStart w:id="107" w:name="__RefHeading___Toc6921_760125585"/>
      <w:bookmarkStart w:id="108" w:name="modelo-financeiro-proposto"/>
      <w:bookmarkEnd w:id="107"/>
      <w:r>
        <w:rPr/>
        <w:t>7 MODELO FINANCEIRO PROPOSTO</w:t>
      </w:r>
    </w:p>
    <w:p>
      <w:pPr>
        <w:pStyle w:val="FirstParagraph"/>
        <w:rPr/>
      </w:pPr>
      <w:r>
        <w:rPr/>
        <w:t>Para este modelo financeiro, temos em conta as componentes de prevenção e de remoção da metodologia. Para para evitar, aplicámos uma taxa de redução do projeto que atinge 35% da linha de base, aumentando para 50% da de referência, aumentando para 50% da linha de base após 10 anos de vida e maturidade do projeto. Para as remoções, considerámos uma taxa de sequestro conservadora de 0,05 t C ha-1 ano-1 durante todo o tempo de vida do projeto.</w:t>
      </w:r>
    </w:p>
    <w:p>
      <w:pPr>
        <w:pStyle w:val="BodyText"/>
        <w:rPr/>
      </w:pPr>
      <w:r>
        <w:rPr/>
        <w:t>Os projetos SFM na Austrália são comercializados a preços premium. Para este projeto, aplicámos 20 USD como como ponto de partida, aumentando 1 USD / ano após a volatilidade dos preços e a melhoria ao longo do tempo. Durante o primeiro período de crédito de 7 anos estima-se que gere 466.000 créditos de carbono com uma receita de 5,9 milhões de USD e uma margem de lucro de 2,6 milhões de USD (ver tbl-perpspectiva-comercial).</w:t>
      </w:r>
    </w:p>
    <w:p>
      <w:pPr>
        <w:pStyle w:val="BodyText"/>
        <w:rPr/>
      </w:pPr>
      <w:r>
        <w:rPr/>
        <w:t xml:space="preserve">2,6 milhões (ver </w:t>
      </w:r>
      <w:hyperlink w:anchor="tbl-perpspectiva-comercial">
        <w:r>
          <w:rPr>
            <w:rStyle w:val="Hyperlink"/>
          </w:rPr>
          <w:t>Tabela 9</w:t>
        </w:r>
      </w:hyperlink>
      <w:r>
        <w:rPr/>
        <w:t>). Os custos e despesas de desenvolvimento e implementação do projeto incluem:</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10206"/>
      </w:tblGrid>
      <w:tr>
        <w:trPr/>
        <w:tc>
          <w:tcPr>
            <w:tcW w:w="10206" w:type="dxa"/>
            <w:tcBorders/>
          </w:tcPr>
          <w:tbl>
            <w:tblPr>
              <w:tblStyle w:val="Table"/>
              <w:tblW w:w="7920" w:type="dxa"/>
              <w:jc w:val="left"/>
              <w:tblInd w:w="108" w:type="dxa"/>
              <w:tblLayout w:type="fixed"/>
              <w:tblCellMar>
                <w:top w:w="0" w:type="dxa"/>
                <w:left w:w="108" w:type="dxa"/>
                <w:bottom w:w="0" w:type="dxa"/>
                <w:right w:w="108" w:type="dxa"/>
              </w:tblCellMar>
              <w:tblLook w:val="0020" w:noHBand="0" w:noVBand="0" w:firstColumn="0" w:lastRow="0" w:lastColumn="0" w:firstRow="1"/>
            </w:tblPr>
            <w:tblGrid>
              <w:gridCol w:w="3960"/>
              <w:gridCol w:w="3959"/>
            </w:tblGrid>
            <w:tr>
              <w:trPr>
                <w:tblHeader w:val="true"/>
              </w:trPr>
              <w:tc>
                <w:tcPr>
                  <w:tcW w:w="3960" w:type="dxa"/>
                  <w:tcBorders/>
                </w:tcPr>
                <w:p>
                  <w:pPr>
                    <w:pStyle w:val="Compact"/>
                    <w:spacing w:before="36" w:after="36"/>
                    <w:jc w:val="center"/>
                    <w:rPr/>
                  </w:pPr>
                  <w:bookmarkStart w:id="109" w:name="tbl-custos-projeto"/>
                  <w:r>
                    <w:rPr/>
                    <w:t>Componente Principal do Projeto</w:t>
                  </w:r>
                </w:p>
              </w:tc>
              <w:tc>
                <w:tcPr>
                  <w:tcW w:w="3959" w:type="dxa"/>
                  <w:tcBorders/>
                </w:tcPr>
                <w:p>
                  <w:pPr>
                    <w:pStyle w:val="Compact"/>
                    <w:spacing w:before="36" w:after="36"/>
                    <w:jc w:val="center"/>
                    <w:rPr/>
                  </w:pPr>
                  <w:r>
                    <w:rPr/>
                    <w:t>Custo</w:t>
                  </w:r>
                </w:p>
              </w:tc>
            </w:tr>
            <w:tr>
              <w:trPr/>
              <w:tc>
                <w:tcPr>
                  <w:tcW w:w="3960" w:type="dxa"/>
                  <w:tcBorders/>
                </w:tcPr>
                <w:p>
                  <w:pPr>
                    <w:pStyle w:val="Compact"/>
                    <w:spacing w:before="36" w:after="36"/>
                    <w:jc w:val="center"/>
                    <w:rPr/>
                  </w:pPr>
                  <w:r>
                    <w:rPr/>
                    <w:t>Desenvolvimento e Registro</w:t>
                  </w:r>
                </w:p>
              </w:tc>
              <w:tc>
                <w:tcPr>
                  <w:tcW w:w="3959" w:type="dxa"/>
                  <w:tcBorders/>
                </w:tcPr>
                <w:p>
                  <w:pPr>
                    <w:pStyle w:val="Compact"/>
                    <w:spacing w:before="36" w:after="36"/>
                    <w:jc w:val="center"/>
                    <w:rPr/>
                  </w:pPr>
                  <w:r>
                    <w:rPr/>
                    <w:t>USD 190.000</w:t>
                  </w:r>
                </w:p>
              </w:tc>
            </w:tr>
            <w:tr>
              <w:trPr/>
              <w:tc>
                <w:tcPr>
                  <w:tcW w:w="3960" w:type="dxa"/>
                  <w:tcBorders/>
                </w:tcPr>
                <w:p>
                  <w:pPr>
                    <w:pStyle w:val="Compact"/>
                    <w:spacing w:before="36" w:after="36"/>
                    <w:jc w:val="center"/>
                    <w:rPr/>
                  </w:pPr>
                  <w:r>
                    <w:rPr/>
                    <w:t>Operações de Gestão de Incêndios</w:t>
                  </w:r>
                </w:p>
              </w:tc>
              <w:tc>
                <w:tcPr>
                  <w:tcW w:w="3959" w:type="dxa"/>
                  <w:tcBorders/>
                </w:tcPr>
                <w:p>
                  <w:pPr>
                    <w:pStyle w:val="Compact"/>
                    <w:spacing w:before="36" w:after="36"/>
                    <w:jc w:val="center"/>
                    <w:rPr/>
                  </w:pPr>
                  <w:r>
                    <w:rPr/>
                    <w:t>USD 330.000 // ano</w:t>
                  </w:r>
                </w:p>
              </w:tc>
            </w:tr>
            <w:tr>
              <w:trPr/>
              <w:tc>
                <w:tcPr>
                  <w:tcW w:w="3960" w:type="dxa"/>
                  <w:tcBorders/>
                </w:tcPr>
                <w:p>
                  <w:pPr>
                    <w:pStyle w:val="Compact"/>
                    <w:spacing w:before="36" w:after="36"/>
                    <w:jc w:val="center"/>
                    <w:rPr/>
                  </w:pPr>
                  <w:r>
                    <w:rPr/>
                    <w:t>Monitoramento, Relatório e Verificação</w:t>
                  </w:r>
                </w:p>
              </w:tc>
              <w:tc>
                <w:tcPr>
                  <w:tcW w:w="3959" w:type="dxa"/>
                  <w:tcBorders/>
                </w:tcPr>
                <w:p>
                  <w:pPr>
                    <w:pStyle w:val="Compact"/>
                    <w:spacing w:before="36" w:after="36"/>
                    <w:jc w:val="center"/>
                    <w:rPr/>
                  </w:pPr>
                  <w:r>
                    <w:rPr/>
                    <w:t>USD 120.000 // ano</w:t>
                  </w:r>
                </w:p>
              </w:tc>
            </w:tr>
          </w:tbl>
          <w:p>
            <w:pPr>
              <w:pStyle w:val="ImageCaption"/>
              <w:spacing w:before="200" w:after="120"/>
              <w:jc w:val="left"/>
              <w:rPr/>
            </w:pPr>
            <w:bookmarkStart w:id="110" w:name="tbl-custos-projeto"/>
            <w:r>
              <w:rPr/>
              <w:t>Tabela 8: Custos e despesas da área de projeto.</w:t>
            </w:r>
            <w:bookmarkEnd w:id="110"/>
          </w:p>
        </w:tc>
      </w:tr>
    </w:tbl>
    <w:p>
      <w:pPr>
        <w:pStyle w:val="BodyText"/>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10206"/>
      </w:tblGrid>
      <w:tr>
        <w:trPr/>
        <w:tc>
          <w:tcPr>
            <w:tcW w:w="10206" w:type="dxa"/>
            <w:tcBorders/>
          </w:tcPr>
          <w:tbl>
            <w:tblPr>
              <w:tblStyle w:val="Table"/>
              <w:tblW w:w="5000" w:type="pct"/>
              <w:jc w:val="left"/>
              <w:tblInd w:w="108" w:type="dxa"/>
              <w:tblLayout w:type="fixed"/>
              <w:tblCellMar>
                <w:top w:w="0" w:type="dxa"/>
                <w:left w:w="108" w:type="dxa"/>
                <w:bottom w:w="0" w:type="dxa"/>
                <w:right w:w="108" w:type="dxa"/>
              </w:tblCellMar>
              <w:tblLook w:val="0020" w:noHBand="0" w:noVBand="0" w:firstColumn="0" w:lastRow="0" w:lastColumn="0" w:firstRow="1"/>
            </w:tblPr>
            <w:tblGrid>
              <w:gridCol w:w="2157"/>
              <w:gridCol w:w="1439"/>
              <w:gridCol w:w="1279"/>
              <w:gridCol w:w="1438"/>
              <w:gridCol w:w="1279"/>
              <w:gridCol w:w="1119"/>
              <w:gridCol w:w="1278"/>
            </w:tblGrid>
            <w:tr>
              <w:trPr>
                <w:tblHeader w:val="true"/>
              </w:trPr>
              <w:tc>
                <w:tcPr>
                  <w:tcW w:w="2157" w:type="dxa"/>
                  <w:tcBorders/>
                </w:tcPr>
                <w:p>
                  <w:pPr>
                    <w:pStyle w:val="Compact"/>
                    <w:spacing w:before="36" w:after="36"/>
                    <w:jc w:val="center"/>
                    <w:rPr/>
                  </w:pPr>
                  <w:bookmarkStart w:id="111" w:name="tbl-perpspectiva-comercial"/>
                  <w:r>
                    <w:rPr/>
                    <w:t>VALORES X 1.000</w:t>
                  </w:r>
                </w:p>
              </w:tc>
              <w:tc>
                <w:tcPr>
                  <w:tcW w:w="1439" w:type="dxa"/>
                  <w:tcBorders/>
                </w:tcPr>
                <w:p>
                  <w:pPr>
                    <w:pStyle w:val="Compact"/>
                    <w:suppressAutoHyphens w:val="true"/>
                    <w:spacing w:lineRule="auto" w:line="240" w:before="36" w:after="36"/>
                    <w:rPr/>
                  </w:pPr>
                  <w:r>
                    <w:rPr/>
                  </w:r>
                </w:p>
              </w:tc>
              <w:tc>
                <w:tcPr>
                  <w:tcW w:w="1279" w:type="dxa"/>
                  <w:tcBorders/>
                </w:tcPr>
                <w:p>
                  <w:pPr>
                    <w:pStyle w:val="Compact"/>
                    <w:spacing w:before="36" w:after="36"/>
                    <w:jc w:val="center"/>
                    <w:rPr/>
                  </w:pPr>
                  <w:r>
                    <w:rPr/>
                    <w:t>ÁREA DO PROJETO 1</w:t>
                  </w:r>
                </w:p>
              </w:tc>
              <w:tc>
                <w:tcPr>
                  <w:tcW w:w="1438" w:type="dxa"/>
                  <w:tcBorders/>
                </w:tcPr>
                <w:p>
                  <w:pPr>
                    <w:pStyle w:val="Compact"/>
                    <w:suppressAutoHyphens w:val="true"/>
                    <w:spacing w:lineRule="auto" w:line="240" w:before="36" w:after="36"/>
                    <w:rPr/>
                  </w:pPr>
                  <w:r>
                    <w:rPr/>
                  </w:r>
                </w:p>
              </w:tc>
              <w:tc>
                <w:tcPr>
                  <w:tcW w:w="1279" w:type="dxa"/>
                  <w:tcBorders/>
                </w:tcPr>
                <w:p>
                  <w:pPr>
                    <w:pStyle w:val="Compact"/>
                    <w:spacing w:before="36" w:after="36"/>
                    <w:jc w:val="center"/>
                    <w:rPr/>
                  </w:pPr>
                  <w:r>
                    <w:rPr/>
                    <w:t>ÁREA DO PROJETO 2</w:t>
                  </w:r>
                </w:p>
              </w:tc>
              <w:tc>
                <w:tcPr>
                  <w:tcW w:w="1119" w:type="dxa"/>
                  <w:tcBorders/>
                </w:tcPr>
                <w:p>
                  <w:pPr>
                    <w:pStyle w:val="Compact"/>
                    <w:suppressAutoHyphens w:val="true"/>
                    <w:spacing w:lineRule="auto" w:line="240" w:before="36" w:after="36"/>
                    <w:rPr/>
                  </w:pPr>
                  <w:r>
                    <w:rPr/>
                  </w:r>
                </w:p>
              </w:tc>
              <w:tc>
                <w:tcPr>
                  <w:tcW w:w="1278" w:type="dxa"/>
                  <w:tcBorders/>
                </w:tcPr>
                <w:p>
                  <w:pPr>
                    <w:pStyle w:val="Compact"/>
                    <w:spacing w:before="36" w:after="36"/>
                    <w:jc w:val="center"/>
                    <w:rPr/>
                  </w:pPr>
                  <w:r>
                    <w:rPr/>
                    <w:t>ÁREA TOTAL</w:t>
                  </w:r>
                </w:p>
              </w:tc>
            </w:tr>
            <w:tr>
              <w:trPr/>
              <w:tc>
                <w:tcPr>
                  <w:tcW w:w="2157" w:type="dxa"/>
                  <w:tcBorders/>
                </w:tcPr>
                <w:p>
                  <w:pPr>
                    <w:pStyle w:val="Compact"/>
                    <w:suppressAutoHyphens w:val="true"/>
                    <w:spacing w:lineRule="auto" w:line="240" w:before="36" w:after="36"/>
                    <w:rPr/>
                  </w:pPr>
                  <w:r>
                    <w:rPr/>
                  </w:r>
                </w:p>
              </w:tc>
              <w:tc>
                <w:tcPr>
                  <w:tcW w:w="1439" w:type="dxa"/>
                  <w:tcBorders/>
                </w:tcPr>
                <w:p>
                  <w:pPr>
                    <w:pStyle w:val="Compact"/>
                    <w:spacing w:before="36" w:after="36"/>
                    <w:jc w:val="center"/>
                    <w:rPr/>
                  </w:pPr>
                  <w:r>
                    <w:rPr/>
                    <w:t>7 ANOS</w:t>
                  </w:r>
                </w:p>
              </w:tc>
              <w:tc>
                <w:tcPr>
                  <w:tcW w:w="1279" w:type="dxa"/>
                  <w:tcBorders/>
                </w:tcPr>
                <w:p>
                  <w:pPr>
                    <w:pStyle w:val="Compact"/>
                    <w:spacing w:before="36" w:after="36"/>
                    <w:jc w:val="center"/>
                    <w:rPr/>
                  </w:pPr>
                  <w:r>
                    <w:rPr/>
                    <w:t>21 ANOS</w:t>
                  </w:r>
                </w:p>
              </w:tc>
              <w:tc>
                <w:tcPr>
                  <w:tcW w:w="1438" w:type="dxa"/>
                  <w:tcBorders/>
                </w:tcPr>
                <w:p>
                  <w:pPr>
                    <w:pStyle w:val="Compact"/>
                    <w:spacing w:before="36" w:after="36"/>
                    <w:jc w:val="center"/>
                    <w:rPr/>
                  </w:pPr>
                  <w:r>
                    <w:rPr/>
                    <w:t>7 ANOS</w:t>
                  </w:r>
                </w:p>
              </w:tc>
              <w:tc>
                <w:tcPr>
                  <w:tcW w:w="1279" w:type="dxa"/>
                  <w:tcBorders/>
                </w:tcPr>
                <w:p>
                  <w:pPr>
                    <w:pStyle w:val="Compact"/>
                    <w:spacing w:before="36" w:after="36"/>
                    <w:jc w:val="center"/>
                    <w:rPr/>
                  </w:pPr>
                  <w:r>
                    <w:rPr/>
                    <w:t>21 ANOS</w:t>
                  </w:r>
                </w:p>
              </w:tc>
              <w:tc>
                <w:tcPr>
                  <w:tcW w:w="1119" w:type="dxa"/>
                  <w:tcBorders/>
                </w:tcPr>
                <w:p>
                  <w:pPr>
                    <w:pStyle w:val="Compact"/>
                    <w:spacing w:before="36" w:after="36"/>
                    <w:jc w:val="center"/>
                    <w:rPr/>
                  </w:pPr>
                  <w:r>
                    <w:rPr/>
                    <w:t>7 ANOS</w:t>
                  </w:r>
                </w:p>
              </w:tc>
              <w:tc>
                <w:tcPr>
                  <w:tcW w:w="1278" w:type="dxa"/>
                  <w:tcBorders/>
                </w:tcPr>
                <w:p>
                  <w:pPr>
                    <w:pStyle w:val="Compact"/>
                    <w:spacing w:before="36" w:after="36"/>
                    <w:jc w:val="center"/>
                    <w:rPr/>
                  </w:pPr>
                  <w:r>
                    <w:rPr/>
                    <w:t>21 ANOS</w:t>
                  </w:r>
                </w:p>
              </w:tc>
            </w:tr>
            <w:tr>
              <w:trPr/>
              <w:tc>
                <w:tcPr>
                  <w:tcW w:w="2157" w:type="dxa"/>
                  <w:tcBorders/>
                </w:tcPr>
                <w:p>
                  <w:pPr>
                    <w:pStyle w:val="Compact"/>
                    <w:spacing w:before="36" w:after="36"/>
                    <w:jc w:val="center"/>
                    <w:rPr/>
                  </w:pPr>
                  <w:r>
                    <w:rPr/>
                    <w:t>PREVENÇÃO DE CO2 (TC/ANO)</w:t>
                  </w:r>
                </w:p>
              </w:tc>
              <w:tc>
                <w:tcPr>
                  <w:tcW w:w="1439" w:type="dxa"/>
                  <w:tcBorders/>
                </w:tcPr>
                <w:p>
                  <w:pPr>
                    <w:pStyle w:val="Compact"/>
                    <w:spacing w:before="36" w:after="36"/>
                    <w:jc w:val="center"/>
                    <w:rPr/>
                  </w:pPr>
                  <w:r>
                    <w:rPr/>
                    <w:t>101</w:t>
                  </w:r>
                </w:p>
              </w:tc>
              <w:tc>
                <w:tcPr>
                  <w:tcW w:w="1279" w:type="dxa"/>
                  <w:tcBorders/>
                </w:tcPr>
                <w:p>
                  <w:pPr>
                    <w:pStyle w:val="Compact"/>
                    <w:spacing w:before="36" w:after="36"/>
                    <w:jc w:val="center"/>
                    <w:rPr/>
                  </w:pPr>
                  <w:r>
                    <w:rPr/>
                    <w:t>395</w:t>
                  </w:r>
                </w:p>
              </w:tc>
              <w:tc>
                <w:tcPr>
                  <w:tcW w:w="1438" w:type="dxa"/>
                  <w:tcBorders/>
                </w:tcPr>
                <w:p>
                  <w:pPr>
                    <w:pStyle w:val="Compact"/>
                    <w:spacing w:before="36" w:after="36"/>
                    <w:jc w:val="center"/>
                    <w:rPr/>
                  </w:pPr>
                  <w:r>
                    <w:rPr/>
                    <w:t>72</w:t>
                  </w:r>
                </w:p>
              </w:tc>
              <w:tc>
                <w:tcPr>
                  <w:tcW w:w="1279" w:type="dxa"/>
                  <w:tcBorders/>
                </w:tcPr>
                <w:p>
                  <w:pPr>
                    <w:pStyle w:val="Compact"/>
                    <w:spacing w:before="36" w:after="36"/>
                    <w:jc w:val="center"/>
                    <w:rPr/>
                  </w:pPr>
                  <w:r>
                    <w:rPr/>
                    <w:t>301</w:t>
                  </w:r>
                </w:p>
              </w:tc>
              <w:tc>
                <w:tcPr>
                  <w:tcW w:w="1119" w:type="dxa"/>
                  <w:tcBorders/>
                </w:tcPr>
                <w:p>
                  <w:pPr>
                    <w:pStyle w:val="Compact"/>
                    <w:spacing w:before="36" w:after="36"/>
                    <w:jc w:val="center"/>
                    <w:rPr/>
                  </w:pPr>
                  <w:r>
                    <w:rPr/>
                    <w:t>173</w:t>
                  </w:r>
                </w:p>
              </w:tc>
              <w:tc>
                <w:tcPr>
                  <w:tcW w:w="1278" w:type="dxa"/>
                  <w:tcBorders/>
                </w:tcPr>
                <w:p>
                  <w:pPr>
                    <w:pStyle w:val="Compact"/>
                    <w:spacing w:before="36" w:after="36"/>
                    <w:jc w:val="center"/>
                    <w:rPr/>
                  </w:pPr>
                  <w:r>
                    <w:rPr/>
                    <w:t>696</w:t>
                  </w:r>
                </w:p>
              </w:tc>
            </w:tr>
            <w:tr>
              <w:trPr/>
              <w:tc>
                <w:tcPr>
                  <w:tcW w:w="2157" w:type="dxa"/>
                  <w:tcBorders/>
                </w:tcPr>
                <w:p>
                  <w:pPr>
                    <w:pStyle w:val="Compact"/>
                    <w:spacing w:before="36" w:after="36"/>
                    <w:jc w:val="center"/>
                    <w:rPr/>
                  </w:pPr>
                  <w:r>
                    <w:rPr/>
                    <w:t>REMOÇÃO DE CO2 (TC/ANO)</w:t>
                  </w:r>
                </w:p>
              </w:tc>
              <w:tc>
                <w:tcPr>
                  <w:tcW w:w="1439" w:type="dxa"/>
                  <w:tcBorders/>
                </w:tcPr>
                <w:p>
                  <w:pPr>
                    <w:pStyle w:val="Compact"/>
                    <w:spacing w:before="36" w:after="36"/>
                    <w:jc w:val="center"/>
                    <w:rPr/>
                  </w:pPr>
                  <w:r>
                    <w:rPr/>
                    <w:t>159</w:t>
                  </w:r>
                </w:p>
              </w:tc>
              <w:tc>
                <w:tcPr>
                  <w:tcW w:w="1279" w:type="dxa"/>
                  <w:tcBorders/>
                </w:tcPr>
                <w:p>
                  <w:pPr>
                    <w:pStyle w:val="Compact"/>
                    <w:spacing w:before="36" w:after="36"/>
                    <w:jc w:val="center"/>
                    <w:rPr/>
                  </w:pPr>
                  <w:r>
                    <w:rPr/>
                    <w:t>604</w:t>
                  </w:r>
                </w:p>
              </w:tc>
              <w:tc>
                <w:tcPr>
                  <w:tcW w:w="1438" w:type="dxa"/>
                  <w:tcBorders/>
                </w:tcPr>
                <w:p>
                  <w:pPr>
                    <w:pStyle w:val="Compact"/>
                    <w:spacing w:before="36" w:after="36"/>
                    <w:jc w:val="center"/>
                    <w:rPr/>
                  </w:pPr>
                  <w:r>
                    <w:rPr/>
                    <w:t>134</w:t>
                  </w:r>
                </w:p>
              </w:tc>
              <w:tc>
                <w:tcPr>
                  <w:tcW w:w="1279" w:type="dxa"/>
                  <w:tcBorders/>
                </w:tcPr>
                <w:p>
                  <w:pPr>
                    <w:pStyle w:val="Compact"/>
                    <w:spacing w:before="36" w:after="36"/>
                    <w:jc w:val="center"/>
                    <w:rPr/>
                  </w:pPr>
                  <w:r>
                    <w:rPr/>
                    <w:t>508</w:t>
                  </w:r>
                </w:p>
              </w:tc>
              <w:tc>
                <w:tcPr>
                  <w:tcW w:w="1119" w:type="dxa"/>
                  <w:tcBorders/>
                </w:tcPr>
                <w:p>
                  <w:pPr>
                    <w:pStyle w:val="Compact"/>
                    <w:spacing w:before="36" w:after="36"/>
                    <w:jc w:val="center"/>
                    <w:rPr/>
                  </w:pPr>
                  <w:r>
                    <w:rPr/>
                    <w:t>293</w:t>
                  </w:r>
                </w:p>
              </w:tc>
              <w:tc>
                <w:tcPr>
                  <w:tcW w:w="1278" w:type="dxa"/>
                  <w:tcBorders/>
                </w:tcPr>
                <w:p>
                  <w:pPr>
                    <w:pStyle w:val="Compact"/>
                    <w:spacing w:before="36" w:after="36"/>
                    <w:jc w:val="center"/>
                    <w:rPr/>
                  </w:pPr>
                  <w:r>
                    <w:rPr/>
                    <w:t>1.113</w:t>
                  </w:r>
                </w:p>
              </w:tc>
            </w:tr>
            <w:tr>
              <w:trPr/>
              <w:tc>
                <w:tcPr>
                  <w:tcW w:w="2157" w:type="dxa"/>
                  <w:tcBorders/>
                </w:tcPr>
                <w:p>
                  <w:pPr>
                    <w:pStyle w:val="Compact"/>
                    <w:spacing w:before="36" w:after="36"/>
                    <w:jc w:val="center"/>
                    <w:rPr/>
                  </w:pPr>
                  <w:r>
                    <w:rPr/>
                    <w:t>GERAÇÃO DE CO2 (TC/ANO)</w:t>
                  </w:r>
                </w:p>
              </w:tc>
              <w:tc>
                <w:tcPr>
                  <w:tcW w:w="1439" w:type="dxa"/>
                  <w:tcBorders/>
                </w:tcPr>
                <w:p>
                  <w:pPr>
                    <w:pStyle w:val="Compact"/>
                    <w:spacing w:before="36" w:after="36"/>
                    <w:jc w:val="center"/>
                    <w:rPr/>
                  </w:pPr>
                  <w:r>
                    <w:rPr/>
                    <w:t>259</w:t>
                  </w:r>
                </w:p>
              </w:tc>
              <w:tc>
                <w:tcPr>
                  <w:tcW w:w="1279" w:type="dxa"/>
                  <w:tcBorders/>
                </w:tcPr>
                <w:p>
                  <w:pPr>
                    <w:pStyle w:val="Compact"/>
                    <w:spacing w:before="36" w:after="36"/>
                    <w:jc w:val="center"/>
                    <w:rPr/>
                  </w:pPr>
                  <w:r>
                    <w:rPr/>
                    <w:t>999</w:t>
                  </w:r>
                </w:p>
              </w:tc>
              <w:tc>
                <w:tcPr>
                  <w:tcW w:w="1438" w:type="dxa"/>
                  <w:tcBorders/>
                </w:tcPr>
                <w:p>
                  <w:pPr>
                    <w:pStyle w:val="Compact"/>
                    <w:spacing w:before="36" w:after="36"/>
                    <w:jc w:val="center"/>
                    <w:rPr/>
                  </w:pPr>
                  <w:r>
                    <w:rPr/>
                    <w:t>206</w:t>
                  </w:r>
                </w:p>
              </w:tc>
              <w:tc>
                <w:tcPr>
                  <w:tcW w:w="1279" w:type="dxa"/>
                  <w:tcBorders/>
                </w:tcPr>
                <w:p>
                  <w:pPr>
                    <w:pStyle w:val="Compact"/>
                    <w:spacing w:before="36" w:after="36"/>
                    <w:jc w:val="center"/>
                    <w:rPr/>
                  </w:pPr>
                  <w:r>
                    <w:rPr/>
                    <w:t>809</w:t>
                  </w:r>
                </w:p>
              </w:tc>
              <w:tc>
                <w:tcPr>
                  <w:tcW w:w="1119" w:type="dxa"/>
                  <w:tcBorders/>
                </w:tcPr>
                <w:p>
                  <w:pPr>
                    <w:pStyle w:val="Compact"/>
                    <w:spacing w:before="36" w:after="36"/>
                    <w:jc w:val="center"/>
                    <w:rPr/>
                  </w:pPr>
                  <w:r>
                    <w:rPr/>
                    <w:t>466</w:t>
                  </w:r>
                </w:p>
              </w:tc>
              <w:tc>
                <w:tcPr>
                  <w:tcW w:w="1278" w:type="dxa"/>
                  <w:tcBorders/>
                </w:tcPr>
                <w:p>
                  <w:pPr>
                    <w:pStyle w:val="Compact"/>
                    <w:spacing w:before="36" w:after="36"/>
                    <w:jc w:val="center"/>
                    <w:rPr/>
                  </w:pPr>
                  <w:r>
                    <w:rPr/>
                    <w:t>1.809</w:t>
                  </w:r>
                </w:p>
              </w:tc>
            </w:tr>
            <w:tr>
              <w:trPr/>
              <w:tc>
                <w:tcPr>
                  <w:tcW w:w="2157" w:type="dxa"/>
                  <w:tcBorders/>
                </w:tcPr>
                <w:p>
                  <w:pPr>
                    <w:pStyle w:val="Compact"/>
                    <w:spacing w:before="36" w:after="36"/>
                    <w:jc w:val="center"/>
                    <w:rPr/>
                  </w:pPr>
                  <w:r>
                    <w:rPr/>
                    <w:t>VENDAS @ $20 (+$1/ANO)</w:t>
                  </w:r>
                </w:p>
              </w:tc>
              <w:tc>
                <w:tcPr>
                  <w:tcW w:w="1439" w:type="dxa"/>
                  <w:tcBorders/>
                </w:tcPr>
                <w:p>
                  <w:pPr>
                    <w:pStyle w:val="Compact"/>
                    <w:spacing w:before="36" w:after="36"/>
                    <w:jc w:val="center"/>
                    <w:rPr/>
                  </w:pPr>
                  <w:r>
                    <w:rPr/>
                    <w:t>$5.916</w:t>
                  </w:r>
                </w:p>
              </w:tc>
              <w:tc>
                <w:tcPr>
                  <w:tcW w:w="1279" w:type="dxa"/>
                  <w:tcBorders/>
                </w:tcPr>
                <w:p>
                  <w:pPr>
                    <w:pStyle w:val="Compact"/>
                    <w:spacing w:before="36" w:after="36"/>
                    <w:jc w:val="center"/>
                    <w:rPr/>
                  </w:pPr>
                  <w:r>
                    <w:rPr/>
                    <w:t>$30.008</w:t>
                  </w:r>
                </w:p>
              </w:tc>
              <w:tc>
                <w:tcPr>
                  <w:tcW w:w="1438" w:type="dxa"/>
                  <w:tcBorders/>
                </w:tcPr>
                <w:p>
                  <w:pPr>
                    <w:pStyle w:val="Compact"/>
                    <w:spacing w:before="36" w:after="36"/>
                    <w:jc w:val="center"/>
                    <w:rPr/>
                  </w:pPr>
                  <w:r>
                    <w:rPr/>
                    <w:t>$4.702</w:t>
                  </w:r>
                </w:p>
              </w:tc>
              <w:tc>
                <w:tcPr>
                  <w:tcW w:w="1279" w:type="dxa"/>
                  <w:tcBorders/>
                </w:tcPr>
                <w:p>
                  <w:pPr>
                    <w:pStyle w:val="Compact"/>
                    <w:spacing w:before="36" w:after="36"/>
                    <w:jc w:val="center"/>
                    <w:rPr/>
                  </w:pPr>
                  <w:r>
                    <w:rPr/>
                    <w:t>$24.360</w:t>
                  </w:r>
                </w:p>
              </w:tc>
              <w:tc>
                <w:tcPr>
                  <w:tcW w:w="1119" w:type="dxa"/>
                  <w:tcBorders/>
                </w:tcPr>
                <w:p>
                  <w:pPr>
                    <w:pStyle w:val="Compact"/>
                    <w:spacing w:before="36" w:after="36"/>
                    <w:jc w:val="center"/>
                    <w:rPr/>
                  </w:pPr>
                  <w:r>
                    <w:rPr/>
                    <w:t>$11.090</w:t>
                  </w:r>
                </w:p>
              </w:tc>
              <w:tc>
                <w:tcPr>
                  <w:tcW w:w="1278" w:type="dxa"/>
                  <w:tcBorders/>
                </w:tcPr>
                <w:p>
                  <w:pPr>
                    <w:pStyle w:val="Compact"/>
                    <w:spacing w:before="36" w:after="36"/>
                    <w:jc w:val="center"/>
                    <w:rPr/>
                  </w:pPr>
                  <w:r>
                    <w:rPr/>
                    <w:t>$54.402</w:t>
                  </w:r>
                </w:p>
              </w:tc>
            </w:tr>
            <w:tr>
              <w:trPr/>
              <w:tc>
                <w:tcPr>
                  <w:tcW w:w="2157" w:type="dxa"/>
                  <w:tcBorders/>
                </w:tcPr>
                <w:p>
                  <w:pPr>
                    <w:pStyle w:val="Compact"/>
                    <w:spacing w:before="36" w:after="36"/>
                    <w:jc w:val="center"/>
                    <w:rPr/>
                  </w:pPr>
                  <w:r>
                    <w:rPr/>
                    <w:t>CUSTOS TOTAIS</w:t>
                  </w:r>
                </w:p>
              </w:tc>
              <w:tc>
                <w:tcPr>
                  <w:tcW w:w="1439" w:type="dxa"/>
                  <w:tcBorders/>
                </w:tcPr>
                <w:p>
                  <w:pPr>
                    <w:pStyle w:val="Compact"/>
                    <w:spacing w:before="36" w:after="36"/>
                    <w:jc w:val="center"/>
                    <w:rPr/>
                  </w:pPr>
                  <w:r>
                    <w:rPr/>
                    <w:t>3.315</w:t>
                  </w:r>
                </w:p>
              </w:tc>
              <w:tc>
                <w:tcPr>
                  <w:tcW w:w="1279" w:type="dxa"/>
                  <w:tcBorders/>
                </w:tcPr>
                <w:p>
                  <w:pPr>
                    <w:pStyle w:val="Compact"/>
                    <w:spacing w:before="36" w:after="36"/>
                    <w:jc w:val="center"/>
                    <w:rPr/>
                  </w:pPr>
                  <w:r>
                    <w:rPr/>
                    <w:t>9.541</w:t>
                  </w:r>
                </w:p>
              </w:tc>
              <w:tc>
                <w:tcPr>
                  <w:tcW w:w="1438" w:type="dxa"/>
                  <w:tcBorders/>
                </w:tcPr>
                <w:p>
                  <w:pPr>
                    <w:pStyle w:val="Compact"/>
                    <w:spacing w:before="36" w:after="36"/>
                    <w:jc w:val="center"/>
                    <w:rPr/>
                  </w:pPr>
                  <w:r>
                    <w:rPr/>
                    <w:t>2.285</w:t>
                  </w:r>
                </w:p>
              </w:tc>
              <w:tc>
                <w:tcPr>
                  <w:tcW w:w="1279" w:type="dxa"/>
                  <w:tcBorders/>
                </w:tcPr>
                <w:p>
                  <w:pPr>
                    <w:pStyle w:val="Compact"/>
                    <w:spacing w:before="36" w:after="36"/>
                    <w:jc w:val="center"/>
                    <w:rPr/>
                  </w:pPr>
                  <w:r>
                    <w:rPr/>
                    <w:t>6.831</w:t>
                  </w:r>
                </w:p>
              </w:tc>
              <w:tc>
                <w:tcPr>
                  <w:tcW w:w="1119" w:type="dxa"/>
                  <w:tcBorders/>
                </w:tcPr>
                <w:p>
                  <w:pPr>
                    <w:pStyle w:val="Compact"/>
                    <w:spacing w:before="36" w:after="36"/>
                    <w:jc w:val="center"/>
                    <w:rPr/>
                  </w:pPr>
                  <w:r>
                    <w:rPr/>
                    <w:t>5.601</w:t>
                  </w:r>
                </w:p>
              </w:tc>
              <w:tc>
                <w:tcPr>
                  <w:tcW w:w="1278" w:type="dxa"/>
                  <w:tcBorders/>
                </w:tcPr>
                <w:p>
                  <w:pPr>
                    <w:pStyle w:val="Compact"/>
                    <w:spacing w:before="36" w:after="36"/>
                    <w:jc w:val="center"/>
                    <w:rPr/>
                  </w:pPr>
                  <w:r>
                    <w:rPr/>
                    <w:t>16.372</w:t>
                  </w:r>
                </w:p>
              </w:tc>
            </w:tr>
            <w:tr>
              <w:trPr/>
              <w:tc>
                <w:tcPr>
                  <w:tcW w:w="2157" w:type="dxa"/>
                  <w:tcBorders/>
                </w:tcPr>
                <w:p>
                  <w:pPr>
                    <w:pStyle w:val="Compact"/>
                    <w:spacing w:before="36" w:after="36"/>
                    <w:jc w:val="center"/>
                    <w:rPr/>
                  </w:pPr>
                  <w:r>
                    <w:rPr/>
                    <w:t>MARGEM</w:t>
                  </w:r>
                </w:p>
              </w:tc>
              <w:tc>
                <w:tcPr>
                  <w:tcW w:w="1439" w:type="dxa"/>
                  <w:tcBorders/>
                </w:tcPr>
                <w:p>
                  <w:pPr>
                    <w:pStyle w:val="Compact"/>
                    <w:spacing w:before="36" w:after="36"/>
                    <w:jc w:val="center"/>
                    <w:rPr/>
                  </w:pPr>
                  <w:r>
                    <w:rPr/>
                    <w:t>2.601</w:t>
                  </w:r>
                </w:p>
              </w:tc>
              <w:tc>
                <w:tcPr>
                  <w:tcW w:w="1279" w:type="dxa"/>
                  <w:tcBorders/>
                </w:tcPr>
                <w:p>
                  <w:pPr>
                    <w:pStyle w:val="Compact"/>
                    <w:spacing w:before="36" w:after="36"/>
                    <w:jc w:val="center"/>
                    <w:rPr/>
                  </w:pPr>
                  <w:r>
                    <w:rPr/>
                    <w:t>20.467</w:t>
                  </w:r>
                </w:p>
              </w:tc>
              <w:tc>
                <w:tcPr>
                  <w:tcW w:w="1438" w:type="dxa"/>
                  <w:tcBorders/>
                </w:tcPr>
                <w:p>
                  <w:pPr>
                    <w:pStyle w:val="Compact"/>
                    <w:spacing w:before="36" w:after="36"/>
                    <w:jc w:val="center"/>
                    <w:rPr/>
                  </w:pPr>
                  <w:r>
                    <w:rPr/>
                    <w:t>2.416</w:t>
                  </w:r>
                </w:p>
              </w:tc>
              <w:tc>
                <w:tcPr>
                  <w:tcW w:w="1279" w:type="dxa"/>
                  <w:tcBorders/>
                </w:tcPr>
                <w:p>
                  <w:pPr>
                    <w:pStyle w:val="Compact"/>
                    <w:spacing w:before="36" w:after="36"/>
                    <w:jc w:val="center"/>
                    <w:rPr/>
                  </w:pPr>
                  <w:r>
                    <w:rPr/>
                    <w:t>17.528</w:t>
                  </w:r>
                </w:p>
              </w:tc>
              <w:tc>
                <w:tcPr>
                  <w:tcW w:w="1119" w:type="dxa"/>
                  <w:tcBorders/>
                </w:tcPr>
                <w:p>
                  <w:pPr>
                    <w:pStyle w:val="Compact"/>
                    <w:spacing w:before="36" w:after="36"/>
                    <w:jc w:val="center"/>
                    <w:rPr/>
                  </w:pPr>
                  <w:r>
                    <w:rPr/>
                    <w:t>5.024</w:t>
                  </w:r>
                </w:p>
              </w:tc>
              <w:tc>
                <w:tcPr>
                  <w:tcW w:w="1278" w:type="dxa"/>
                  <w:tcBorders/>
                </w:tcPr>
                <w:p>
                  <w:pPr>
                    <w:pStyle w:val="Compact"/>
                    <w:spacing w:before="36" w:after="36"/>
                    <w:jc w:val="center"/>
                    <w:rPr/>
                  </w:pPr>
                  <w:r>
                    <w:rPr/>
                    <w:t>38.029</w:t>
                  </w:r>
                </w:p>
              </w:tc>
            </w:tr>
          </w:tbl>
          <w:p>
            <w:pPr>
              <w:pStyle w:val="ImageCaption"/>
              <w:spacing w:before="200" w:after="120"/>
              <w:jc w:val="left"/>
              <w:rPr/>
            </w:pPr>
            <w:bookmarkStart w:id="112" w:name="tbl-perpspectiva-comercial"/>
            <w:r>
              <w:rPr/>
              <w:t>Tabela 9: Perspectivas comerciais durante a duração do projeto.</w:t>
            </w:r>
            <w:bookmarkEnd w:id="112"/>
          </w:p>
        </w:tc>
      </w:tr>
    </w:tbl>
    <w:p>
      <w:pPr>
        <w:pStyle w:val="BodyText"/>
        <w:rPr/>
      </w:pPr>
      <w:bookmarkStart w:id="113" w:name="modelo-financeiro-proposto"/>
      <w:r>
        <w:rPr/>
        <w:t>As receitas geradas anualmente pela redução/evitação de emissões, como nos projectos SFM australianos, são proporcional ao custo das operações de gestão do fogo. A contabilização do sequestro de carbono, com com o seu potencial de geração de receitas mais elevado, proporciona uma margem de lucro que pode interesses de desenvolvimento.</w:t>
      </w:r>
      <w:bookmarkEnd w:id="113"/>
    </w:p>
    <w:p>
      <w:pPr>
        <w:pStyle w:val="Heading2"/>
        <w:rPr/>
      </w:pPr>
      <w:bookmarkStart w:id="114" w:name="__RefHeading___Toc6923_760125585"/>
      <w:bookmarkStart w:id="115" w:name="recomendações"/>
      <w:bookmarkEnd w:id="114"/>
      <w:r>
        <w:rPr/>
        <w:t>8 RECOMENDAÇÕES</w:t>
      </w:r>
    </w:p>
    <w:p>
      <w:pPr>
        <w:pStyle w:val="Bibliography"/>
        <w:rPr/>
      </w:pPr>
      <w:bookmarkStart w:id="116" w:name="refs"/>
      <w:bookmarkStart w:id="117" w:name="ref-Abreu12004"/>
      <w:r>
        <w:rPr/>
        <w:t xml:space="preserve">Abreu, Kauê Cachuba de, Letícia de Paulo Koproski, Ângela Márcia Kuczach, Pedro Chaves de Camargo, e Tiago Giarola Boscarato. 2004. «Grandes Felinos E O Fogo No Parque Nacional De Ilhagrande Brasil». </w:t>
      </w:r>
      <w:r>
        <w:rPr>
          <w:i/>
          <w:iCs/>
        </w:rPr>
        <w:t>FLORESTA</w:t>
      </w:r>
      <w:r>
        <w:rPr/>
        <w:t xml:space="preserve"> 34 (2): 163–67. </w:t>
      </w:r>
      <w:hyperlink r:id="rId11">
        <w:r>
          <w:rPr>
            <w:rStyle w:val="Hyperlink"/>
          </w:rPr>
          <w:t>http://www.bibliotecaflorestal.ufv.br/handle/123456789/16601</w:t>
        </w:r>
      </w:hyperlink>
      <w:r>
        <w:rPr/>
        <w:t>.</w:t>
      </w:r>
      <w:bookmarkEnd w:id="117"/>
    </w:p>
    <w:p>
      <w:pPr>
        <w:pStyle w:val="Bibliography"/>
        <w:rPr/>
      </w:pPr>
      <w:bookmarkStart w:id="118" w:name="ref-VCA2019"/>
      <w:r>
        <w:rPr/>
        <w:t xml:space="preserve">Areas, Verified Conservation. 2019. </w:t>
      </w:r>
      <w:r>
        <w:rPr>
          <w:i/>
          <w:iCs/>
        </w:rPr>
        <w:t>VCA Certification Guidelines</w:t>
      </w:r>
      <w:r>
        <w:rPr/>
        <w:t xml:space="preserve">. VCA Initiative. </w:t>
      </w:r>
      <w:hyperlink r:id="rId12">
        <w:r>
          <w:rPr>
            <w:rStyle w:val="Hyperlink"/>
          </w:rPr>
          <w:t>https://www.vcaguidelines.org</w:t>
        </w:r>
      </w:hyperlink>
      <w:r>
        <w:rPr/>
        <w:t>.</w:t>
      </w:r>
      <w:bookmarkEnd w:id="118"/>
    </w:p>
    <w:p>
      <w:pPr>
        <w:pStyle w:val="Bibliography"/>
        <w:rPr/>
      </w:pPr>
      <w:bookmarkStart w:id="119" w:name="ref-bond2010biodiversity"/>
      <w:r>
        <w:rPr/>
        <w:t xml:space="preserve">Bond, William J., e Catherine L. Parr. 2010. «Beyond the forest edge: ecology, diversity and conservation of the grassy biomes». </w:t>
      </w:r>
      <w:r>
        <w:rPr>
          <w:i/>
          <w:iCs/>
        </w:rPr>
        <w:t>Biological Conservation</w:t>
      </w:r>
      <w:r>
        <w:rPr/>
        <w:t xml:space="preserve"> 143 (10): 2395–2404.</w:t>
      </w:r>
      <w:bookmarkEnd w:id="119"/>
    </w:p>
    <w:p>
      <w:pPr>
        <w:pStyle w:val="Bibliography"/>
        <w:rPr/>
      </w:pPr>
      <w:bookmarkStart w:id="120" w:name="ref-elpais2024"/>
      <w:r>
        <w:rPr/>
        <w:t xml:space="preserve">El País América Futura. 2024. «Las condiciones detrás de los devastadores incendios en el Pantanal sí fueron intensificadas por el cambio climático». </w:t>
      </w:r>
      <w:hyperlink r:id="rId13">
        <w:r>
          <w:rPr>
            <w:rStyle w:val="Hyperlink"/>
          </w:rPr>
          <w:t>https://elpais.com/america-futura/2024-08-08/las-condiciones-detras-de-los-devastadores-incendios-en-el-pantanal-si-fueron-intensificadas-por-el-cambio-climatico.html</w:t>
        </w:r>
      </w:hyperlink>
      <w:r>
        <w:rPr/>
        <w:t>.</w:t>
      </w:r>
      <w:bookmarkEnd w:id="120"/>
    </w:p>
    <w:p>
      <w:pPr>
        <w:pStyle w:val="Bibliography"/>
        <w:rPr/>
      </w:pPr>
      <w:bookmarkStart w:id="121" w:name="ref-furley2006savannas"/>
      <w:r>
        <w:rPr/>
        <w:t xml:space="preserve">Furley, Peter A. 2006. </w:t>
      </w:r>
      <w:r>
        <w:rPr>
          <w:i/>
          <w:iCs/>
        </w:rPr>
        <w:t>The nature and dynamics of tropical savanna vegetation: fire, climate, and grazing interactions</w:t>
      </w:r>
      <w:r>
        <w:rPr/>
        <w:t>. John Wiley &amp; Sons.</w:t>
      </w:r>
      <w:bookmarkEnd w:id="121"/>
    </w:p>
    <w:p>
      <w:pPr>
        <w:pStyle w:val="Bibliography"/>
        <w:rPr/>
      </w:pPr>
      <w:bookmarkStart w:id="122" w:name="ref-Garcia1984"/>
      <w:r>
        <w:rPr/>
        <w:t xml:space="preserve">Garcia, Eduardo Alfonso Cadavid. 1984. «O clima no Pantanal Mato-Grossense». Relatório técnico. Embrapa/UEPAE de Corumbá. </w:t>
      </w:r>
      <w:hyperlink r:id="rId14">
        <w:r>
          <w:rPr>
            <w:rStyle w:val="Hyperlink"/>
          </w:rPr>
          <w:t>https://www.embrapa.br/busca-de-publicacoes/-/publicacao/787712/o-clima-no-pantanal-mato-grossense</w:t>
        </w:r>
      </w:hyperlink>
      <w:r>
        <w:rPr/>
        <w:t>.</w:t>
      </w:r>
      <w:bookmarkEnd w:id="122"/>
    </w:p>
    <w:p>
      <w:pPr>
        <w:pStyle w:val="Bibliography"/>
        <w:rPr/>
      </w:pPr>
      <w:bookmarkStart w:id="123" w:name="ref-SavannaBurning2018"/>
      <w:r>
        <w:rPr/>
        <w:t xml:space="preserve">Government, Australian. 2018. </w:t>
      </w:r>
      <w:r>
        <w:rPr>
          <w:i/>
          <w:iCs/>
        </w:rPr>
        <w:t>Savanna Burning Methodology</w:t>
      </w:r>
      <w:r>
        <w:rPr/>
        <w:t xml:space="preserve">. Australian Carbon Farming. </w:t>
      </w:r>
      <w:hyperlink r:id="rId15">
        <w:r>
          <w:rPr>
            <w:rStyle w:val="Hyperlink"/>
          </w:rPr>
          <w:t>https://www.savannaburning.org</w:t>
        </w:r>
      </w:hyperlink>
      <w:r>
        <w:rPr/>
        <w:t>.</w:t>
      </w:r>
      <w:bookmarkEnd w:id="123"/>
    </w:p>
    <w:p>
      <w:pPr>
        <w:pStyle w:val="Bibliography"/>
        <w:rPr/>
      </w:pPr>
      <w:bookmarkStart w:id="124" w:name="ref-imasul2020"/>
      <w:r>
        <w:rPr/>
        <w:t xml:space="preserve">IMASUL. 2022. «Governo publica georreferenciamento do Parque Estadual do Pantanal do Rio Negro». </w:t>
      </w:r>
      <w:hyperlink r:id="rId16">
        <w:r>
          <w:rPr>
            <w:rStyle w:val="Hyperlink"/>
          </w:rPr>
          <w:t>https://www.imasul.ms.gov.br/governo-publica-georreferenciamento-do-parque-estadual-do-pantanal-do-rio-negro/</w:t>
        </w:r>
      </w:hyperlink>
      <w:r>
        <w:rPr/>
        <w:t>.</w:t>
      </w:r>
      <w:bookmarkEnd w:id="124"/>
    </w:p>
    <w:p>
      <w:pPr>
        <w:pStyle w:val="Bibliography"/>
        <w:rPr/>
      </w:pPr>
      <w:bookmarkStart w:id="125" w:name="ref-imasul2024"/>
      <w:r>
        <w:rPr/>
        <w:t>———</w:t>
      </w:r>
      <w:r>
        <w:rPr/>
        <w:t xml:space="preserve">. 2024. «Ação conjunta entre governo e organizações da sociedade civil reforça infraestrutura do Parque Estadual do Pantanal do Rio Negro». </w:t>
      </w:r>
      <w:hyperlink r:id="rId17">
        <w:r>
          <w:rPr>
            <w:rStyle w:val="Hyperlink"/>
          </w:rPr>
          <w:t>https://www.imasul.ms.gov.br/acao-conjunta-entre-governo-e-organizacoes-da-sociedade-civil-reforcam-infraestrutura-do-parque-estadual-do-pantanal-do-rio-negro/</w:t>
        </w:r>
      </w:hyperlink>
      <w:r>
        <w:rPr/>
        <w:t>.</w:t>
      </w:r>
      <w:bookmarkEnd w:id="125"/>
    </w:p>
    <w:p>
      <w:pPr>
        <w:pStyle w:val="Bibliography"/>
        <w:rPr/>
      </w:pPr>
      <w:bookmarkStart w:id="126" w:name="ref-parr2009fire"/>
      <w:r>
        <w:rPr/>
        <w:t xml:space="preserve">Parr, Catherine L., Alan N. Andersen, Charly Chastagnol, e Richard J. Williams. 2009. «Fire as an ecosystem engineer: the impact of changes in fire regime on structure and biodiversity in savannas». </w:t>
      </w:r>
      <w:r>
        <w:rPr>
          <w:i/>
          <w:iCs/>
        </w:rPr>
        <w:t>Ecography</w:t>
      </w:r>
      <w:r>
        <w:rPr/>
        <w:t xml:space="preserve"> 32 (6): 937–48.</w:t>
      </w:r>
      <w:bookmarkEnd w:id="126"/>
    </w:p>
    <w:p>
      <w:pPr>
        <w:pStyle w:val="Bibliography"/>
        <w:rPr/>
      </w:pPr>
      <w:bookmarkStart w:id="127" w:name="ref-BCRSavannas2020"/>
      <w:r>
        <w:rPr/>
        <w:t xml:space="preserve">Registry, BioCarbon. 2020. </w:t>
      </w:r>
      <w:r>
        <w:rPr>
          <w:i/>
          <w:iCs/>
        </w:rPr>
        <w:t>Natural Savannas Certification (BCR0005)</w:t>
      </w:r>
      <w:r>
        <w:rPr/>
        <w:t xml:space="preserve">. BioCarbon Initiative. </w:t>
      </w:r>
      <w:hyperlink r:id="rId18">
        <w:r>
          <w:rPr>
            <w:rStyle w:val="Hyperlink"/>
          </w:rPr>
          <w:t>https://www.biocarbonregistry.org/savannas</w:t>
        </w:r>
      </w:hyperlink>
      <w:r>
        <w:rPr/>
        <w:t>.</w:t>
      </w:r>
      <w:bookmarkEnd w:id="127"/>
    </w:p>
    <w:p>
      <w:pPr>
        <w:pStyle w:val="Bibliography"/>
        <w:rPr/>
      </w:pPr>
      <w:bookmarkStart w:id="128" w:name="ref-BCRWetlands2021"/>
      <w:r>
        <w:rPr/>
        <w:t>———</w:t>
      </w:r>
      <w:r>
        <w:rPr/>
        <w:t xml:space="preserve">. 2021. </w:t>
      </w:r>
      <w:r>
        <w:rPr>
          <w:i/>
          <w:iCs/>
        </w:rPr>
        <w:t>Wetlands Conservation and Restoration (BCR0007)</w:t>
      </w:r>
      <w:r>
        <w:rPr/>
        <w:t xml:space="preserve">. BioCarbon Initiative. </w:t>
      </w:r>
      <w:hyperlink r:id="rId19">
        <w:r>
          <w:rPr>
            <w:rStyle w:val="Hyperlink"/>
          </w:rPr>
          <w:t>https://www.biocarbonregistry.org/wetlands</w:t>
        </w:r>
      </w:hyperlink>
      <w:r>
        <w:rPr/>
        <w:t>.</w:t>
      </w:r>
      <w:bookmarkEnd w:id="128"/>
    </w:p>
    <w:p>
      <w:pPr>
        <w:pStyle w:val="Bibliography"/>
        <w:rPr/>
      </w:pPr>
      <w:bookmarkStart w:id="129" w:name="ref-BCR2022"/>
      <w:r>
        <w:rPr/>
        <w:t>———</w:t>
      </w:r>
      <w:r>
        <w:rPr/>
        <w:t xml:space="preserve">. 2022. </w:t>
      </w:r>
      <w:r>
        <w:rPr>
          <w:i/>
          <w:iCs/>
        </w:rPr>
        <w:t>BioCarbon Standards</w:t>
      </w:r>
      <w:r>
        <w:rPr/>
        <w:t xml:space="preserve">. BioCarbon Initiative. </w:t>
      </w:r>
      <w:hyperlink r:id="rId20">
        <w:r>
          <w:rPr>
            <w:rStyle w:val="Hyperlink"/>
          </w:rPr>
          <w:t>https://www.biocarbonstandards.org</w:t>
        </w:r>
      </w:hyperlink>
      <w:r>
        <w:rPr/>
        <w:t>.</w:t>
      </w:r>
      <w:bookmarkEnd w:id="129"/>
    </w:p>
    <w:p>
      <w:pPr>
        <w:pStyle w:val="Bibliography"/>
        <w:rPr/>
      </w:pPr>
      <w:bookmarkStart w:id="130" w:name="ref-BCS2023"/>
      <w:r>
        <w:rPr/>
        <w:t xml:space="preserve">Standard, Biodiversity Credit. 2023. </w:t>
      </w:r>
      <w:r>
        <w:rPr>
          <w:i/>
          <w:iCs/>
        </w:rPr>
        <w:t>Biodiversity Credit Standard Framework</w:t>
      </w:r>
      <w:r>
        <w:rPr/>
        <w:t xml:space="preserve">. Biodiversity Credit Initiative. </w:t>
      </w:r>
      <w:hyperlink r:id="rId21">
        <w:r>
          <w:rPr>
            <w:rStyle w:val="Hyperlink"/>
          </w:rPr>
          <w:t>https://www.biodiversitycredits.org</w:t>
        </w:r>
      </w:hyperlink>
      <w:r>
        <w:rPr/>
        <w:t>.</w:t>
      </w:r>
      <w:bookmarkEnd w:id="130"/>
    </w:p>
    <w:p>
      <w:pPr>
        <w:pStyle w:val="Bibliography"/>
        <w:rPr/>
      </w:pPr>
      <w:bookmarkStart w:id="131" w:name="ref-VCSFire2021"/>
      <w:r>
        <w:rPr/>
        <w:t xml:space="preserve">Standard, Verified Carbon. 2021. </w:t>
      </w:r>
      <w:r>
        <w:rPr>
          <w:i/>
          <w:iCs/>
        </w:rPr>
        <w:t>Fire Management Methodologies</w:t>
      </w:r>
      <w:r>
        <w:rPr/>
        <w:t xml:space="preserve">. VCS Initiative. </w:t>
      </w:r>
      <w:hyperlink r:id="rId22">
        <w:r>
          <w:rPr>
            <w:rStyle w:val="Hyperlink"/>
          </w:rPr>
          <w:t>https://www.vcsfiremanagement.org</w:t>
        </w:r>
      </w:hyperlink>
      <w:r>
        <w:rPr/>
        <w:t>.</w:t>
      </w:r>
      <w:bookmarkEnd w:id="131"/>
    </w:p>
    <w:p>
      <w:pPr>
        <w:pStyle w:val="Bibliography"/>
        <w:rPr/>
      </w:pPr>
      <w:bookmarkStart w:id="132" w:name="ref-Torrecilha2008"/>
      <w:r>
        <w:rPr/>
        <w:t>Torrecilha, Sylvia, e Rodiney de Arruda Mauro. 2008. «Plano De Manejo do Parque Estadual do Pantanal do Rio Negro». Plano de Manejo. Estado do Mato Grosso do Sul.</w:t>
      </w:r>
      <w:bookmarkEnd w:id="132"/>
    </w:p>
    <w:p>
      <w:pPr>
        <w:pStyle w:val="Bibliography"/>
        <w:rPr/>
      </w:pPr>
      <w:bookmarkStart w:id="133" w:name="ref-ValenciaZuleta2024"/>
      <w:r>
        <w:rPr/>
        <w:t xml:space="preserve">Valencia-Zuleta, Alejandro, Aline Richter, Gabriela do Valle Alvarenga, Flavia Regina de Queiroz Batista, Leonardo Felipe Bairos Moreira, Bruna Arbo-Meneses, Ana Paula Gomes Lustosa, Christine Strüssmann, Carlos Roberto Abrahão, e Lara Gomes Côrtes. 2024. «O fogo e a herpetofauna no Pantanal: observações durante e após os incêndios». </w:t>
      </w:r>
      <w:r>
        <w:rPr>
          <w:i/>
          <w:iCs/>
        </w:rPr>
        <w:t>Biodiversidade Brasileira</w:t>
      </w:r>
      <w:r>
        <w:rPr/>
        <w:t xml:space="preserve"> 14 (4). </w:t>
      </w:r>
      <w:hyperlink r:id="rId23">
        <w:r>
          <w:rPr>
            <w:rStyle w:val="Hyperlink"/>
          </w:rPr>
          <w:t>https://doi.org/10.37002/biodiversidadebrasileira.v14i4.2556</w:t>
        </w:r>
      </w:hyperlink>
      <w:r>
        <w:rPr/>
        <w:t>.</w:t>
      </w:r>
      <w:bookmarkEnd w:id="133"/>
    </w:p>
    <w:p>
      <w:pPr>
        <w:pStyle w:val="Bibliography"/>
        <w:rPr/>
      </w:pPr>
      <w:bookmarkStart w:id="134" w:name="ref-Vigano2018"/>
      <w:r>
        <w:rPr/>
        <w:t xml:space="preserve">Viganó, Hevelyne Henn da Gama, Celso Correia de Souza, Marcia Ferreira Cristaldo, José Francisco dos Reis Neto, e Leandro de Jesus. 2018. «Incêndios no Pantanal de Corumbá, MS: modelagem e previsão a partir das técnicas de análise multivariada». </w:t>
      </w:r>
      <w:r>
        <w:rPr>
          <w:i/>
          <w:iCs/>
        </w:rPr>
        <w:t>Revista Ambiente &amp; Água</w:t>
      </w:r>
      <w:r>
        <w:rPr/>
        <w:t xml:space="preserve"> 13 (outubro): e2024. </w:t>
      </w:r>
      <w:hyperlink r:id="rId24">
        <w:r>
          <w:rPr>
            <w:rStyle w:val="Hyperlink"/>
          </w:rPr>
          <w:t>https://doi.org/10.4136/ambi-agua.2024</w:t>
        </w:r>
      </w:hyperlink>
      <w:r>
        <w:rPr/>
        <w:t>.</w:t>
      </w:r>
      <w:bookmarkEnd w:id="134"/>
    </w:p>
    <w:p>
      <w:pPr>
        <w:pStyle w:val="Bibliography"/>
        <w:suppressAutoHyphens w:val="true"/>
        <w:spacing w:lineRule="auto" w:line="240" w:before="0" w:after="200"/>
        <w:rPr/>
      </w:pPr>
      <w:bookmarkStart w:id="135" w:name="ref-PlanVivo2021"/>
      <w:r>
        <w:rPr/>
        <w:t xml:space="preserve">Vivo, Plan. 2021. </w:t>
      </w:r>
      <w:r>
        <w:rPr>
          <w:i/>
          <w:iCs/>
        </w:rPr>
        <w:t>Plan Vivo Standards and Requirements</w:t>
      </w:r>
      <w:r>
        <w:rPr/>
        <w:t xml:space="preserve">. Plan Vivo Foundation. </w:t>
      </w:r>
      <w:hyperlink r:id="rId25">
        <w:r>
          <w:rPr>
            <w:rStyle w:val="Hyperlink"/>
          </w:rPr>
          <w:t>https://www.planvivo.org</w:t>
        </w:r>
      </w:hyperlink>
      <w:r>
        <w:rPr/>
        <w:t>.</w:t>
      </w:r>
      <w:bookmarkEnd w:id="115"/>
      <w:bookmarkEnd w:id="116"/>
      <w:bookmarkEnd w:id="135"/>
    </w:p>
    <w:sectPr>
      <w:headerReference w:type="even" r:id="rId26"/>
      <w:headerReference w:type="default" r:id="rId27"/>
      <w:headerReference w:type="first" r:id="rId28"/>
      <w:footerReference w:type="even" r:id="rId29"/>
      <w:footerReference w:type="default" r:id="rId30"/>
      <w:footerReference w:type="first" r:id="rId31"/>
      <w:type w:val="nextPage"/>
      <w:pgSz w:w="11906" w:h="16838"/>
      <w:pgMar w:left="851" w:right="849" w:gutter="0" w:header="426" w:top="1276" w:footer="708" w:bottom="993"/>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Arial">
    <w:charset w:val="01"/>
    <w:family w:val="swiss"/>
    <w:pitch w:val="variable"/>
  </w:font>
  <w:font w:name="Consolas">
    <w:charset w:val="01"/>
    <w:family w:val="roman"/>
    <w:pitch w:val="variable"/>
  </w:font>
  <w:font w:name="Optima">
    <w:charset w:val="01"/>
    <w:family w:val="roman"/>
    <w:pitch w:val="variable"/>
  </w:font>
  <w:font w:name="Georg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 BLANCA">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spacing w:lineRule="auto" w:line="240" w:before="0" w:after="0"/>
      <w:rPr>
        <w:rFonts w:cs="Calibri"/>
        <w:color w:val="000000"/>
      </w:rPr>
    </w:pPr>
    <w:r>
      <w:rPr>
        <w:rFonts w:cs="Calibri"/>
        <w:color w:val="000000"/>
      </w:rPr>
    </w:r>
  </w:p>
  <w:p>
    <w:pPr>
      <w:pStyle w:val="Normal"/>
      <w:numPr>
        <w:ilvl w:val="0"/>
        <w:numId w:val="1"/>
      </w:numPr>
      <w:tabs>
        <w:tab w:val="clear" w:pos="720"/>
        <w:tab w:val="center" w:pos="4252" w:leader="none"/>
        <w:tab w:val="right" w:pos="8504" w:leader="none"/>
      </w:tabs>
      <w:spacing w:lineRule="auto" w:line="240" w:before="0" w:after="0"/>
      <w:rPr>
        <w:rFonts w:cs="Calibri"/>
        <w:color w:val="000000"/>
        <w:sz w:val="18"/>
        <w:szCs w:val="18"/>
      </w:rPr>
    </w:pPr>
    <w:r>
      <w:rPr>
        <w:rFonts w:ascii="AR BLANCA" w:hAnsi="AR BLANCA"/>
      </w:rPr>
      <w:t xml:space="preserve">ECODATAGEO                     </w:t>
    </w:r>
    <w:r>
      <w:rPr>
        <w:rFonts w:cs="Calibri"/>
        <w:color w:val="000000"/>
        <w:sz w:val="18"/>
        <w:szCs w:val="18"/>
      </w:rPr>
      <w:tab/>
    </w:r>
    <w:r>
      <w:rPr/>
      <w:drawing>
        <wp:inline distT="0" distB="0" distL="0" distR="0">
          <wp:extent cx="114300" cy="114300"/>
          <wp:effectExtent l="0" t="0" r="0" b="0"/>
          <wp:docPr id="1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descr=""/>
                  <pic:cNvPicPr>
                    <a:picLocks noChangeAspect="1" noChangeArrowheads="1"/>
                  </pic:cNvPicPr>
                </pic:nvPicPr>
                <pic:blipFill>
                  <a:blip r:embed="rId1"/>
                  <a:stretch>
                    <a:fillRect/>
                  </a:stretch>
                </pic:blipFill>
                <pic:spPr bwMode="auto">
                  <a:xfrm>
                    <a:off x="0" y="0"/>
                    <a:ext cx="114300" cy="114300"/>
                  </a:xfrm>
                  <a:prstGeom prst="rect">
                    <a:avLst/>
                  </a:prstGeom>
                  <a:noFill/>
                </pic:spPr>
              </pic:pic>
            </a:graphicData>
          </a:graphic>
        </wp:inline>
      </w:drawing>
    </w:r>
    <w:r>
      <w:rPr>
        <w:rFonts w:cs="Calibri"/>
        <w:color w:val="000000"/>
        <w:sz w:val="18"/>
        <w:szCs w:val="18"/>
      </w:rPr>
      <w:t xml:space="preserve">     (48) 99155-0984    </w:t>
    </w:r>
    <w:r>
      <w:rPr>
        <w:rFonts w:cs="Calibri"/>
        <w:color w:val="363636"/>
        <w:sz w:val="18"/>
        <w:szCs w:val="18"/>
      </w:rPr>
      <w:t xml:space="preserve">                                                              </w:t>
    </w:r>
    <w:r>
      <w:drawing>
        <wp:anchor behindDoc="1" distT="0" distB="0" distL="114300" distR="114300" simplePos="0" locked="0" layoutInCell="0" allowOverlap="1" relativeHeight="79">
          <wp:simplePos x="0" y="0"/>
          <wp:positionH relativeFrom="column">
            <wp:posOffset>2246630</wp:posOffset>
          </wp:positionH>
          <wp:positionV relativeFrom="paragraph">
            <wp:posOffset>295910</wp:posOffset>
          </wp:positionV>
          <wp:extent cx="144780" cy="144780"/>
          <wp:effectExtent l="0" t="0" r="0" b="0"/>
          <wp:wrapSquare wrapText="bothSides"/>
          <wp:docPr id="13"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jpg" descr=""/>
                  <pic:cNvPicPr>
                    <a:picLocks noChangeAspect="1" noChangeArrowheads="1"/>
                  </pic:cNvPicPr>
                </pic:nvPicPr>
                <pic:blipFill>
                  <a:blip r:embed="rId2"/>
                  <a:stretch>
                    <a:fillRect/>
                  </a:stretch>
                </pic:blipFill>
                <pic:spPr bwMode="auto">
                  <a:xfrm>
                    <a:off x="0" y="0"/>
                    <a:ext cx="144780" cy="144780"/>
                  </a:xfrm>
                  <a:prstGeom prst="rect">
                    <a:avLst/>
                  </a:prstGeom>
                  <a:noFill/>
                </pic:spPr>
              </pic:pic>
            </a:graphicData>
          </a:graphic>
        </wp:anchor>
      </w:drawing>
    </w:r>
    <w:r>
      <w:rPr>
        <w:rFonts w:cs="Calibri"/>
        <w:color w:val="000000"/>
        <w:sz w:val="18"/>
        <w:szCs w:val="18"/>
      </w:rPr>
      <w:t>www.ecodatageo.com</w:t>
    </w:r>
  </w:p>
  <w:p>
    <w:pPr>
      <w:pStyle w:val="Normal"/>
      <w:tabs>
        <w:tab w:val="clear" w:pos="720"/>
        <w:tab w:val="center" w:pos="4252" w:leader="none"/>
        <w:tab w:val="right" w:pos="8504" w:leader="none"/>
      </w:tabs>
      <w:spacing w:lineRule="auto" w:line="240" w:before="0" w:after="0"/>
      <w:ind w:left="720"/>
      <w:rPr>
        <w:rFonts w:cs="Calibri"/>
        <w:color w:val="000000"/>
        <w:sz w:val="18"/>
        <w:szCs w:val="18"/>
      </w:rPr>
    </w:pPr>
    <w:r>
      <w:rPr>
        <w:rFonts w:cs="Calibri"/>
        <w:color w:val="000000"/>
        <w:sz w:val="18"/>
        <w:szCs w:val="18"/>
      </w:rPr>
      <w:t xml:space="preserve">                                                                  </w:t>
    </w:r>
    <w:r>
      <w:rPr>
        <w:rFonts w:cs="Calibri"/>
        <w:color w:val="000000"/>
        <w:sz w:val="18"/>
        <w:szCs w:val="18"/>
      </w:rPr>
      <w:t xml:space="preserve">(48) 99155-0984    </w:t>
    </w:r>
    <w:r>
      <w:rPr>
        <w:rFonts w:cs="Calibri"/>
        <w:color w:val="363636"/>
        <w:sz w:val="18"/>
        <w:szCs w:val="18"/>
      </w:rPr>
      <w:t xml:space="preserve">                                                             </w:t>
    </w:r>
    <w:r>
      <w:rPr>
        <w:rFonts w:cs="Calibri"/>
        <w:color w:val="000000"/>
        <w:sz w:val="18"/>
        <w:szCs w:val="18"/>
      </w:rPr>
      <w:t>Ecotadageo@gmail.com</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spacing w:lineRule="auto" w:line="240" w:before="0" w:after="0"/>
      <w:rPr>
        <w:rFonts w:cs="Calibri"/>
        <w:color w:val="000000"/>
      </w:rPr>
    </w:pPr>
    <w:r>
      <w:rPr>
        <w:rFonts w:cs="Calibri"/>
        <w:color w:val="000000"/>
      </w:rPr>
    </w:r>
  </w:p>
  <w:p>
    <w:pPr>
      <w:pStyle w:val="Normal"/>
      <w:numPr>
        <w:ilvl w:val="0"/>
        <w:numId w:val="1"/>
      </w:numPr>
      <w:tabs>
        <w:tab w:val="clear" w:pos="720"/>
        <w:tab w:val="center" w:pos="4252" w:leader="none"/>
        <w:tab w:val="right" w:pos="8504" w:leader="none"/>
      </w:tabs>
      <w:spacing w:lineRule="auto" w:line="240" w:before="0" w:after="0"/>
      <w:rPr>
        <w:rFonts w:cs="Calibri"/>
        <w:color w:val="000000"/>
        <w:sz w:val="18"/>
        <w:szCs w:val="18"/>
      </w:rPr>
    </w:pPr>
    <w:r>
      <w:rPr>
        <w:rFonts w:ascii="AR BLANCA" w:hAnsi="AR BLANCA"/>
      </w:rPr>
      <w:t xml:space="preserve">ECODATAGEO                     </w:t>
    </w:r>
    <w:r>
      <w:rPr>
        <w:rFonts w:cs="Calibri"/>
        <w:color w:val="000000"/>
        <w:sz w:val="18"/>
        <w:szCs w:val="18"/>
      </w:rPr>
      <w:tab/>
    </w:r>
    <w:r>
      <w:rPr/>
      <w:drawing>
        <wp:inline distT="0" distB="0" distL="0" distR="0">
          <wp:extent cx="114300" cy="114300"/>
          <wp:effectExtent l="0" t="0" r="0" b="0"/>
          <wp:docPr id="1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descr=""/>
                  <pic:cNvPicPr>
                    <a:picLocks noChangeAspect="1" noChangeArrowheads="1"/>
                  </pic:cNvPicPr>
                </pic:nvPicPr>
                <pic:blipFill>
                  <a:blip r:embed="rId1"/>
                  <a:stretch>
                    <a:fillRect/>
                  </a:stretch>
                </pic:blipFill>
                <pic:spPr bwMode="auto">
                  <a:xfrm>
                    <a:off x="0" y="0"/>
                    <a:ext cx="114300" cy="114300"/>
                  </a:xfrm>
                  <a:prstGeom prst="rect">
                    <a:avLst/>
                  </a:prstGeom>
                  <a:noFill/>
                </pic:spPr>
              </pic:pic>
            </a:graphicData>
          </a:graphic>
        </wp:inline>
      </w:drawing>
    </w:r>
    <w:r>
      <w:rPr>
        <w:rFonts w:cs="Calibri"/>
        <w:color w:val="000000"/>
        <w:sz w:val="18"/>
        <w:szCs w:val="18"/>
      </w:rPr>
      <w:t xml:space="preserve">     (48) 99155-0984    </w:t>
    </w:r>
    <w:r>
      <w:rPr>
        <w:rFonts w:cs="Calibri"/>
        <w:color w:val="363636"/>
        <w:sz w:val="18"/>
        <w:szCs w:val="18"/>
      </w:rPr>
      <w:t xml:space="preserve">                                                              </w:t>
    </w:r>
    <w:r>
      <w:drawing>
        <wp:anchor behindDoc="1" distT="0" distB="0" distL="114300" distR="114300" simplePos="0" locked="0" layoutInCell="0" allowOverlap="1" relativeHeight="79">
          <wp:simplePos x="0" y="0"/>
          <wp:positionH relativeFrom="column">
            <wp:posOffset>2246630</wp:posOffset>
          </wp:positionH>
          <wp:positionV relativeFrom="paragraph">
            <wp:posOffset>295910</wp:posOffset>
          </wp:positionV>
          <wp:extent cx="144780" cy="144780"/>
          <wp:effectExtent l="0" t="0" r="0" b="0"/>
          <wp:wrapSquare wrapText="bothSides"/>
          <wp:docPr id="15"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jpg" descr=""/>
                  <pic:cNvPicPr>
                    <a:picLocks noChangeAspect="1" noChangeArrowheads="1"/>
                  </pic:cNvPicPr>
                </pic:nvPicPr>
                <pic:blipFill>
                  <a:blip r:embed="rId2"/>
                  <a:stretch>
                    <a:fillRect/>
                  </a:stretch>
                </pic:blipFill>
                <pic:spPr bwMode="auto">
                  <a:xfrm>
                    <a:off x="0" y="0"/>
                    <a:ext cx="144780" cy="144780"/>
                  </a:xfrm>
                  <a:prstGeom prst="rect">
                    <a:avLst/>
                  </a:prstGeom>
                  <a:noFill/>
                </pic:spPr>
              </pic:pic>
            </a:graphicData>
          </a:graphic>
        </wp:anchor>
      </w:drawing>
    </w:r>
    <w:r>
      <w:rPr>
        <w:rFonts w:cs="Calibri"/>
        <w:color w:val="000000"/>
        <w:sz w:val="18"/>
        <w:szCs w:val="18"/>
      </w:rPr>
      <w:t>www.ecodatageo.com</w:t>
    </w:r>
  </w:p>
  <w:p>
    <w:pPr>
      <w:pStyle w:val="Normal"/>
      <w:tabs>
        <w:tab w:val="clear" w:pos="720"/>
        <w:tab w:val="center" w:pos="4252" w:leader="none"/>
        <w:tab w:val="right" w:pos="8504" w:leader="none"/>
      </w:tabs>
      <w:spacing w:lineRule="auto" w:line="240" w:before="0" w:after="0"/>
      <w:ind w:left="720"/>
      <w:rPr>
        <w:rFonts w:cs="Calibri"/>
        <w:color w:val="000000"/>
        <w:sz w:val="18"/>
        <w:szCs w:val="18"/>
      </w:rPr>
    </w:pPr>
    <w:r>
      <w:rPr>
        <w:rFonts w:cs="Calibri"/>
        <w:color w:val="000000"/>
        <w:sz w:val="18"/>
        <w:szCs w:val="18"/>
      </w:rPr>
      <w:t xml:space="preserve">                                                                  </w:t>
    </w:r>
    <w:r>
      <w:rPr>
        <w:rFonts w:cs="Calibri"/>
        <w:color w:val="000000"/>
        <w:sz w:val="18"/>
        <w:szCs w:val="18"/>
      </w:rPr>
      <w:t xml:space="preserve">(48) 99155-0984    </w:t>
    </w:r>
    <w:r>
      <w:rPr>
        <w:rFonts w:cs="Calibri"/>
        <w:color w:val="363636"/>
        <w:sz w:val="18"/>
        <w:szCs w:val="18"/>
      </w:rPr>
      <w:t xml:space="preserve">                                                             </w:t>
    </w:r>
    <w:r>
      <w:rPr>
        <w:rFonts w:cs="Calibri"/>
        <w:color w:val="000000"/>
        <w:sz w:val="18"/>
        <w:szCs w:val="18"/>
      </w:rPr>
      <w:t>Ecotadageo@gmail.com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spacing w:lineRule="auto" w:line="240" w:before="0" w:after="0"/>
      <w:jc w:val="right"/>
      <w:rPr>
        <w:rFonts w:ascii="AR BLANCA" w:hAnsi="AR BLANCA" w:cs="Calibri"/>
        <w:color w:val="000000"/>
      </w:rPr>
    </w:pPr>
    <w:r>
      <w:drawing>
        <wp:anchor behindDoc="1" distT="0" distB="0" distL="0" distR="0" simplePos="0" locked="0" layoutInCell="1" allowOverlap="1" relativeHeight="33">
          <wp:simplePos x="0" y="0"/>
          <wp:positionH relativeFrom="column">
            <wp:posOffset>61595</wp:posOffset>
          </wp:positionH>
          <wp:positionV relativeFrom="paragraph">
            <wp:posOffset>-148590</wp:posOffset>
          </wp:positionV>
          <wp:extent cx="1130300" cy="601980"/>
          <wp:effectExtent l="0" t="0" r="0" b="0"/>
          <wp:wrapNone/>
          <wp:docPr id="10" name="Imagem 20569260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2056926051" descr=""/>
                  <pic:cNvPicPr>
                    <a:picLocks noChangeAspect="1" noChangeArrowheads="1"/>
                  </pic:cNvPicPr>
                </pic:nvPicPr>
                <pic:blipFill>
                  <a:blip r:embed="rId1"/>
                  <a:stretch>
                    <a:fillRect/>
                  </a:stretch>
                </pic:blipFill>
                <pic:spPr bwMode="auto">
                  <a:xfrm>
                    <a:off x="0" y="0"/>
                    <a:ext cx="1130300" cy="601980"/>
                  </a:xfrm>
                  <a:prstGeom prst="rect">
                    <a:avLst/>
                  </a:prstGeom>
                  <a:noFill/>
                </pic:spPr>
              </pic:pic>
            </a:graphicData>
          </a:graphic>
        </wp:anchor>
      </w:drawing>
    </w:r>
    <w:r>
      <w:rPr/>
      <w:t xml:space="preserve">Pablo Pacheco MEI - </w:t>
    </w:r>
    <w:r>
      <w:rPr>
        <w:rFonts w:ascii="AR BLANCA" w:hAnsi="AR BLANCA"/>
      </w:rPr>
      <w:t>ECODATAGEO</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spacing w:lineRule="auto" w:line="240" w:before="0" w:after="0"/>
      <w:jc w:val="right"/>
      <w:rPr>
        <w:rFonts w:ascii="AR BLANCA" w:hAnsi="AR BLANCA" w:cs="Calibri"/>
        <w:color w:val="000000"/>
      </w:rPr>
    </w:pPr>
    <w:r>
      <w:drawing>
        <wp:anchor behindDoc="1" distT="0" distB="0" distL="0" distR="0" simplePos="0" locked="0" layoutInCell="1" allowOverlap="1" relativeHeight="33">
          <wp:simplePos x="0" y="0"/>
          <wp:positionH relativeFrom="column">
            <wp:posOffset>61595</wp:posOffset>
          </wp:positionH>
          <wp:positionV relativeFrom="paragraph">
            <wp:posOffset>-148590</wp:posOffset>
          </wp:positionV>
          <wp:extent cx="1130300" cy="601980"/>
          <wp:effectExtent l="0" t="0" r="0" b="0"/>
          <wp:wrapNone/>
          <wp:docPr id="11" name="Imagem 20569260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2056926051" descr=""/>
                  <pic:cNvPicPr>
                    <a:picLocks noChangeAspect="1" noChangeArrowheads="1"/>
                  </pic:cNvPicPr>
                </pic:nvPicPr>
                <pic:blipFill>
                  <a:blip r:embed="rId1"/>
                  <a:stretch>
                    <a:fillRect/>
                  </a:stretch>
                </pic:blipFill>
                <pic:spPr bwMode="auto">
                  <a:xfrm>
                    <a:off x="0" y="0"/>
                    <a:ext cx="1130300" cy="601980"/>
                  </a:xfrm>
                  <a:prstGeom prst="rect">
                    <a:avLst/>
                  </a:prstGeom>
                  <a:noFill/>
                </pic:spPr>
              </pic:pic>
            </a:graphicData>
          </a:graphic>
        </wp:anchor>
      </w:drawing>
    </w:r>
    <w:r>
      <w:rPr/>
      <w:t xml:space="preserve">Pablo Pacheco MEI - </w:t>
    </w:r>
    <w:r>
      <w:rPr>
        <w:rFonts w:ascii="AR BLANCA" w:hAnsi="AR BLANCA"/>
      </w:rPr>
      <w:t>ECODATAGEO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6">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7">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8">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9">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0">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1">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3">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4">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5">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6">
    <w:lvl w:ilvl="0">
      <w:start w:val="2"/>
      <w:numFmt w:val="decimal"/>
      <w:lvlText w:val="%1."/>
      <w:lvlJc w:val="left"/>
      <w:pPr>
        <w:tabs>
          <w:tab w:val="num" w:pos="0"/>
        </w:tabs>
        <w:ind w:left="720" w:hanging="360"/>
      </w:pPr>
      <w:rPr/>
    </w:lvl>
    <w:lvl w:ilvl="1">
      <w:start w:val="2"/>
      <w:numFmt w:val="decimal"/>
      <w:lvlText w:val="%2."/>
      <w:lvlJc w:val="left"/>
      <w:pPr>
        <w:tabs>
          <w:tab w:val="num" w:pos="0"/>
        </w:tabs>
        <w:ind w:left="1440" w:hanging="360"/>
      </w:pPr>
      <w:rPr/>
    </w:lvl>
    <w:lvl w:ilvl="2">
      <w:start w:val="2"/>
      <w:numFmt w:val="decimal"/>
      <w:lvlText w:val="%3."/>
      <w:lvlJc w:val="left"/>
      <w:pPr>
        <w:tabs>
          <w:tab w:val="num" w:pos="0"/>
        </w:tabs>
        <w:ind w:left="2160" w:hanging="360"/>
      </w:pPr>
      <w:rPr/>
    </w:lvl>
    <w:lvl w:ilvl="3">
      <w:start w:val="2"/>
      <w:numFmt w:val="decimal"/>
      <w:lvlText w:val="%4."/>
      <w:lvlJc w:val="left"/>
      <w:pPr>
        <w:tabs>
          <w:tab w:val="num" w:pos="0"/>
        </w:tabs>
        <w:ind w:left="2880" w:hanging="360"/>
      </w:pPr>
      <w:rPr/>
    </w:lvl>
    <w:lvl w:ilvl="4">
      <w:start w:val="2"/>
      <w:numFmt w:val="decimal"/>
      <w:lvlText w:val="%5."/>
      <w:lvlJc w:val="left"/>
      <w:pPr>
        <w:tabs>
          <w:tab w:val="num" w:pos="0"/>
        </w:tabs>
        <w:ind w:left="3600" w:hanging="360"/>
      </w:pPr>
      <w:rPr/>
    </w:lvl>
    <w:lvl w:ilvl="5">
      <w:start w:val="2"/>
      <w:numFmt w:val="decimal"/>
      <w:lvlText w:val="%6."/>
      <w:lvlJc w:val="left"/>
      <w:pPr>
        <w:tabs>
          <w:tab w:val="num" w:pos="0"/>
        </w:tabs>
        <w:ind w:left="4320" w:hanging="360"/>
      </w:pPr>
      <w:rPr/>
    </w:lvl>
    <w:lvl w:ilvl="6">
      <w:start w:val="2"/>
      <w:numFmt w:val="decimal"/>
      <w:lvlText w:val="%7."/>
      <w:lvlJc w:val="left"/>
      <w:pPr>
        <w:tabs>
          <w:tab w:val="num" w:pos="0"/>
        </w:tabs>
        <w:ind w:left="5040" w:hanging="360"/>
      </w:pPr>
      <w:rPr/>
    </w:lvl>
    <w:lvl w:ilvl="7">
      <w:start w:val="2"/>
      <w:numFmt w:val="decimal"/>
      <w:lvlText w:val="%8."/>
      <w:lvlJc w:val="left"/>
      <w:pPr>
        <w:tabs>
          <w:tab w:val="num" w:pos="0"/>
        </w:tabs>
        <w:ind w:left="5760" w:hanging="360"/>
      </w:pPr>
      <w:rPr/>
    </w:lvl>
    <w:lvl w:ilvl="8">
      <w:start w:val="2"/>
      <w:numFmt w:val="decimal"/>
      <w:lvlText w:val="%9."/>
      <w:lvlJc w:val="left"/>
      <w:pPr>
        <w:tabs>
          <w:tab w:val="num" w:pos="0"/>
        </w:tabs>
        <w:ind w:left="6480" w:hanging="360"/>
      </w:pPr>
      <w:rPr/>
    </w:lvl>
  </w:abstractNum>
  <w:abstractNum w:abstractNumId="17">
    <w:lvl w:ilvl="0">
      <w:start w:val="3"/>
      <w:numFmt w:val="decimal"/>
      <w:lvlText w:val="%1."/>
      <w:lvlJc w:val="left"/>
      <w:pPr>
        <w:tabs>
          <w:tab w:val="num" w:pos="0"/>
        </w:tabs>
        <w:ind w:left="720" w:hanging="360"/>
      </w:pPr>
      <w:rPr/>
    </w:lvl>
    <w:lvl w:ilvl="1">
      <w:start w:val="3"/>
      <w:numFmt w:val="decimal"/>
      <w:lvlText w:val="%2."/>
      <w:lvlJc w:val="left"/>
      <w:pPr>
        <w:tabs>
          <w:tab w:val="num" w:pos="0"/>
        </w:tabs>
        <w:ind w:left="1440" w:hanging="360"/>
      </w:pPr>
      <w:rPr/>
    </w:lvl>
    <w:lvl w:ilvl="2">
      <w:start w:val="3"/>
      <w:numFmt w:val="decimal"/>
      <w:lvlText w:val="%3."/>
      <w:lvlJc w:val="left"/>
      <w:pPr>
        <w:tabs>
          <w:tab w:val="num" w:pos="0"/>
        </w:tabs>
        <w:ind w:left="2160" w:hanging="360"/>
      </w:pPr>
      <w:rPr/>
    </w:lvl>
    <w:lvl w:ilvl="3">
      <w:start w:val="3"/>
      <w:numFmt w:val="decimal"/>
      <w:lvlText w:val="%4."/>
      <w:lvlJc w:val="left"/>
      <w:pPr>
        <w:tabs>
          <w:tab w:val="num" w:pos="0"/>
        </w:tabs>
        <w:ind w:left="2880" w:hanging="360"/>
      </w:pPr>
      <w:rPr/>
    </w:lvl>
    <w:lvl w:ilvl="4">
      <w:start w:val="3"/>
      <w:numFmt w:val="decimal"/>
      <w:lvlText w:val="%5."/>
      <w:lvlJc w:val="left"/>
      <w:pPr>
        <w:tabs>
          <w:tab w:val="num" w:pos="0"/>
        </w:tabs>
        <w:ind w:left="3600" w:hanging="360"/>
      </w:pPr>
      <w:rPr/>
    </w:lvl>
    <w:lvl w:ilvl="5">
      <w:start w:val="3"/>
      <w:numFmt w:val="decimal"/>
      <w:lvlText w:val="%6."/>
      <w:lvlJc w:val="left"/>
      <w:pPr>
        <w:tabs>
          <w:tab w:val="num" w:pos="0"/>
        </w:tabs>
        <w:ind w:left="4320" w:hanging="360"/>
      </w:pPr>
      <w:rPr/>
    </w:lvl>
    <w:lvl w:ilvl="6">
      <w:start w:val="3"/>
      <w:numFmt w:val="decimal"/>
      <w:lvlText w:val="%7."/>
      <w:lvlJc w:val="left"/>
      <w:pPr>
        <w:tabs>
          <w:tab w:val="num" w:pos="0"/>
        </w:tabs>
        <w:ind w:left="5040" w:hanging="360"/>
      </w:pPr>
      <w:rPr/>
    </w:lvl>
    <w:lvl w:ilvl="7">
      <w:start w:val="3"/>
      <w:numFmt w:val="decimal"/>
      <w:lvlText w:val="%8."/>
      <w:lvlJc w:val="left"/>
      <w:pPr>
        <w:tabs>
          <w:tab w:val="num" w:pos="0"/>
        </w:tabs>
        <w:ind w:left="5760" w:hanging="360"/>
      </w:pPr>
      <w:rPr/>
    </w:lvl>
    <w:lvl w:ilvl="8">
      <w:start w:val="3"/>
      <w:numFmt w:val="decimal"/>
      <w:lvlText w:val="%9."/>
      <w:lvlJc w:val="left"/>
      <w:pPr>
        <w:tabs>
          <w:tab w:val="num" w:pos="0"/>
        </w:tabs>
        <w:ind w:left="6480" w:hanging="360"/>
      </w:pPr>
      <w:rPr/>
    </w:lvl>
  </w:abstractNum>
  <w:abstractNum w:abstractNumId="18">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9">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Letter"/>
      <w:lvlText w:val="%3."/>
      <w:lvlJc w:val="left"/>
      <w:pPr>
        <w:tabs>
          <w:tab w:val="num" w:pos="0"/>
        </w:tabs>
        <w:ind w:left="2160" w:hanging="360"/>
      </w:pPr>
      <w:rPr/>
    </w:lvl>
    <w:lvl w:ilvl="3">
      <w:start w:val="1"/>
      <w:numFmt w:val="lowerLetter"/>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Letter"/>
      <w:lvlText w:val="%6."/>
      <w:lvlJc w:val="left"/>
      <w:pPr>
        <w:tabs>
          <w:tab w:val="num" w:pos="0"/>
        </w:tabs>
        <w:ind w:left="4320" w:hanging="360"/>
      </w:pPr>
      <w:rPr/>
    </w:lvl>
    <w:lvl w:ilvl="6">
      <w:start w:val="1"/>
      <w:numFmt w:val="lowerLetter"/>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Letter"/>
      <w:lvlText w:val="%9."/>
      <w:lvlJc w:val="left"/>
      <w:pPr>
        <w:tabs>
          <w:tab w:val="num" w:pos="0"/>
        </w:tabs>
        <w:ind w:left="6480" w:hanging="360"/>
      </w:pPr>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12"/>
    <w:lvlOverride w:ilvl="0">
      <w:startOverride w:val="1"/>
    </w:lvlOverride>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12"/>
    <w:lvlOverride w:ilvl="0">
      <w:startOverride w:val="1"/>
    </w:lvlOverride>
  </w:num>
  <w:num w:numId="60">
    <w:abstractNumId w:val="16"/>
    <w:lvlOverride w:ilvl="0">
      <w:startOverride w:val="2"/>
    </w:lvlOverride>
  </w:num>
  <w:num w:numId="61">
    <w:abstractNumId w:val="17"/>
    <w:lvlOverride w:ilvl="0">
      <w:startOverride w:val="3"/>
    </w:lvlOverride>
  </w:num>
  <w:num w:numId="62">
    <w:abstractNumId w:val="2"/>
  </w:num>
  <w:num w:numId="63">
    <w:abstractNumId w:val="2"/>
  </w:num>
  <w:num w:numId="64">
    <w:abstractNumId w:val="2"/>
  </w:num>
  <w:num w:numId="65">
    <w:abstractNumId w:val="19"/>
    <w:lvlOverride w:ilvl="0">
      <w:startOverride w:val="1"/>
    </w:lvlOverride>
  </w:num>
</w:numbering>
</file>

<file path=word/settings.xml><?xml version="1.0" encoding="utf-8"?>
<w:settings xmlns:w="http://schemas.openxmlformats.org/wordprocessingml/2006/main">
  <w:zoom w:percent="80"/>
  <w:embedSystemFonts/>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pt-PT"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9" w:semiHidden="1" w:unhideWhenUsed="1" w:qFormat="1"/>
    <w:lsdException w:name="annotation text" w:uiPriority="0" w:semiHidden="1" w:unhideWhenUsed="1"/>
    <w:lsdException w:name="header" w:semiHidden="1" w:unhideWhenUsed="1"/>
    <w:lsdException w:name="footer" w:uiPriority="0" w:semiHidden="1" w:unhideWhenUsed="1"/>
    <w:lsdException w:name="index heading" w:uiPriority="0" w:semiHidden="1" w:unhideWhenUsed="1"/>
    <w:lsdException w:name="caption" w:uiPriority="0" w:semiHidden="1" w:unhideWhenUsed="1" w:qFormat="1"/>
    <w:lsdException w:name="table of figures" w:semiHidden="1" w:unhideWhenUsed="1"/>
    <w:lsdException w:name="envelope address" w:uiPriority="0" w:semiHidden="1" w:unhideWhenUsed="1" w:qFormat="1"/>
    <w:lsdException w:name="envelope return" w:semiHidden="1" w:unhideWhenUsed="1"/>
    <w:lsdException w:name="footnote reference" w:uiPriority="0" w:semiHidden="1" w:unhideWhenUsed="1"/>
    <w:lsdException w:name="annotation reference" w:uiPriority="0" w:semiHidden="1" w:unhideWhenUsed="1"/>
    <w:lsdException w:name="line number" w:semiHidden="1" w:unhideWhenUsed="1"/>
    <w:lsdException w:name="page number" w:semiHidden="1" w:unhideWhenUsed="1"/>
    <w:lsdException w:name="endnote reference" w:uiPriority="0"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uiPriority="9" w:semiHidden="1" w:unhideWhenUsed="1" w:qFormat="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0"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uiPriority="0"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11c95"/>
    <w:pPr>
      <w:widowControl/>
      <w:suppressAutoHyphens w:val="true"/>
      <w:bidi w:val="0"/>
      <w:spacing w:lineRule="auto" w:line="276" w:before="0" w:after="200"/>
      <w:jc w:val="left"/>
    </w:pPr>
    <w:rPr>
      <w:rFonts w:ascii="Calibri" w:hAnsi="Calibri" w:eastAsia="Calibri" w:cs="Times New Roman"/>
      <w:color w:val="auto"/>
      <w:kern w:val="0"/>
      <w:sz w:val="22"/>
      <w:szCs w:val="22"/>
      <w:lang w:val="pt-PT" w:eastAsia="pt-BR" w:bidi="ar-SA"/>
    </w:rPr>
  </w:style>
  <w:style w:type="paragraph" w:styleId="Heading1">
    <w:name w:val="heading 1"/>
    <w:basedOn w:val="Normal"/>
    <w:next w:val="Normal"/>
    <w:uiPriority w:val="9"/>
    <w:qFormat/>
    <w:pPr>
      <w:keepNext w:val="true"/>
      <w:keepLines/>
      <w:spacing w:before="400" w:after="120"/>
      <w:jc w:val="both"/>
      <w:outlineLvl w:val="0"/>
    </w:pPr>
    <w:rPr>
      <w:b/>
      <w:sz w:val="23"/>
      <w:szCs w:val="23"/>
    </w:rPr>
  </w:style>
  <w:style w:type="paragraph" w:styleId="Heading2">
    <w:name w:val="heading 2"/>
    <w:basedOn w:val="Normal"/>
    <w:next w:val="Normal"/>
    <w:uiPriority w:val="9"/>
    <w:unhideWhenUsed/>
    <w:qFormat/>
    <w:pPr>
      <w:keepNext w:val="true"/>
      <w:keepLines/>
      <w:spacing w:before="360" w:after="120"/>
      <w:jc w:val="both"/>
      <w:outlineLvl w:val="1"/>
    </w:pPr>
    <w:rPr>
      <w:i/>
      <w:color w:val="38761D"/>
      <w:sz w:val="23"/>
      <w:szCs w:val="23"/>
    </w:rPr>
  </w:style>
  <w:style w:type="paragraph" w:styleId="Heading3">
    <w:name w:val="heading 3"/>
    <w:basedOn w:val="Normal"/>
    <w:next w:val="Normal"/>
    <w:uiPriority w:val="9"/>
    <w:unhideWhenUsed/>
    <w:qFormat/>
    <w:pPr>
      <w:keepNext w:val="true"/>
      <w:keepLines/>
      <w:spacing w:before="280" w:after="80"/>
      <w:outlineLvl w:val="2"/>
    </w:pPr>
    <w:rPr>
      <w:b/>
      <w:sz w:val="28"/>
      <w:szCs w:val="28"/>
    </w:rPr>
  </w:style>
  <w:style w:type="paragraph" w:styleId="Heading4">
    <w:name w:val="heading 4"/>
    <w:basedOn w:val="Normal"/>
    <w:next w:val="Normal"/>
    <w:uiPriority w:val="9"/>
    <w:unhideWhenUsed/>
    <w:qFormat/>
    <w:pPr>
      <w:keepNext w:val="true"/>
      <w:keepLines/>
      <w:spacing w:before="240" w:after="40"/>
      <w:outlineLvl w:val="3"/>
    </w:pPr>
    <w:rPr>
      <w:b/>
      <w:sz w:val="24"/>
      <w:szCs w:val="24"/>
    </w:rPr>
  </w:style>
  <w:style w:type="paragraph" w:styleId="Heading5">
    <w:name w:val="heading 5"/>
    <w:basedOn w:val="Normal"/>
    <w:next w:val="Normal"/>
    <w:uiPriority w:val="9"/>
    <w:unhideWhenUsed/>
    <w:qFormat/>
    <w:pPr>
      <w:keepNext w:val="true"/>
      <w:keepLines/>
      <w:spacing w:before="220" w:after="40"/>
      <w:outlineLvl w:val="4"/>
    </w:pPr>
    <w:rPr>
      <w:b/>
    </w:rPr>
  </w:style>
  <w:style w:type="paragraph" w:styleId="Heading6">
    <w:name w:val="heading 6"/>
    <w:basedOn w:val="Normal"/>
    <w:next w:val="Normal"/>
    <w:uiPriority w:val="9"/>
    <w:unhideWhenUsed/>
    <w:qFormat/>
    <w:pPr>
      <w:keepNext w:val="true"/>
      <w:keepLines/>
      <w:spacing w:before="200" w:after="40"/>
      <w:outlineLvl w:val="5"/>
    </w:pPr>
    <w:rPr>
      <w:b/>
      <w:sz w:val="20"/>
      <w:szCs w:val="20"/>
    </w:rPr>
  </w:style>
  <w:style w:type="paragraph" w:styleId="Heading7">
    <w:name w:val="heading 7"/>
    <w:basedOn w:val="Normal"/>
    <w:next w:val="BodyText"/>
    <w:link w:val="Ttulo7Char"/>
    <w:uiPriority w:val="9"/>
    <w:unhideWhenUsed/>
    <w:qFormat/>
    <w:rsid w:val="00a40a92"/>
    <w:pPr>
      <w:keepNext w:val="true"/>
      <w:keepLines/>
      <w:suppressAutoHyphens w:val="true"/>
      <w:spacing w:lineRule="auto" w:line="240" w:before="200" w:after="0"/>
      <w:outlineLvl w:val="6"/>
    </w:pPr>
    <w:rPr>
      <w:rFonts w:ascii="Calibri Light" w:hAnsi="Calibri Light" w:eastAsia="" w:cs="" w:asciiTheme="majorHAnsi" w:cstheme="majorBidi" w:eastAsiaTheme="majorEastAsia" w:hAnsiTheme="majorHAnsi"/>
      <w:color w:themeColor="accent1" w:val="4472C4"/>
      <w:sz w:val="24"/>
      <w:szCs w:val="24"/>
      <w:lang w:val="pt-PT" w:eastAsia="en-US"/>
    </w:rPr>
  </w:style>
  <w:style w:type="paragraph" w:styleId="Heading8">
    <w:name w:val="heading 8"/>
    <w:basedOn w:val="Normal"/>
    <w:next w:val="BodyText"/>
    <w:link w:val="Ttulo8Char"/>
    <w:uiPriority w:val="9"/>
    <w:unhideWhenUsed/>
    <w:qFormat/>
    <w:rsid w:val="00a40a92"/>
    <w:pPr>
      <w:keepNext w:val="true"/>
      <w:keepLines/>
      <w:suppressAutoHyphens w:val="true"/>
      <w:spacing w:lineRule="auto" w:line="240" w:before="200" w:after="0"/>
      <w:outlineLvl w:val="7"/>
    </w:pPr>
    <w:rPr>
      <w:rFonts w:ascii="Calibri Light" w:hAnsi="Calibri Light" w:eastAsia="" w:cs="" w:asciiTheme="majorHAnsi" w:cstheme="majorBidi" w:eastAsiaTheme="majorEastAsia" w:hAnsiTheme="majorHAnsi"/>
      <w:color w:themeColor="accent1" w:val="4472C4"/>
      <w:sz w:val="24"/>
      <w:szCs w:val="24"/>
      <w:lang w:val="pt-PT" w:eastAsia="en-US"/>
    </w:rPr>
  </w:style>
  <w:style w:type="paragraph" w:styleId="Heading9">
    <w:name w:val="heading 9"/>
    <w:basedOn w:val="Normal"/>
    <w:next w:val="BodyText"/>
    <w:link w:val="Ttulo9Char"/>
    <w:uiPriority w:val="9"/>
    <w:unhideWhenUsed/>
    <w:qFormat/>
    <w:rsid w:val="00a40a92"/>
    <w:pPr>
      <w:keepNext w:val="true"/>
      <w:keepLines/>
      <w:suppressAutoHyphens w:val="true"/>
      <w:spacing w:lineRule="auto" w:line="240" w:before="200" w:after="0"/>
      <w:outlineLvl w:val="8"/>
    </w:pPr>
    <w:rPr>
      <w:rFonts w:ascii="Calibri Light" w:hAnsi="Calibri Light" w:eastAsia="" w:cs="" w:asciiTheme="majorHAnsi" w:cstheme="majorBidi" w:eastAsiaTheme="majorEastAsia" w:hAnsiTheme="majorHAnsi"/>
      <w:color w:themeColor="accent1" w:val="4472C4"/>
      <w:sz w:val="24"/>
      <w:szCs w:val="24"/>
      <w:lang w:val="pt-PT" w:eastAsia="en-US"/>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qFormat/>
    <w:rsid w:val="00c03b9a"/>
    <w:rPr/>
  </w:style>
  <w:style w:type="character" w:styleId="RodapChar" w:customStyle="1">
    <w:name w:val="Rodapé Char"/>
    <w:basedOn w:val="DefaultParagraphFont"/>
    <w:qFormat/>
    <w:rsid w:val="00c03b9a"/>
    <w:rPr/>
  </w:style>
  <w:style w:type="character" w:styleId="InternetLink">
    <w:name w:val="Internet Link"/>
    <w:basedOn w:val="DefaultParagraphFont"/>
    <w:uiPriority w:val="99"/>
    <w:unhideWhenUsed/>
    <w:qFormat/>
    <w:rsid w:val="007d36cd"/>
    <w:rPr>
      <w:color w:val="0000FF"/>
      <w:u w:val="single"/>
    </w:rPr>
  </w:style>
  <w:style w:type="character" w:styleId="MenoPendente1" w:customStyle="1">
    <w:name w:val="Menção Pendente1"/>
    <w:basedOn w:val="DefaultParagraphFont"/>
    <w:uiPriority w:val="99"/>
    <w:semiHidden/>
    <w:unhideWhenUsed/>
    <w:qFormat/>
    <w:rsid w:val="005e6396"/>
    <w:rPr>
      <w:color w:val="605E5C"/>
      <w:shd w:fill="E1DFDD" w:val="clear"/>
    </w:rPr>
  </w:style>
  <w:style w:type="character" w:styleId="TextodebaloChar" w:customStyle="1">
    <w:name w:val="Texto de balão Char"/>
    <w:basedOn w:val="DefaultParagraphFont"/>
    <w:link w:val="BalloonText"/>
    <w:uiPriority w:val="99"/>
    <w:semiHidden/>
    <w:qFormat/>
    <w:rsid w:val="00eb754b"/>
    <w:rPr>
      <w:rFonts w:ascii="Tahoma" w:hAnsi="Tahoma" w:cs="Tahoma"/>
      <w:sz w:val="16"/>
      <w:szCs w:val="16"/>
    </w:rPr>
  </w:style>
  <w:style w:type="character" w:styleId="BookTitle">
    <w:name w:val="Book Title"/>
    <w:qFormat/>
    <w:rsid w:val="007d72f4"/>
    <w:rPr>
      <w:b/>
      <w:bCs/>
      <w:smallCaps/>
      <w:spacing w:val="5"/>
    </w:rPr>
  </w:style>
  <w:style w:type="character" w:styleId="TextodenotaderodapChar" w:customStyle="1">
    <w:name w:val="Texto de nota de rodapé Char"/>
    <w:basedOn w:val="DefaultParagraphFont"/>
    <w:uiPriority w:val="99"/>
    <w:semiHidden/>
    <w:qFormat/>
    <w:rsid w:val="00047fe5"/>
    <w:rPr>
      <w:rFonts w:cs="Times New Roman"/>
      <w:sz w:val="20"/>
      <w:szCs w:val="20"/>
    </w:rPr>
  </w:style>
  <w:style w:type="character" w:styleId="Caracteresdenotaderodap" w:customStyle="1">
    <w:name w:val="Caracteres de nota de rodapé"/>
    <w:qFormat/>
    <w:rsid w:val="00a40a92"/>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11">
    <w:name w:val="Footnote Characters11"/>
    <w:qFormat/>
    <w:rPr>
      <w:vertAlign w:val="superscript"/>
    </w:rPr>
  </w:style>
  <w:style w:type="character" w:styleId="FootnoteCharacters111">
    <w:name w:val="Footnote Characters111"/>
    <w:qFormat/>
    <w:rPr>
      <w:vertAlign w:val="superscript"/>
    </w:rPr>
  </w:style>
  <w:style w:type="character" w:styleId="FootnoteCharacters1111">
    <w:name w:val="Footnote Characters1111"/>
    <w:basedOn w:val="DefaultParagraphFont"/>
    <w:unhideWhenUsed/>
    <w:qFormat/>
    <w:rsid w:val="00047fe5"/>
    <w:rPr>
      <w:vertAlign w:val="superscript"/>
    </w:rPr>
  </w:style>
  <w:style w:type="character" w:styleId="Corpodetexto2Char" w:customStyle="1">
    <w:name w:val="Corpo de texto 2 Char"/>
    <w:basedOn w:val="DefaultParagraphFont"/>
    <w:link w:val="BodyText2"/>
    <w:qFormat/>
    <w:rsid w:val="007d0ccb"/>
    <w:rPr>
      <w:rFonts w:ascii="Arial" w:hAnsi="Arial" w:eastAsia="Times New Roman" w:cs="Times New Roman"/>
      <w:sz w:val="24"/>
      <w:szCs w:val="20"/>
    </w:rPr>
  </w:style>
  <w:style w:type="character" w:styleId="Corpodetexto3Char" w:customStyle="1">
    <w:name w:val="Corpo de texto 3 Char"/>
    <w:basedOn w:val="DefaultParagraphFont"/>
    <w:link w:val="BodyText3"/>
    <w:uiPriority w:val="99"/>
    <w:semiHidden/>
    <w:qFormat/>
    <w:rsid w:val="007d0ccb"/>
    <w:rPr>
      <w:rFonts w:cs="Times New Roman"/>
      <w:sz w:val="16"/>
      <w:szCs w:val="16"/>
    </w:rPr>
  </w:style>
  <w:style w:type="character" w:styleId="TextodenotaderodapChar1" w:customStyle="1">
    <w:name w:val="Texto de nota de rodapé Char1"/>
    <w:uiPriority w:val="99"/>
    <w:qFormat/>
    <w:rsid w:val="007d0ccb"/>
    <w:rPr>
      <w:rFonts w:ascii="Arial" w:hAnsi="Arial"/>
      <w:lang w:eastAsia="ar-SA"/>
    </w:rPr>
  </w:style>
  <w:style w:type="character" w:styleId="apple-style-span" w:customStyle="1">
    <w:name w:val="apple-style-span"/>
    <w:qFormat/>
    <w:rsid w:val="000064b2"/>
    <w:rPr/>
  </w:style>
  <w:style w:type="character" w:styleId="UnresolvedMention">
    <w:name w:val="Unresolved Mention"/>
    <w:basedOn w:val="DefaultParagraphFont"/>
    <w:uiPriority w:val="99"/>
    <w:semiHidden/>
    <w:unhideWhenUsed/>
    <w:qFormat/>
    <w:rsid w:val="000064b2"/>
    <w:rPr>
      <w:color w:val="605E5C"/>
      <w:shd w:fill="E1DFDD" w:val="clear"/>
    </w:rPr>
  </w:style>
  <w:style w:type="character" w:styleId="CorpodetextoChar" w:customStyle="1">
    <w:name w:val="Corpo de texto Char"/>
    <w:basedOn w:val="DefaultParagraphFont"/>
    <w:qFormat/>
    <w:rsid w:val="00a40a92"/>
    <w:rPr>
      <w:rFonts w:cs="Times New Roman"/>
      <w:lang w:val="pt-PT"/>
    </w:rPr>
  </w:style>
  <w:style w:type="character" w:styleId="Ttulo7Char" w:customStyle="1">
    <w:name w:val="Título 7 Char"/>
    <w:basedOn w:val="DefaultParagraphFont"/>
    <w:uiPriority w:val="9"/>
    <w:qFormat/>
    <w:rsid w:val="00a40a92"/>
    <w:rPr>
      <w:rFonts w:ascii="Calibri Light" w:hAnsi="Calibri Light" w:eastAsia="" w:cs="" w:asciiTheme="majorHAnsi" w:cstheme="majorBidi" w:eastAsiaTheme="majorEastAsia" w:hAnsiTheme="majorHAnsi"/>
      <w:color w:themeColor="accent1" w:val="4472C4"/>
      <w:sz w:val="24"/>
      <w:szCs w:val="24"/>
      <w:lang w:val="pt-PT" w:eastAsia="en-US"/>
    </w:rPr>
  </w:style>
  <w:style w:type="character" w:styleId="Ttulo8Char" w:customStyle="1">
    <w:name w:val="Título 8 Char"/>
    <w:basedOn w:val="DefaultParagraphFont"/>
    <w:uiPriority w:val="9"/>
    <w:qFormat/>
    <w:rsid w:val="00a40a92"/>
    <w:rPr>
      <w:rFonts w:ascii="Calibri Light" w:hAnsi="Calibri Light" w:eastAsia="" w:cs="" w:asciiTheme="majorHAnsi" w:cstheme="majorBidi" w:eastAsiaTheme="majorEastAsia" w:hAnsiTheme="majorHAnsi"/>
      <w:color w:themeColor="accent1" w:val="4472C4"/>
      <w:sz w:val="24"/>
      <w:szCs w:val="24"/>
      <w:lang w:val="pt-PT" w:eastAsia="en-US"/>
    </w:rPr>
  </w:style>
  <w:style w:type="character" w:styleId="Ttulo9Char" w:customStyle="1">
    <w:name w:val="Título 9 Char"/>
    <w:basedOn w:val="DefaultParagraphFont"/>
    <w:uiPriority w:val="9"/>
    <w:qFormat/>
    <w:rsid w:val="00a40a92"/>
    <w:rPr>
      <w:rFonts w:ascii="Calibri Light" w:hAnsi="Calibri Light" w:eastAsia="" w:cs="" w:asciiTheme="majorHAnsi" w:cstheme="majorBidi" w:eastAsiaTheme="majorEastAsia" w:hAnsiTheme="majorHAnsi"/>
      <w:color w:themeColor="accent1" w:val="4472C4"/>
      <w:sz w:val="24"/>
      <w:szCs w:val="24"/>
      <w:lang w:val="pt-PT" w:eastAsia="en-US"/>
    </w:rPr>
  </w:style>
  <w:style w:type="character" w:styleId="LegendaChar" w:customStyle="1">
    <w:name w:val="Legenda Char"/>
    <w:basedOn w:val="DefaultParagraphFont"/>
    <w:qFormat/>
    <w:rsid w:val="00a40a92"/>
    <w:rPr/>
  </w:style>
  <w:style w:type="character" w:styleId="VerbatimChar" w:customStyle="1">
    <w:name w:val="Verbatim Char"/>
    <w:basedOn w:val="LegendaChar"/>
    <w:link w:val="SourceCode"/>
    <w:qFormat/>
    <w:rsid w:val="00a40a92"/>
    <w:rPr>
      <w:rFonts w:ascii="Consolas" w:hAnsi="Consolas"/>
    </w:rPr>
  </w:style>
  <w:style w:type="character" w:styleId="FootnoteCharacters11111" w:customStyle="1">
    <w:name w:val="Footnote Characters11111"/>
    <w:basedOn w:val="LegendaChar"/>
    <w:qFormat/>
    <w:rsid w:val="00a40a92"/>
    <w:rPr>
      <w:vertAlign w:val="superscript"/>
    </w:rPr>
  </w:style>
  <w:style w:type="character" w:styleId="FootnoteAnchor" w:customStyle="1">
    <w:name w:val="Footnote Anchor"/>
    <w:qFormat/>
    <w:rsid w:val="00a40a92"/>
    <w:rPr>
      <w:vertAlign w:val="superscript"/>
    </w:rPr>
  </w:style>
  <w:style w:type="character" w:styleId="InternetLink1" w:customStyle="1">
    <w:name w:val="Internet Link1"/>
    <w:basedOn w:val="LegendaChar"/>
    <w:qFormat/>
    <w:rsid w:val="00a40a92"/>
    <w:rPr>
      <w:rFonts w:ascii="Optima" w:hAnsi="Optima"/>
      <w:color w:themeColor="accent1" w:val="4472C4"/>
      <w:sz w:val="24"/>
    </w:rPr>
  </w:style>
  <w:style w:type="character" w:styleId="SubttuloChar" w:customStyle="1">
    <w:name w:val="Subtítulo Char"/>
    <w:basedOn w:val="DefaultParagraphFont"/>
    <w:qFormat/>
    <w:rsid w:val="00a40a92"/>
    <w:rPr>
      <w:rFonts w:ascii="Georgia" w:hAnsi="Georgia" w:eastAsia="Georgia" w:cs="Georgia"/>
      <w:i/>
      <w:color w:val="666666"/>
      <w:sz w:val="48"/>
      <w:szCs w:val="48"/>
      <w:lang w:val="pt-PT"/>
    </w:rPr>
  </w:style>
  <w:style w:type="character" w:styleId="EndnoteAnchor" w:customStyle="1">
    <w:name w:val="Endnote Anchor"/>
    <w:qFormat/>
    <w:rsid w:val="00a40a92"/>
    <w:rPr>
      <w:vertAlign w:val="superscript"/>
    </w:rPr>
  </w:style>
  <w:style w:type="character" w:styleId="EndnoteCharacters" w:customStyle="1">
    <w:name w:val="Endnote Characters"/>
    <w:qFormat/>
    <w:rsid w:val="00a40a92"/>
    <w:rPr/>
  </w:style>
  <w:style w:type="character" w:styleId="InternetLink11" w:customStyle="1">
    <w:name w:val="Internet Link11"/>
    <w:qFormat/>
    <w:rsid w:val="00a40a92"/>
    <w:rPr>
      <w:color w:val="000080"/>
      <w:u w:val="single"/>
    </w:rPr>
  </w:style>
  <w:style w:type="character" w:styleId="FootnoteCharacters111111" w:customStyle="1">
    <w:name w:val="Footnote Characters111111"/>
    <w:qFormat/>
    <w:rsid w:val="00a40a92"/>
    <w:rPr>
      <w:vertAlign w:val="superscript"/>
    </w:rPr>
  </w:style>
  <w:style w:type="character" w:styleId="FootnoteCharacters1111111" w:customStyle="1">
    <w:name w:val="Footnote Characters1111111"/>
    <w:qFormat/>
    <w:rsid w:val="00a40a92"/>
    <w:rPr>
      <w:vertAlign w:val="superscript"/>
    </w:rPr>
  </w:style>
  <w:style w:type="character" w:styleId="Caracteresdenotadefim" w:customStyle="1">
    <w:name w:val="Caracteres de nota de fim"/>
    <w:qFormat/>
    <w:rsid w:val="00a40a92"/>
    <w:rPr/>
  </w:style>
  <w:style w:type="character" w:styleId="EndnoteReference">
    <w:name w:val="endnote reference"/>
    <w:rPr>
      <w:vertAlign w:val="superscript"/>
    </w:rPr>
  </w:style>
  <w:style w:type="character" w:styleId="EndnoteCharacters1">
    <w:name w:val="Endnote Characters1"/>
    <w:qFormat/>
    <w:rPr>
      <w:vertAlign w:val="superscript"/>
    </w:rPr>
  </w:style>
  <w:style w:type="character" w:styleId="EndnoteCharacters11">
    <w:name w:val="Endnote Characters11"/>
    <w:qFormat/>
    <w:rPr>
      <w:vertAlign w:val="superscript"/>
    </w:rPr>
  </w:style>
  <w:style w:type="character" w:styleId="EndnoteCharacters111">
    <w:name w:val="Endnote Characters111"/>
    <w:qFormat/>
    <w:rPr>
      <w:vertAlign w:val="superscript"/>
    </w:rPr>
  </w:style>
  <w:style w:type="character" w:styleId="EndnoteCharacters1111">
    <w:name w:val="Endnote Characters1111"/>
    <w:qFormat/>
    <w:rPr>
      <w:vertAlign w:val="superscript"/>
    </w:rPr>
  </w:style>
  <w:style w:type="character" w:styleId="EndnoteCharacters11111">
    <w:name w:val="Endnote Characters11111"/>
    <w:qFormat/>
    <w:rsid w:val="00a40a92"/>
    <w:rPr>
      <w:vertAlign w:val="superscript"/>
    </w:rPr>
  </w:style>
  <w:style w:type="character" w:styleId="EndnoteCharacters111111" w:customStyle="1">
    <w:name w:val="Endnote Characters111111"/>
    <w:qFormat/>
    <w:rsid w:val="00a40a92"/>
    <w:rPr>
      <w:vertAlign w:val="superscript"/>
    </w:rPr>
  </w:style>
  <w:style w:type="character" w:styleId="EndnoteCharacters1111111" w:customStyle="1">
    <w:name w:val="Endnote Characters1111111"/>
    <w:qFormat/>
    <w:rsid w:val="00a40a92"/>
    <w:rPr>
      <w:vertAlign w:val="superscript"/>
    </w:rPr>
  </w:style>
  <w:style w:type="character" w:styleId="InternetLink2" w:customStyle="1">
    <w:name w:val="Internet Link2"/>
    <w:qFormat/>
    <w:rsid w:val="00a40a92"/>
    <w:rPr>
      <w:color w:val="000080"/>
      <w:u w:val="single"/>
    </w:rPr>
  </w:style>
  <w:style w:type="character" w:styleId="DataChar" w:customStyle="1">
    <w:name w:val="Data Char"/>
    <w:basedOn w:val="DefaultParagraphFont"/>
    <w:link w:val="Date"/>
    <w:qFormat/>
    <w:rsid w:val="00a40a92"/>
    <w:rPr>
      <w:rFonts w:ascii="Calibri" w:hAnsi="Calibri" w:eastAsia="Calibri" w:cs="" w:asciiTheme="minorHAnsi" w:cstheme="minorBidi" w:eastAsiaTheme="minorHAnsi" w:hAnsiTheme="minorHAnsi"/>
      <w:sz w:val="24"/>
      <w:szCs w:val="24"/>
      <w:lang w:val="pt-PT" w:eastAsia="en-US"/>
    </w:rPr>
  </w:style>
  <w:style w:type="character" w:styleId="KeywordTok" w:customStyle="1">
    <w:name w:val="KeywordTok"/>
    <w:basedOn w:val="VerbatimChar"/>
    <w:qFormat/>
    <w:rsid w:val="00a40a92"/>
    <w:rPr>
      <w:rFonts w:ascii="Consolas" w:hAnsi="Consolas"/>
      <w:color w:val="D73A49"/>
    </w:rPr>
  </w:style>
  <w:style w:type="character" w:styleId="DataTypeTok" w:customStyle="1">
    <w:name w:val="DataTypeTok"/>
    <w:basedOn w:val="VerbatimChar"/>
    <w:qFormat/>
    <w:rsid w:val="00a40a92"/>
    <w:rPr>
      <w:rFonts w:ascii="Consolas" w:hAnsi="Consolas"/>
      <w:color w:val="D73A49"/>
    </w:rPr>
  </w:style>
  <w:style w:type="character" w:styleId="DecValTok" w:customStyle="1">
    <w:name w:val="DecValTok"/>
    <w:basedOn w:val="VerbatimChar"/>
    <w:qFormat/>
    <w:rsid w:val="00a40a92"/>
    <w:rPr>
      <w:rFonts w:ascii="Consolas" w:hAnsi="Consolas"/>
      <w:color w:val="005CC5"/>
    </w:rPr>
  </w:style>
  <w:style w:type="character" w:styleId="BaseNTok" w:customStyle="1">
    <w:name w:val="BaseNTok"/>
    <w:basedOn w:val="VerbatimChar"/>
    <w:qFormat/>
    <w:rsid w:val="00a40a92"/>
    <w:rPr>
      <w:rFonts w:ascii="Consolas" w:hAnsi="Consolas"/>
      <w:color w:val="005CC5"/>
    </w:rPr>
  </w:style>
  <w:style w:type="character" w:styleId="FloatTok" w:customStyle="1">
    <w:name w:val="FloatTok"/>
    <w:basedOn w:val="VerbatimChar"/>
    <w:qFormat/>
    <w:rsid w:val="00a40a92"/>
    <w:rPr>
      <w:rFonts w:ascii="Consolas" w:hAnsi="Consolas"/>
      <w:color w:val="005CC5"/>
    </w:rPr>
  </w:style>
  <w:style w:type="character" w:styleId="ConstantTok" w:customStyle="1">
    <w:name w:val="ConstantTok"/>
    <w:basedOn w:val="VerbatimChar"/>
    <w:qFormat/>
    <w:rsid w:val="00a40a92"/>
    <w:rPr>
      <w:rFonts w:ascii="Consolas" w:hAnsi="Consolas"/>
      <w:color w:val="005CC5"/>
    </w:rPr>
  </w:style>
  <w:style w:type="character" w:styleId="CharTok" w:customStyle="1">
    <w:name w:val="CharTok"/>
    <w:basedOn w:val="VerbatimChar"/>
    <w:qFormat/>
    <w:rsid w:val="00a40a92"/>
    <w:rPr>
      <w:rFonts w:ascii="Consolas" w:hAnsi="Consolas"/>
      <w:color w:val="032F62"/>
    </w:rPr>
  </w:style>
  <w:style w:type="character" w:styleId="SpecialCharTok" w:customStyle="1">
    <w:name w:val="SpecialCharTok"/>
    <w:basedOn w:val="VerbatimChar"/>
    <w:qFormat/>
    <w:rsid w:val="00a40a92"/>
    <w:rPr>
      <w:rFonts w:ascii="Consolas" w:hAnsi="Consolas"/>
      <w:color w:val="005CC5"/>
    </w:rPr>
  </w:style>
  <w:style w:type="character" w:styleId="StringTok" w:customStyle="1">
    <w:name w:val="StringTok"/>
    <w:basedOn w:val="VerbatimChar"/>
    <w:qFormat/>
    <w:rsid w:val="00a40a92"/>
    <w:rPr>
      <w:rFonts w:ascii="Consolas" w:hAnsi="Consolas"/>
      <w:color w:val="032F62"/>
    </w:rPr>
  </w:style>
  <w:style w:type="character" w:styleId="VerbatimStringTok" w:customStyle="1">
    <w:name w:val="VerbatimStringTok"/>
    <w:basedOn w:val="VerbatimChar"/>
    <w:qFormat/>
    <w:rsid w:val="00a40a92"/>
    <w:rPr>
      <w:rFonts w:ascii="Consolas" w:hAnsi="Consolas"/>
      <w:color w:val="032F62"/>
    </w:rPr>
  </w:style>
  <w:style w:type="character" w:styleId="SpecialStringTok" w:customStyle="1">
    <w:name w:val="SpecialStringTok"/>
    <w:basedOn w:val="VerbatimChar"/>
    <w:qFormat/>
    <w:rsid w:val="00a40a92"/>
    <w:rPr>
      <w:rFonts w:ascii="Consolas" w:hAnsi="Consolas"/>
      <w:color w:val="032F62"/>
    </w:rPr>
  </w:style>
  <w:style w:type="character" w:styleId="ImportTok" w:customStyle="1">
    <w:name w:val="ImportTok"/>
    <w:basedOn w:val="VerbatimChar"/>
    <w:qFormat/>
    <w:rsid w:val="00a40a92"/>
    <w:rPr>
      <w:rFonts w:ascii="Consolas" w:hAnsi="Consolas"/>
      <w:color w:val="032F62"/>
    </w:rPr>
  </w:style>
  <w:style w:type="character" w:styleId="CommentTok" w:customStyle="1">
    <w:name w:val="CommentTok"/>
    <w:basedOn w:val="VerbatimChar"/>
    <w:qFormat/>
    <w:rsid w:val="00a40a92"/>
    <w:rPr>
      <w:rFonts w:ascii="Consolas" w:hAnsi="Consolas"/>
      <w:color w:val="6A737D"/>
    </w:rPr>
  </w:style>
  <w:style w:type="character" w:styleId="DocumentationTok" w:customStyle="1">
    <w:name w:val="DocumentationTok"/>
    <w:basedOn w:val="VerbatimChar"/>
    <w:qFormat/>
    <w:rsid w:val="00a40a92"/>
    <w:rPr>
      <w:rFonts w:ascii="Consolas" w:hAnsi="Consolas"/>
      <w:color w:val="6A737D"/>
    </w:rPr>
  </w:style>
  <w:style w:type="character" w:styleId="AnnotationTok" w:customStyle="1">
    <w:name w:val="AnnotationTok"/>
    <w:basedOn w:val="VerbatimChar"/>
    <w:qFormat/>
    <w:rsid w:val="00a40a92"/>
    <w:rPr>
      <w:rFonts w:ascii="Consolas" w:hAnsi="Consolas"/>
      <w:color w:val="6A737D"/>
    </w:rPr>
  </w:style>
  <w:style w:type="character" w:styleId="CommentVarTok" w:customStyle="1">
    <w:name w:val="CommentVarTok"/>
    <w:basedOn w:val="VerbatimChar"/>
    <w:qFormat/>
    <w:rsid w:val="00a40a92"/>
    <w:rPr>
      <w:rFonts w:ascii="Consolas" w:hAnsi="Consolas"/>
      <w:color w:val="6A737D"/>
    </w:rPr>
  </w:style>
  <w:style w:type="character" w:styleId="OtherTok" w:customStyle="1">
    <w:name w:val="OtherTok"/>
    <w:basedOn w:val="VerbatimChar"/>
    <w:qFormat/>
    <w:rsid w:val="00a40a92"/>
    <w:rPr>
      <w:rFonts w:ascii="Consolas" w:hAnsi="Consolas"/>
      <w:color w:val="6F42C1"/>
    </w:rPr>
  </w:style>
  <w:style w:type="character" w:styleId="FunctionTok" w:customStyle="1">
    <w:name w:val="FunctionTok"/>
    <w:basedOn w:val="VerbatimChar"/>
    <w:qFormat/>
    <w:rsid w:val="00a40a92"/>
    <w:rPr>
      <w:rFonts w:ascii="Consolas" w:hAnsi="Consolas"/>
      <w:color w:val="6F42C1"/>
    </w:rPr>
  </w:style>
  <w:style w:type="character" w:styleId="VariableTok" w:customStyle="1">
    <w:name w:val="VariableTok"/>
    <w:basedOn w:val="VerbatimChar"/>
    <w:qFormat/>
    <w:rsid w:val="00a40a92"/>
    <w:rPr>
      <w:rFonts w:ascii="Consolas" w:hAnsi="Consolas"/>
      <w:color w:val="E36209"/>
    </w:rPr>
  </w:style>
  <w:style w:type="character" w:styleId="ControlFlowTok" w:customStyle="1">
    <w:name w:val="ControlFlowTok"/>
    <w:basedOn w:val="VerbatimChar"/>
    <w:qFormat/>
    <w:rsid w:val="00a40a92"/>
    <w:rPr>
      <w:rFonts w:ascii="Consolas" w:hAnsi="Consolas"/>
      <w:color w:val="D73A49"/>
    </w:rPr>
  </w:style>
  <w:style w:type="character" w:styleId="OperatorTok" w:customStyle="1">
    <w:name w:val="OperatorTok"/>
    <w:basedOn w:val="VerbatimChar"/>
    <w:qFormat/>
    <w:rsid w:val="00a40a92"/>
    <w:rPr>
      <w:rFonts w:ascii="Consolas" w:hAnsi="Consolas"/>
      <w:color w:val="24292E"/>
    </w:rPr>
  </w:style>
  <w:style w:type="character" w:styleId="BuiltInTok" w:customStyle="1">
    <w:name w:val="BuiltInTok"/>
    <w:basedOn w:val="VerbatimChar"/>
    <w:qFormat/>
    <w:rsid w:val="00a40a92"/>
    <w:rPr>
      <w:rFonts w:ascii="Consolas" w:hAnsi="Consolas"/>
      <w:color w:val="D73A49"/>
    </w:rPr>
  </w:style>
  <w:style w:type="character" w:styleId="ExtensionTok" w:customStyle="1">
    <w:name w:val="ExtensionTok"/>
    <w:basedOn w:val="VerbatimChar"/>
    <w:qFormat/>
    <w:rsid w:val="00a40a92"/>
    <w:rPr>
      <w:rFonts w:ascii="Consolas" w:hAnsi="Consolas"/>
      <w:b/>
      <w:color w:val="D73A49"/>
    </w:rPr>
  </w:style>
  <w:style w:type="character" w:styleId="PreprocessorTok" w:customStyle="1">
    <w:name w:val="PreprocessorTok"/>
    <w:basedOn w:val="VerbatimChar"/>
    <w:qFormat/>
    <w:rsid w:val="00a40a92"/>
    <w:rPr>
      <w:rFonts w:ascii="Consolas" w:hAnsi="Consolas"/>
      <w:color w:val="D73A49"/>
    </w:rPr>
  </w:style>
  <w:style w:type="character" w:styleId="AttributeTok" w:customStyle="1">
    <w:name w:val="AttributeTok"/>
    <w:basedOn w:val="VerbatimChar"/>
    <w:qFormat/>
    <w:rsid w:val="00a40a92"/>
    <w:rPr>
      <w:rFonts w:ascii="Consolas" w:hAnsi="Consolas"/>
      <w:color w:val="D73A49"/>
    </w:rPr>
  </w:style>
  <w:style w:type="character" w:styleId="RegionMarkerTok" w:customStyle="1">
    <w:name w:val="RegionMarkerTok"/>
    <w:basedOn w:val="VerbatimChar"/>
    <w:qFormat/>
    <w:rsid w:val="00a40a92"/>
    <w:rPr>
      <w:rFonts w:ascii="Consolas" w:hAnsi="Consolas"/>
      <w:color w:val="6A737D"/>
    </w:rPr>
  </w:style>
  <w:style w:type="character" w:styleId="InformationTok" w:customStyle="1">
    <w:name w:val="InformationTok"/>
    <w:basedOn w:val="VerbatimChar"/>
    <w:qFormat/>
    <w:rsid w:val="00a40a92"/>
    <w:rPr>
      <w:rFonts w:ascii="Consolas" w:hAnsi="Consolas"/>
      <w:color w:val="6A737D"/>
    </w:rPr>
  </w:style>
  <w:style w:type="character" w:styleId="WarningTok" w:customStyle="1">
    <w:name w:val="WarningTok"/>
    <w:basedOn w:val="VerbatimChar"/>
    <w:qFormat/>
    <w:rsid w:val="00a40a92"/>
    <w:rPr>
      <w:rFonts w:ascii="Consolas" w:hAnsi="Consolas"/>
      <w:color w:val="FF5555"/>
    </w:rPr>
  </w:style>
  <w:style w:type="character" w:styleId="AlertTok" w:customStyle="1">
    <w:name w:val="AlertTok"/>
    <w:basedOn w:val="VerbatimChar"/>
    <w:qFormat/>
    <w:rsid w:val="00a40a92"/>
    <w:rPr>
      <w:rFonts w:ascii="Consolas" w:hAnsi="Consolas"/>
      <w:b/>
      <w:color w:val="FF5555"/>
    </w:rPr>
  </w:style>
  <w:style w:type="character" w:styleId="ErrorTok" w:customStyle="1">
    <w:name w:val="ErrorTok"/>
    <w:basedOn w:val="VerbatimChar"/>
    <w:qFormat/>
    <w:rsid w:val="00a40a92"/>
    <w:rPr>
      <w:rFonts w:ascii="Consolas" w:hAnsi="Consolas"/>
      <w:color w:val="FF5555"/>
    </w:rPr>
  </w:style>
  <w:style w:type="character" w:styleId="NormalTok" w:customStyle="1">
    <w:name w:val="NormalTok"/>
    <w:basedOn w:val="VerbatimChar"/>
    <w:qFormat/>
    <w:rsid w:val="00a40a92"/>
    <w:rPr>
      <w:rFonts w:ascii="Consolas" w:hAnsi="Consolas"/>
      <w:color w:val="24292E"/>
    </w:rPr>
  </w:style>
  <w:style w:type="character" w:styleId="CommentReference">
    <w:name w:val="annotation reference"/>
    <w:basedOn w:val="DefaultParagraphFont"/>
    <w:semiHidden/>
    <w:unhideWhenUsed/>
    <w:qFormat/>
    <w:rsid w:val="00a40a92"/>
    <w:rPr>
      <w:sz w:val="16"/>
      <w:szCs w:val="16"/>
    </w:rPr>
  </w:style>
  <w:style w:type="character" w:styleId="TextodecomentrioChar" w:customStyle="1">
    <w:name w:val="Texto de comentário Char"/>
    <w:basedOn w:val="DefaultParagraphFont"/>
    <w:qFormat/>
    <w:rsid w:val="00a40a92"/>
    <w:rPr>
      <w:rFonts w:ascii="Calibri" w:hAnsi="Calibri" w:eastAsia="Calibri" w:cs="" w:asciiTheme="minorHAnsi" w:cstheme="minorBidi" w:eastAsiaTheme="minorHAnsi" w:hAnsiTheme="minorHAnsi"/>
      <w:sz w:val="20"/>
      <w:szCs w:val="20"/>
      <w:lang w:val="pt-PT" w:eastAsia="en-US"/>
    </w:rPr>
  </w:style>
  <w:style w:type="character" w:styleId="AssuntodocomentrioChar" w:customStyle="1">
    <w:name w:val="Assunto do comentário Char"/>
    <w:basedOn w:val="TextodecomentrioChar"/>
    <w:link w:val="annotationsubject"/>
    <w:semiHidden/>
    <w:qFormat/>
    <w:rsid w:val="00a40a92"/>
    <w:rPr>
      <w:rFonts w:ascii="Calibri" w:hAnsi="Calibri" w:eastAsia="Calibri" w:cs="" w:asciiTheme="minorHAnsi" w:cstheme="minorBidi" w:eastAsiaTheme="minorHAnsi" w:hAnsiTheme="minorHAnsi"/>
      <w:b/>
      <w:bCs/>
      <w:sz w:val="20"/>
      <w:szCs w:val="20"/>
      <w:lang w:val="pt-PT" w:eastAsia="en-US"/>
    </w:rPr>
  </w:style>
  <w:style w:type="character" w:styleId="FollowedHyperlink">
    <w:name w:val="FollowedHyperlink"/>
    <w:basedOn w:val="DefaultParagraphFont"/>
    <w:semiHidden/>
    <w:unhideWhenUsed/>
    <w:rsid w:val="00a40a92"/>
    <w:rPr>
      <w:color w:themeColor="followedHyperlink" w:val="954F72"/>
      <w:u w:val="single"/>
    </w:rPr>
  </w:style>
  <w:style w:type="character" w:styleId="InternetLink3">
    <w:name w:val="Internet Link3"/>
    <w:qFormat/>
    <w:rPr>
      <w:color w:val="000080"/>
      <w:u w:val="single"/>
    </w:rPr>
  </w:style>
  <w:style w:type="character" w:styleId="Vnculodendice">
    <w:name w:val="Vínculo de índice"/>
    <w:qFormat/>
    <w:rPr/>
  </w:style>
  <w:style w:type="character" w:styleId="InternetLink4">
    <w:name w:val="Internet Link4"/>
    <w:qFormat/>
    <w:rPr>
      <w:color w:val="000080"/>
      <w:u w:val="single"/>
    </w:rPr>
  </w:style>
  <w:style w:type="character" w:styleId="Marcadores">
    <w:name w:val="Marcadores"/>
    <w:qFormat/>
    <w:rPr>
      <w:rFonts w:ascii="OpenSymbol" w:hAnsi="OpenSymbol" w:eastAsia="OpenSymbol" w:cs="OpenSymbol"/>
    </w:rPr>
  </w:style>
  <w:style w:type="character" w:styleId="InternetLink5">
    <w:name w:val="Internet Link5"/>
    <w:qFormat/>
    <w:rPr>
      <w:color w:val="000080"/>
      <w:u w:val="single"/>
    </w:rPr>
  </w:style>
  <w:style w:type="character" w:styleId="InternetLink6">
    <w:name w:val="Internet Link6"/>
    <w:qFormat/>
    <w:rPr>
      <w:color w:val="000080"/>
      <w:u w:val="single"/>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link w:val="CorpodetextoChar"/>
    <w:unhideWhenUsed/>
    <w:qFormat/>
    <w:rsid w:val="00a40a92"/>
    <w:pPr>
      <w:spacing w:before="0" w:after="120"/>
    </w:pPr>
    <w:rPr/>
  </w:style>
  <w:style w:type="paragraph" w:styleId="List">
    <w:name w:val="List"/>
    <w:basedOn w:val="BodyText"/>
    <w:rsid w:val="00a40a92"/>
    <w:pPr>
      <w:suppressAutoHyphens w:val="true"/>
      <w:spacing w:lineRule="auto" w:line="240" w:before="180" w:after="180"/>
    </w:pPr>
    <w:rPr>
      <w:rFonts w:ascii="Optima" w:hAnsi="Optima" w:eastAsia="Calibri" w:cs="Noto Sans" w:eastAsiaTheme="minorHAnsi"/>
      <w:sz w:val="24"/>
      <w:szCs w:val="24"/>
      <w:lang w:val="pt-PT" w:eastAsia="en-US"/>
    </w:rPr>
  </w:style>
  <w:style w:type="paragraph" w:styleId="Caption">
    <w:name w:val="caption"/>
    <w:basedOn w:val="Normal"/>
    <w:link w:val="LegendaChar"/>
    <w:qFormat/>
    <w:rsid w:val="00a40a92"/>
    <w:pPr>
      <w:suppressAutoHyphens w:val="true"/>
      <w:spacing w:lineRule="auto" w:line="240" w:before="0" w:after="120"/>
    </w:pPr>
    <w:rPr>
      <w:rFonts w:cs="Calibri"/>
      <w:lang w:val="pt-PT"/>
    </w:rPr>
  </w:style>
  <w:style w:type="paragraph" w:styleId="ndice" w:customStyle="1">
    <w:name w:val="Índice"/>
    <w:basedOn w:val="Normal"/>
    <w:qFormat/>
    <w:rsid w:val="00a40a92"/>
    <w:pPr>
      <w:suppressLineNumbers/>
      <w:suppressAutoHyphens w:val="true"/>
      <w:spacing w:lineRule="auto" w:line="240"/>
    </w:pPr>
    <w:rPr>
      <w:rFonts w:ascii="Calibri" w:hAnsi="Calibri" w:eastAsia="Calibri" w:cs="Noto Sans" w:asciiTheme="minorHAnsi" w:eastAsiaTheme="minorHAnsi" w:hAnsiTheme="minorHAnsi"/>
      <w:sz w:val="24"/>
      <w:szCs w:val="24"/>
      <w:lang w:val="pt-PT" w:eastAsia="en-US"/>
    </w:rPr>
  </w:style>
  <w:style w:type="paragraph" w:styleId="Title">
    <w:name w:val="Title"/>
    <w:basedOn w:val="Normal"/>
    <w:next w:val="Normal"/>
    <w:qFormat/>
    <w:pPr>
      <w:keepNext w:val="true"/>
      <w:keepLines/>
      <w:spacing w:before="480" w:after="120"/>
      <w:jc w:val="center"/>
    </w:pPr>
    <w:rPr>
      <w:rFonts w:ascii="Optima" w:hAnsi="Optima"/>
      <w:b/>
      <w:sz w:val="52"/>
      <w:szCs w:val="72"/>
    </w:rPr>
  </w:style>
  <w:style w:type="paragraph" w:styleId="Cabealhoerodap" w:customStyle="1">
    <w:name w:val="Cabeçalho e rodapé"/>
    <w:basedOn w:val="Normal"/>
    <w:qFormat/>
    <w:rsid w:val="00a40a92"/>
    <w:pPr>
      <w:suppressAutoHyphens w:val="true"/>
      <w:spacing w:lineRule="auto" w:line="240"/>
    </w:pPr>
    <w:rPr>
      <w:rFonts w:ascii="Calibri" w:hAnsi="Calibri" w:eastAsia="Calibri" w:cs="" w:asciiTheme="minorHAnsi" w:cstheme="minorBidi" w:eastAsiaTheme="minorHAnsi" w:hAnsiTheme="minorHAnsi"/>
      <w:sz w:val="24"/>
      <w:szCs w:val="24"/>
      <w:lang w:val="pt-PT" w:eastAsia="en-US"/>
    </w:rPr>
  </w:style>
  <w:style w:type="paragraph" w:styleId="Header">
    <w:name w:val="header"/>
    <w:basedOn w:val="Normal"/>
    <w:link w:val="CabealhoChar"/>
    <w:unhideWhenUsed/>
    <w:rsid w:val="00c03b9a"/>
    <w:pPr>
      <w:tabs>
        <w:tab w:val="clear" w:pos="720"/>
        <w:tab w:val="center" w:pos="4252" w:leader="none"/>
        <w:tab w:val="right" w:pos="8504" w:leader="none"/>
      </w:tabs>
      <w:spacing w:lineRule="auto" w:line="240" w:before="0" w:after="0"/>
    </w:pPr>
    <w:rPr>
      <w:rFonts w:ascii="Calibri" w:hAnsi="Calibri" w:eastAsia="Calibri" w:cs="" w:asciiTheme="minorHAnsi" w:cstheme="minorBidi" w:eastAsiaTheme="minorHAnsi" w:hAnsiTheme="minorHAnsi"/>
    </w:rPr>
  </w:style>
  <w:style w:type="paragraph" w:styleId="Footer">
    <w:name w:val="footer"/>
    <w:basedOn w:val="Normal"/>
    <w:link w:val="RodapChar"/>
    <w:unhideWhenUsed/>
    <w:rsid w:val="00c03b9a"/>
    <w:pPr>
      <w:tabs>
        <w:tab w:val="clear" w:pos="720"/>
        <w:tab w:val="center" w:pos="4252" w:leader="none"/>
        <w:tab w:val="right" w:pos="8504" w:leader="none"/>
      </w:tabs>
      <w:spacing w:lineRule="auto" w:line="240" w:before="0" w:after="0"/>
    </w:pPr>
    <w:rPr>
      <w:rFonts w:ascii="Calibri" w:hAnsi="Calibri" w:eastAsia="Calibri" w:cs="" w:asciiTheme="minorHAnsi" w:cstheme="minorBidi" w:eastAsiaTheme="minorHAnsi" w:hAnsiTheme="minorHAnsi"/>
    </w:rPr>
  </w:style>
  <w:style w:type="paragraph" w:styleId="Default" w:customStyle="1">
    <w:name w:val="Default"/>
    <w:qFormat/>
    <w:rsid w:val="00211c95"/>
    <w:pPr>
      <w:widowControl/>
      <w:suppressAutoHyphens w:val="true"/>
      <w:bidi w:val="0"/>
      <w:spacing w:lineRule="auto" w:line="240" w:before="0" w:after="0"/>
      <w:jc w:val="left"/>
    </w:pPr>
    <w:rPr>
      <w:rFonts w:ascii="Calibri" w:hAnsi="Calibri" w:eastAsia="Calibri" w:cs="Calibri"/>
      <w:color w:val="000000"/>
      <w:kern w:val="0"/>
      <w:sz w:val="24"/>
      <w:szCs w:val="24"/>
      <w:lang w:val="pt-PT" w:eastAsia="pt-BR" w:bidi="ar-SA"/>
    </w:rPr>
  </w:style>
  <w:style w:type="paragraph" w:styleId="Subtitle">
    <w:name w:val="Subtitle"/>
    <w:basedOn w:val="Normal"/>
    <w:next w:val="Normal"/>
    <w:link w:val="SubttuloChar"/>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99"/>
    <w:qFormat/>
    <w:rsid w:val="0056324d"/>
    <w:pPr>
      <w:spacing w:before="0" w:after="200"/>
      <w:ind w:left="720"/>
      <w:contextualSpacing/>
    </w:pPr>
    <w:rPr/>
  </w:style>
  <w:style w:type="paragraph" w:styleId="BalloonText">
    <w:name w:val="Balloon Text"/>
    <w:basedOn w:val="Normal"/>
    <w:link w:val="TextodebaloChar"/>
    <w:uiPriority w:val="99"/>
    <w:semiHidden/>
    <w:unhideWhenUsed/>
    <w:qFormat/>
    <w:rsid w:val="00eb754b"/>
    <w:pPr>
      <w:spacing w:lineRule="auto" w:line="240" w:before="0" w:after="0"/>
    </w:pPr>
    <w:rPr>
      <w:rFonts w:ascii="Tahoma" w:hAnsi="Tahoma" w:cs="Tahoma"/>
      <w:sz w:val="16"/>
      <w:szCs w:val="16"/>
    </w:rPr>
  </w:style>
  <w:style w:type="paragraph" w:styleId="FootnoteText">
    <w:name w:val="footnote text"/>
    <w:basedOn w:val="Normal"/>
    <w:link w:val="TextodenotaderodapChar"/>
    <w:uiPriority w:val="9"/>
    <w:unhideWhenUsed/>
    <w:qFormat/>
    <w:rsid w:val="00047fe5"/>
    <w:pPr>
      <w:spacing w:lineRule="auto" w:line="240" w:before="0" w:after="0"/>
    </w:pPr>
    <w:rPr>
      <w:sz w:val="20"/>
      <w:szCs w:val="20"/>
    </w:rPr>
  </w:style>
  <w:style w:type="paragraph" w:styleId="BodyText2">
    <w:name w:val="Body Text 2"/>
    <w:basedOn w:val="Normal"/>
    <w:link w:val="Corpodetexto2Char"/>
    <w:qFormat/>
    <w:rsid w:val="007d0ccb"/>
    <w:pPr>
      <w:widowControl w:val="false"/>
      <w:spacing w:lineRule="auto" w:line="240" w:before="0" w:after="120"/>
      <w:jc w:val="both"/>
    </w:pPr>
    <w:rPr>
      <w:rFonts w:ascii="Arial" w:hAnsi="Arial" w:eastAsia="Times New Roman"/>
      <w:sz w:val="24"/>
      <w:szCs w:val="20"/>
    </w:rPr>
  </w:style>
  <w:style w:type="paragraph" w:styleId="BodyText3">
    <w:name w:val="Body Text 3"/>
    <w:basedOn w:val="Normal"/>
    <w:link w:val="Corpodetexto3Char"/>
    <w:uiPriority w:val="99"/>
    <w:semiHidden/>
    <w:unhideWhenUsed/>
    <w:qFormat/>
    <w:rsid w:val="007d0ccb"/>
    <w:pPr>
      <w:spacing w:before="0" w:after="120"/>
    </w:pPr>
    <w:rPr>
      <w:sz w:val="16"/>
      <w:szCs w:val="16"/>
    </w:rPr>
  </w:style>
  <w:style w:type="paragraph" w:styleId="m-9148149006066418071msolistparagraph" w:customStyle="1">
    <w:name w:val="m_-9148149006066418071msolistparagraph"/>
    <w:basedOn w:val="Normal"/>
    <w:qFormat/>
    <w:rsid w:val="00e55b86"/>
    <w:pPr>
      <w:spacing w:lineRule="auto" w:line="240" w:beforeAutospacing="1" w:afterAutospacing="1"/>
    </w:pPr>
    <w:rPr>
      <w:rFonts w:ascii="Times New Roman" w:hAnsi="Times New Roman" w:eastAsia="Times New Roman"/>
      <w:sz w:val="24"/>
      <w:szCs w:val="24"/>
    </w:rPr>
  </w:style>
  <w:style w:type="paragraph" w:styleId="Revision">
    <w:name w:val="Revision"/>
    <w:semiHidden/>
    <w:qFormat/>
    <w:rsid w:val="005f3192"/>
    <w:pPr>
      <w:widowControl/>
      <w:suppressAutoHyphens w:val="true"/>
      <w:bidi w:val="0"/>
      <w:spacing w:lineRule="auto" w:line="240" w:before="0" w:after="0"/>
      <w:jc w:val="left"/>
    </w:pPr>
    <w:rPr>
      <w:rFonts w:ascii="Calibri" w:hAnsi="Calibri" w:eastAsia="Calibri" w:cs="Times New Roman"/>
      <w:color w:val="auto"/>
      <w:kern w:val="0"/>
      <w:sz w:val="22"/>
      <w:szCs w:val="22"/>
      <w:lang w:val="pt-PT" w:eastAsia="pt-BR" w:bidi="ar-SA"/>
    </w:rPr>
  </w:style>
  <w:style w:type="paragraph" w:styleId="FirstParagraph" w:customStyle="1">
    <w:name w:val="First Paragraph"/>
    <w:basedOn w:val="BodyText"/>
    <w:next w:val="BodyText"/>
    <w:qFormat/>
    <w:rsid w:val="00a40a92"/>
    <w:pPr>
      <w:suppressAutoHyphens w:val="true"/>
      <w:spacing w:lineRule="auto" w:line="240" w:before="180" w:after="180"/>
    </w:pPr>
    <w:rPr>
      <w:rFonts w:ascii="Optima" w:hAnsi="Optima" w:eastAsia="Calibri" w:cs="" w:cstheme="minorBidi" w:eastAsiaTheme="minorHAnsi"/>
      <w:sz w:val="24"/>
      <w:szCs w:val="24"/>
      <w:lang w:val="pt-PT" w:eastAsia="en-US"/>
    </w:rPr>
  </w:style>
  <w:style w:type="paragraph" w:styleId="Compact" w:customStyle="1">
    <w:name w:val="Compact"/>
    <w:basedOn w:val="BodyText"/>
    <w:qFormat/>
    <w:rsid w:val="00a40a92"/>
    <w:pPr>
      <w:suppressAutoHyphens w:val="true"/>
      <w:spacing w:lineRule="auto" w:line="240" w:before="36" w:after="36"/>
    </w:pPr>
    <w:rPr>
      <w:rFonts w:ascii="Optima" w:hAnsi="Optima" w:eastAsia="Calibri" w:cs="" w:cstheme="minorBidi" w:eastAsiaTheme="minorHAnsi"/>
      <w:sz w:val="24"/>
      <w:szCs w:val="24"/>
      <w:lang w:val="pt-PT" w:eastAsia="en-US"/>
    </w:rPr>
  </w:style>
  <w:style w:type="paragraph" w:styleId="Author" w:customStyle="1">
    <w:name w:val="Author"/>
    <w:next w:val="BodyText"/>
    <w:qFormat/>
    <w:rsid w:val="00a40a92"/>
    <w:pPr>
      <w:keepNext w:val="true"/>
      <w:keepLines/>
      <w:widowControl/>
      <w:suppressAutoHyphens w:val="true"/>
      <w:bidi w:val="0"/>
      <w:spacing w:lineRule="auto" w:line="240" w:before="0" w:after="200"/>
      <w:jc w:val="center"/>
    </w:pPr>
    <w:rPr>
      <w:rFonts w:ascii="Optima" w:hAnsi="Optima" w:eastAsia="Cambria" w:cs="" w:cstheme="minorBidi"/>
      <w:b/>
      <w:color w:themeColor="background1" w:themeShade="80" w:val="808080"/>
      <w:kern w:val="0"/>
      <w:sz w:val="36"/>
      <w:szCs w:val="24"/>
      <w:lang w:val="pt-PT" w:eastAsia="en-US" w:bidi="ar-SA"/>
    </w:rPr>
  </w:style>
  <w:style w:type="paragraph" w:styleId="Date">
    <w:name w:val="Date"/>
    <w:next w:val="BodyText"/>
    <w:link w:val="DataChar"/>
    <w:qFormat/>
    <w:rsid w:val="00a40a92"/>
    <w:pPr>
      <w:keepNext w:val="true"/>
      <w:keepLines/>
      <w:widowControl/>
      <w:suppressAutoHyphens w:val="true"/>
      <w:bidi w:val="0"/>
      <w:spacing w:lineRule="auto" w:line="240" w:before="0" w:after="200"/>
      <w:jc w:val="center"/>
    </w:pPr>
    <w:rPr>
      <w:rFonts w:ascii="Calibri" w:hAnsi="Calibri" w:eastAsia="Calibri" w:cs="" w:asciiTheme="minorHAnsi" w:cstheme="minorBidi" w:eastAsiaTheme="minorHAnsi" w:hAnsiTheme="minorHAnsi"/>
      <w:color w:val="auto"/>
      <w:kern w:val="0"/>
      <w:sz w:val="24"/>
      <w:szCs w:val="24"/>
      <w:lang w:val="pt-PT" w:eastAsia="en-US" w:bidi="ar-SA"/>
    </w:rPr>
  </w:style>
  <w:style w:type="paragraph" w:styleId="Abstract" w:customStyle="1">
    <w:name w:val="Abstract"/>
    <w:basedOn w:val="Normal"/>
    <w:next w:val="BodyText"/>
    <w:qFormat/>
    <w:rsid w:val="00a40a92"/>
    <w:pPr>
      <w:keepNext w:val="true"/>
      <w:keepLines/>
      <w:suppressAutoHyphens w:val="true"/>
      <w:spacing w:lineRule="auto" w:line="240" w:before="300" w:after="300"/>
    </w:pPr>
    <w:rPr>
      <w:rFonts w:ascii="Calibri" w:hAnsi="Calibri" w:eastAsia="Calibri" w:cs="" w:asciiTheme="minorHAnsi" w:cstheme="minorBidi" w:eastAsiaTheme="minorHAnsi" w:hAnsiTheme="minorHAnsi"/>
      <w:sz w:val="20"/>
      <w:szCs w:val="20"/>
      <w:lang w:val="pt-PT" w:eastAsia="en-US"/>
    </w:rPr>
  </w:style>
  <w:style w:type="paragraph" w:styleId="Bibliography">
    <w:name w:val="Bibliography"/>
    <w:basedOn w:val="Normal"/>
    <w:qFormat/>
    <w:rsid w:val="00a40a92"/>
    <w:pPr>
      <w:suppressAutoHyphens w:val="true"/>
      <w:spacing w:lineRule="auto" w:line="240"/>
    </w:pPr>
    <w:rPr>
      <w:rFonts w:ascii="Calibri" w:hAnsi="Calibri" w:eastAsia="Calibri" w:cs="" w:asciiTheme="minorHAnsi" w:cstheme="minorBidi" w:eastAsiaTheme="minorHAnsi" w:hAnsiTheme="minorHAnsi"/>
      <w:sz w:val="24"/>
      <w:szCs w:val="24"/>
      <w:lang w:val="pt-PT" w:eastAsia="en-US"/>
    </w:rPr>
  </w:style>
  <w:style w:type="paragraph" w:styleId="BlockText">
    <w:name w:val="Block Text"/>
    <w:basedOn w:val="BodyText"/>
    <w:next w:val="BodyText"/>
    <w:uiPriority w:val="9"/>
    <w:unhideWhenUsed/>
    <w:qFormat/>
    <w:rsid w:val="00a40a92"/>
    <w:pPr>
      <w:suppressAutoHyphens w:val="true"/>
      <w:spacing w:lineRule="auto" w:line="240" w:before="100" w:after="100"/>
    </w:pPr>
    <w:rPr>
      <w:rFonts w:ascii="Calibri Light" w:hAnsi="Calibri Light" w:eastAsia="" w:cs="" w:asciiTheme="majorHAnsi" w:cstheme="majorBidi" w:eastAsiaTheme="majorEastAsia" w:hAnsiTheme="majorHAnsi"/>
      <w:bCs/>
      <w:sz w:val="20"/>
      <w:szCs w:val="20"/>
      <w:lang w:val="pt-PT" w:eastAsia="en-US"/>
    </w:rPr>
  </w:style>
  <w:style w:type="paragraph" w:styleId="DefinitionTerm" w:customStyle="1">
    <w:name w:val="Definition Term"/>
    <w:basedOn w:val="Normal"/>
    <w:next w:val="Definition"/>
    <w:qFormat/>
    <w:rsid w:val="00a40a92"/>
    <w:pPr>
      <w:keepNext w:val="true"/>
      <w:keepLines/>
      <w:suppressAutoHyphens w:val="true"/>
      <w:spacing w:lineRule="auto" w:line="240" w:before="0" w:after="0"/>
    </w:pPr>
    <w:rPr>
      <w:rFonts w:ascii="Optima" w:hAnsi="Optima" w:eastAsia="Calibri" w:cs="" w:cstheme="minorBidi" w:eastAsiaTheme="minorHAnsi"/>
      <w:b/>
      <w:sz w:val="24"/>
      <w:szCs w:val="24"/>
      <w:lang w:val="pt-PT" w:eastAsia="en-US"/>
    </w:rPr>
  </w:style>
  <w:style w:type="paragraph" w:styleId="Definition" w:customStyle="1">
    <w:name w:val="Definition"/>
    <w:basedOn w:val="Normal"/>
    <w:qFormat/>
    <w:rsid w:val="00a40a92"/>
    <w:pPr>
      <w:suppressAutoHyphens w:val="true"/>
      <w:spacing w:lineRule="auto" w:line="240"/>
    </w:pPr>
    <w:rPr>
      <w:rFonts w:ascii="Optima" w:hAnsi="Optima" w:eastAsia="Calibri" w:cs="" w:cstheme="minorBidi" w:eastAsiaTheme="minorHAnsi"/>
      <w:sz w:val="24"/>
      <w:szCs w:val="24"/>
      <w:lang w:val="pt-PT" w:eastAsia="en-US"/>
    </w:rPr>
  </w:style>
  <w:style w:type="paragraph" w:styleId="TableCaption" w:customStyle="1">
    <w:name w:val="Table Caption"/>
    <w:basedOn w:val="Caption"/>
    <w:qFormat/>
    <w:rsid w:val="00a40a92"/>
    <w:pPr>
      <w:keepNext w:val="true"/>
    </w:pPr>
    <w:rPr/>
  </w:style>
  <w:style w:type="paragraph" w:styleId="ImageCaption" w:customStyle="1">
    <w:name w:val="Image Caption"/>
    <w:basedOn w:val="Caption"/>
    <w:qFormat/>
    <w:rsid w:val="00a40a92"/>
    <w:pPr/>
    <w:rPr/>
  </w:style>
  <w:style w:type="paragraph" w:styleId="Figura" w:customStyle="1">
    <w:name w:val="Figura"/>
    <w:basedOn w:val="Normal"/>
    <w:qFormat/>
    <w:rsid w:val="00a40a92"/>
    <w:pPr>
      <w:suppressAutoHyphens w:val="true"/>
      <w:spacing w:lineRule="auto" w:line="240"/>
    </w:pPr>
    <w:rPr>
      <w:rFonts w:ascii="Calibri" w:hAnsi="Calibri" w:eastAsia="Calibri" w:cs="" w:asciiTheme="minorHAnsi" w:cstheme="minorBidi" w:eastAsiaTheme="minorHAnsi" w:hAnsiTheme="minorHAnsi"/>
      <w:sz w:val="24"/>
      <w:szCs w:val="24"/>
      <w:lang w:val="pt-PT" w:eastAsia="en-US"/>
    </w:rPr>
  </w:style>
  <w:style w:type="paragraph" w:styleId="CaptionedFigure" w:customStyle="1">
    <w:name w:val="Captioned Figure"/>
    <w:basedOn w:val="Figura"/>
    <w:qFormat/>
    <w:rsid w:val="00a40a92"/>
    <w:pPr>
      <w:keepNext w:val="true"/>
    </w:pPr>
    <w:rPr/>
  </w:style>
  <w:style w:type="paragraph" w:styleId="Index1">
    <w:name w:val="index 1"/>
    <w:basedOn w:val="Normal"/>
    <w:next w:val="Normal"/>
    <w:autoRedefine/>
    <w:uiPriority w:val="99"/>
    <w:semiHidden/>
    <w:unhideWhenUsed/>
    <w:rsid w:val="00a40a92"/>
    <w:pPr>
      <w:spacing w:lineRule="auto" w:line="240" w:before="0" w:after="0"/>
      <w:ind w:hanging="220" w:left="220"/>
    </w:pPr>
    <w:rPr/>
  </w:style>
  <w:style w:type="paragraph" w:styleId="IndexHeading">
    <w:name w:val="index heading"/>
    <w:basedOn w:val="Title"/>
    <w:rsid w:val="00a40a92"/>
    <w:pPr>
      <w:suppressAutoHyphens w:val="true"/>
      <w:spacing w:lineRule="auto" w:line="240" w:before="480" w:after="240"/>
      <w:jc w:val="center"/>
    </w:pPr>
    <w:rPr>
      <w:rFonts w:ascii="Optima" w:hAnsi="Optima" w:eastAsia="" w:cs="" w:cstheme="majorBidi" w:eastAsiaTheme="majorEastAsia"/>
      <w:b w:val="false"/>
      <w:bCs/>
      <w:color w:themeColor="text1" w:val="000000"/>
      <w:sz w:val="36"/>
      <w:szCs w:val="36"/>
      <w:lang w:val="pt-PT" w:eastAsia="en-US"/>
    </w:rPr>
  </w:style>
  <w:style w:type="paragraph" w:styleId="TOCHeading">
    <w:name w:val="TOC Heading"/>
    <w:basedOn w:val="Heading1"/>
    <w:next w:val="BodyText"/>
    <w:uiPriority w:val="39"/>
    <w:unhideWhenUsed/>
    <w:qFormat/>
    <w:rsid w:val="00a40a92"/>
    <w:pPr>
      <w:suppressAutoHyphens w:val="true"/>
      <w:spacing w:lineRule="auto" w:line="259" w:before="240" w:after="0"/>
      <w:jc w:val="left"/>
    </w:pPr>
    <w:rPr>
      <w:rFonts w:ascii="Calibri Light" w:hAnsi="Calibri Light" w:eastAsia="" w:cs="" w:asciiTheme="majorHAnsi" w:cstheme="majorBidi" w:eastAsiaTheme="majorEastAsia" w:hAnsiTheme="majorHAnsi"/>
      <w:b w:val="false"/>
      <w:color w:themeColor="accent1" w:themeShade="bf" w:val="2F5496"/>
      <w:sz w:val="32"/>
      <w:szCs w:val="32"/>
      <w:lang w:val="pt-PT" w:eastAsia="en-US"/>
    </w:rPr>
  </w:style>
  <w:style w:type="paragraph" w:styleId="EnvelopeAddress">
    <w:name w:val="envelope address"/>
    <w:basedOn w:val="Normal"/>
    <w:unhideWhenUsed/>
    <w:qFormat/>
    <w:rsid w:val="00a40a92"/>
    <w:pPr>
      <w:suppressAutoHyphens w:val="true"/>
      <w:spacing w:lineRule="auto" w:line="240" w:before="0" w:after="0"/>
      <w:ind w:left="2880"/>
    </w:pPr>
    <w:rPr>
      <w:rFonts w:ascii="Calibri Light" w:hAnsi="Calibri Light" w:eastAsia="" w:cs="" w:asciiTheme="majorHAnsi" w:cstheme="majorBidi" w:eastAsiaTheme="majorEastAsia" w:hAnsiTheme="majorHAnsi"/>
      <w:sz w:val="24"/>
      <w:szCs w:val="24"/>
      <w:lang w:val="pt-PT" w:eastAsia="en-US"/>
    </w:rPr>
  </w:style>
  <w:style w:type="paragraph" w:styleId="FrameContents" w:customStyle="1">
    <w:name w:val="Frame Contents"/>
    <w:basedOn w:val="Normal"/>
    <w:qFormat/>
    <w:rsid w:val="00a40a92"/>
    <w:pPr>
      <w:suppressAutoHyphens w:val="true"/>
      <w:spacing w:lineRule="auto" w:line="240"/>
    </w:pPr>
    <w:rPr>
      <w:rFonts w:ascii="Calibri" w:hAnsi="Calibri" w:eastAsia="Calibri" w:cs="" w:asciiTheme="minorHAnsi" w:cstheme="minorBidi" w:eastAsiaTheme="minorHAnsi" w:hAnsiTheme="minorHAnsi"/>
      <w:sz w:val="24"/>
      <w:szCs w:val="24"/>
      <w:lang w:val="pt-PT" w:eastAsia="en-US"/>
    </w:rPr>
  </w:style>
  <w:style w:type="paragraph" w:styleId="Contedodoquadro" w:customStyle="1">
    <w:name w:val="Conteúdo do quadro"/>
    <w:basedOn w:val="Normal"/>
    <w:qFormat/>
    <w:rsid w:val="00a40a92"/>
    <w:pPr>
      <w:suppressAutoHyphens w:val="true"/>
      <w:spacing w:lineRule="auto" w:line="240"/>
    </w:pPr>
    <w:rPr>
      <w:rFonts w:ascii="Calibri" w:hAnsi="Calibri" w:eastAsia="Calibri" w:cs="" w:asciiTheme="minorHAnsi" w:cstheme="minorBidi" w:eastAsiaTheme="minorHAnsi" w:hAnsiTheme="minorHAnsi"/>
      <w:sz w:val="24"/>
      <w:szCs w:val="24"/>
      <w:lang w:val="pt-PT" w:eastAsia="en-US"/>
    </w:rPr>
  </w:style>
  <w:style w:type="paragraph" w:styleId="SourceCode" w:customStyle="1">
    <w:name w:val="Source Code"/>
    <w:basedOn w:val="Normal"/>
    <w:link w:val="VerbatimChar"/>
    <w:qFormat/>
    <w:rsid w:val="00a40a92"/>
    <w:pPr>
      <w:suppressAutoHyphens w:val="true"/>
      <w:spacing w:lineRule="auto" w:line="240"/>
    </w:pPr>
    <w:rPr>
      <w:rFonts w:ascii="Consolas" w:hAnsi="Consolas" w:cs="Calibri"/>
      <w:lang w:val="pt-PT"/>
    </w:rPr>
  </w:style>
  <w:style w:type="paragraph" w:styleId="TOC1">
    <w:name w:val="toc 1"/>
    <w:basedOn w:val="Normal"/>
    <w:next w:val="Normal"/>
    <w:autoRedefine/>
    <w:uiPriority w:val="39"/>
    <w:unhideWhenUsed/>
    <w:rsid w:val="00a40a92"/>
    <w:pPr>
      <w:suppressAutoHyphens w:val="true"/>
      <w:spacing w:lineRule="auto" w:line="240" w:before="0" w:after="100"/>
    </w:pPr>
    <w:rPr>
      <w:rFonts w:ascii="Calibri" w:hAnsi="Calibri" w:eastAsia="Calibri" w:cs="" w:asciiTheme="minorHAnsi" w:cstheme="minorBidi" w:eastAsiaTheme="minorHAnsi" w:hAnsiTheme="minorHAnsi"/>
      <w:sz w:val="24"/>
      <w:szCs w:val="24"/>
      <w:lang w:val="pt-PT" w:eastAsia="en-US"/>
    </w:rPr>
  </w:style>
  <w:style w:type="paragraph" w:styleId="TOC2">
    <w:name w:val="toc 2"/>
    <w:basedOn w:val="Normal"/>
    <w:next w:val="Normal"/>
    <w:autoRedefine/>
    <w:uiPriority w:val="39"/>
    <w:unhideWhenUsed/>
    <w:rsid w:val="00a40a92"/>
    <w:pPr>
      <w:suppressAutoHyphens w:val="true"/>
      <w:spacing w:lineRule="auto" w:line="240" w:before="0" w:after="100"/>
      <w:ind w:left="240"/>
    </w:pPr>
    <w:rPr>
      <w:rFonts w:ascii="Calibri" w:hAnsi="Calibri" w:eastAsia="Calibri" w:cs="" w:asciiTheme="minorHAnsi" w:cstheme="minorBidi" w:eastAsiaTheme="minorHAnsi" w:hAnsiTheme="minorHAnsi"/>
      <w:sz w:val="24"/>
      <w:szCs w:val="24"/>
      <w:lang w:val="pt-PT" w:eastAsia="en-US"/>
    </w:rPr>
  </w:style>
  <w:style w:type="paragraph" w:styleId="TOC3">
    <w:name w:val="toc 3"/>
    <w:basedOn w:val="Normal"/>
    <w:next w:val="Normal"/>
    <w:autoRedefine/>
    <w:uiPriority w:val="39"/>
    <w:unhideWhenUsed/>
    <w:rsid w:val="00a40a92"/>
    <w:pPr>
      <w:suppressAutoHyphens w:val="true"/>
      <w:spacing w:lineRule="auto" w:line="240" w:before="0" w:after="100"/>
      <w:ind w:left="480"/>
    </w:pPr>
    <w:rPr>
      <w:rFonts w:ascii="Calibri" w:hAnsi="Calibri" w:eastAsia="Calibri" w:cs="" w:asciiTheme="minorHAnsi" w:cstheme="minorBidi" w:eastAsiaTheme="minorHAnsi" w:hAnsiTheme="minorHAnsi"/>
      <w:sz w:val="24"/>
      <w:szCs w:val="24"/>
      <w:lang w:val="pt-PT" w:eastAsia="en-US"/>
    </w:rPr>
  </w:style>
  <w:style w:type="paragraph" w:styleId="CommentText">
    <w:name w:val="annotation text"/>
    <w:basedOn w:val="Normal"/>
    <w:link w:val="TextodecomentrioChar"/>
    <w:unhideWhenUsed/>
    <w:rsid w:val="00a40a92"/>
    <w:pPr>
      <w:suppressAutoHyphens w:val="true"/>
      <w:spacing w:lineRule="auto" w:line="240"/>
    </w:pPr>
    <w:rPr>
      <w:rFonts w:ascii="Calibri" w:hAnsi="Calibri" w:eastAsia="Calibri" w:cs="" w:asciiTheme="minorHAnsi" w:cstheme="minorBidi" w:eastAsiaTheme="minorHAnsi" w:hAnsiTheme="minorHAnsi"/>
      <w:sz w:val="20"/>
      <w:szCs w:val="20"/>
      <w:lang w:val="pt-PT" w:eastAsia="en-US"/>
    </w:rPr>
  </w:style>
  <w:style w:type="paragraph" w:styleId="annotationsubject">
    <w:name w:val="annotation subject"/>
    <w:basedOn w:val="CommentText"/>
    <w:next w:val="CommentText"/>
    <w:link w:val="AssuntodocomentrioChar"/>
    <w:semiHidden/>
    <w:unhideWhenUsed/>
    <w:qFormat/>
    <w:rsid w:val="00a40a92"/>
    <w:pPr/>
    <w:rPr>
      <w:b/>
      <w:bCs/>
    </w:rPr>
  </w:style>
  <w:style w:type="numbering" w:styleId="Semlista" w:default="1">
    <w:name w:val="Sem lista"/>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styleId="Tabelacomgrade">
    <w:name w:val="Table Grid"/>
    <w:basedOn w:val="Tabelanormal"/>
    <w:uiPriority w:val="39"/>
    <w:rsid w:val="004f533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
    <w:name w:val="Table"/>
    <w:semiHidden/>
    <w:unhideWhenUsed/>
    <w:qFormat/>
    <w:rsid w:val="00a40a92"/>
    <w:pPr>
      <w:spacing w:after="0" w:line="240" w:lineRule="auto"/>
    </w:pPr>
    <w:rPr>
      <w:rFonts w:asciiTheme="minorHAnsi" w:hAnsiTheme="minorHAnsi" w:eastAsiaTheme="minorHAnsi" w:cstheme="minorBidi"/>
      <w:lang w:val="pt" w:eastAsia="en-US"/>
      <w:sz w:val="24"/>
      <w:szCs w:val="24"/>
    </w:rPr>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www.bibliotecaflorestal.ufv.br/handle/123456789/16601" TargetMode="External"/><Relationship Id="rId12" Type="http://schemas.openxmlformats.org/officeDocument/2006/relationships/hyperlink" Target="https://www.vcaguidelines.org/" TargetMode="External"/><Relationship Id="rId13" Type="http://schemas.openxmlformats.org/officeDocument/2006/relationships/hyperlink" Target="https://elpais.com/america-futura/2024-08-08/las-condiciones-detras-de-los-devastadores-incendios-en-el-pantanal-si-fueron-intensificadas-por-el-cambio-climatico.html" TargetMode="External"/><Relationship Id="rId14" Type="http://schemas.openxmlformats.org/officeDocument/2006/relationships/hyperlink" Target="https://www.embrapa.br/busca-de-publicacoes/-/publicacao/787712/o-clima-no-pantanal-mato-grossense" TargetMode="External"/><Relationship Id="rId15" Type="http://schemas.openxmlformats.org/officeDocument/2006/relationships/hyperlink" Target="https://www.savannaburning.org/" TargetMode="External"/><Relationship Id="rId16" Type="http://schemas.openxmlformats.org/officeDocument/2006/relationships/hyperlink" Target="https://www.imasul.ms.gov.br/governo-publica-georreferenciamento-do-parque-estadual-do-pantanal-do-rio-negro/" TargetMode="External"/><Relationship Id="rId17" Type="http://schemas.openxmlformats.org/officeDocument/2006/relationships/hyperlink" Target="https://www.imasul.ms.gov.br/acao-conjunta-entre-governo-e-organizacoes-da-sociedade-civil-reforcam-infraestrutura-do-parque-estadual-do-pantanal-do-rio-negro/" TargetMode="External"/><Relationship Id="rId18" Type="http://schemas.openxmlformats.org/officeDocument/2006/relationships/hyperlink" Target="https://www.biocarbonregistry.org/savannas" TargetMode="External"/><Relationship Id="rId19" Type="http://schemas.openxmlformats.org/officeDocument/2006/relationships/hyperlink" Target="https://www.biocarbonregistry.org/wetlands" TargetMode="External"/><Relationship Id="rId20" Type="http://schemas.openxmlformats.org/officeDocument/2006/relationships/hyperlink" Target="https://www.biocarbonstandards.org/" TargetMode="External"/><Relationship Id="rId21" Type="http://schemas.openxmlformats.org/officeDocument/2006/relationships/hyperlink" Target="https://www.biodiversitycredits.org/" TargetMode="External"/><Relationship Id="rId22" Type="http://schemas.openxmlformats.org/officeDocument/2006/relationships/hyperlink" Target="https://www.vcsfiremanagement.org/" TargetMode="External"/><Relationship Id="rId23" Type="http://schemas.openxmlformats.org/officeDocument/2006/relationships/hyperlink" Target="https://doi.org/10.37002/biodiversidadebrasileira.v14i4.2556" TargetMode="External"/><Relationship Id="rId24" Type="http://schemas.openxmlformats.org/officeDocument/2006/relationships/hyperlink" Target="https://doi.org/10.4136/ambi-agua.2024" TargetMode="External"/><Relationship Id="rId25" Type="http://schemas.openxmlformats.org/officeDocument/2006/relationships/hyperlink" Target="https://www.planvivo.org/" TargetMode="External"/><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header" Target="header3.xml"/><Relationship Id="rId29" Type="http://schemas.openxmlformats.org/officeDocument/2006/relationships/footer" Target="footer1.xml"/><Relationship Id="rId30" Type="http://schemas.openxmlformats.org/officeDocument/2006/relationships/footer" Target="footer2.xml"/><Relationship Id="rId31" Type="http://schemas.openxmlformats.org/officeDocument/2006/relationships/footer" Target="footer3.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2.jpeg"/>
</Relationships>
</file>

<file path=word/_rels/footer3.xml.rels><?xml version="1.0" encoding="UTF-8"?>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2.jpeg"/>
</Relationships>
</file>

<file path=word/_rels/header2.xml.rels><?xml version="1.0" encoding="UTF-8"?>
<Relationships xmlns="http://schemas.openxmlformats.org/package/2006/relationships"><Relationship Id="rId1" Type="http://schemas.openxmlformats.org/officeDocument/2006/relationships/image" Target="media/image10.png"/>
</Relationships>
</file>

<file path=word/_rels/header3.xml.rels><?xml version="1.0" encoding="UTF-8"?>
<Relationships xmlns="http://schemas.openxmlformats.org/package/2006/relationships"><Relationship Id="rId1" Type="http://schemas.openxmlformats.org/officeDocument/2006/relationships/image" Target="media/image10.png"/>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LibreOffice/24.8.4.2$Linux_X86_64 LibreOffice_project/480$Build-2</Application>
  <AppVersion>15.0000</AppVersion>
  <Pages>23</Pages>
  <Words>6399</Words>
  <Characters>36187</Characters>
  <CharactersWithSpaces>42389</CharactersWithSpaces>
  <Paragraphs>613</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2025-02-17T01:28:06Z</dcterms:created>
  <dc:creator>ECODATAGEO</dc:creator>
  <dc:description/>
  <dc:language>pt</dc:language>
  <cp:lastModifiedBy/>
  <dcterms:modified xsi:type="dcterms:W3CDTF">2025-02-16T22:28:41Z</dcterms:modified>
  <cp:revision>1</cp:revision>
  <dc:subject/>
  <dc:title>Proposta de Projeto de Gestão de Queimadas de Savana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relatorio_fireMS.bib</vt:lpwstr>
  </property>
  <property fmtid="{D5CDD505-2E9C-101B-9397-08002B2CF9AE}" pid="5" name="by-author">
    <vt:lpwstr/>
  </property>
  <property fmtid="{D5CDD505-2E9C-101B-9397-08002B2CF9AE}" pid="6" name="date">
    <vt:lpwstr>2025-02-17</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ogo">
    <vt:lpwstr>img/EDG-logo.png</vt:lpwstr>
  </property>
  <property fmtid="{D5CDD505-2E9C-101B-9397-08002B2CF9AE}" pid="12" name="subtitle">
    <vt:lpwstr>Relatório de Avaliação de Viabilidade</vt:lpwstr>
  </property>
  <property fmtid="{D5CDD505-2E9C-101B-9397-08002B2CF9AE}" pid="13" name="tbl-cap-location">
    <vt:lpwstr>bottom</vt:lpwstr>
  </property>
  <property fmtid="{D5CDD505-2E9C-101B-9397-08002B2CF9AE}" pid="14" name="toc-title">
    <vt:lpwstr>Índice</vt:lpwstr>
  </property>
</Properties>
</file>