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8C1E0" w14:textId="147A2FFC" w:rsidR="00D02EFF" w:rsidRPr="000A6BE8" w:rsidRDefault="00D02EFF" w:rsidP="00D02E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9C0784" w14:textId="0A49772A" w:rsidR="000A6BE8" w:rsidRPr="000A6BE8" w:rsidRDefault="000A6BE8" w:rsidP="000A6BE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A6BE8">
        <w:rPr>
          <w:rFonts w:ascii="Arial" w:hAnsi="Arial" w:cs="Arial"/>
          <w:b/>
          <w:sz w:val="24"/>
          <w:szCs w:val="24"/>
        </w:rPr>
        <w:t xml:space="preserve">Autos n.º </w:t>
      </w:r>
      <w:r w:rsidR="005C5C65">
        <w:rPr>
          <w:rFonts w:ascii="Arial" w:hAnsi="Arial" w:cs="Arial"/>
          <w:b/>
          <w:sz w:val="24"/>
          <w:szCs w:val="24"/>
        </w:rPr>
        <w:t>1500229-15.2020.8.26.0573</w:t>
      </w:r>
    </w:p>
    <w:p w14:paraId="33D92AFF" w14:textId="507D928A" w:rsidR="000A6BE8" w:rsidRDefault="000A6BE8" w:rsidP="000A6BE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D533C86" w14:textId="77777777" w:rsidR="000A6BE8" w:rsidRPr="000A6BE8" w:rsidRDefault="000A6BE8" w:rsidP="000A6BE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D45A9E2" w14:textId="77777777" w:rsidR="000A6BE8" w:rsidRPr="000A6BE8" w:rsidRDefault="000A6BE8" w:rsidP="000A6BE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A6BE8">
        <w:rPr>
          <w:rFonts w:ascii="Arial" w:hAnsi="Arial" w:cs="Arial"/>
          <w:b/>
          <w:sz w:val="24"/>
          <w:szCs w:val="24"/>
        </w:rPr>
        <w:tab/>
      </w:r>
      <w:r w:rsidRPr="000A6BE8">
        <w:rPr>
          <w:rFonts w:ascii="Arial" w:hAnsi="Arial" w:cs="Arial"/>
          <w:b/>
          <w:sz w:val="24"/>
          <w:szCs w:val="24"/>
        </w:rPr>
        <w:tab/>
      </w:r>
      <w:r w:rsidRPr="000A6BE8">
        <w:rPr>
          <w:rFonts w:ascii="Arial" w:hAnsi="Arial" w:cs="Arial"/>
          <w:b/>
          <w:sz w:val="24"/>
          <w:szCs w:val="24"/>
        </w:rPr>
        <w:tab/>
        <w:t>MM. Juiz.</w:t>
      </w:r>
    </w:p>
    <w:p w14:paraId="24932EB3" w14:textId="4029C289" w:rsidR="000A6BE8" w:rsidRDefault="002631DD" w:rsidP="002631DD">
      <w:pPr>
        <w:tabs>
          <w:tab w:val="left" w:pos="2436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EA805D8" w14:textId="77777777" w:rsidR="002631DD" w:rsidRPr="000A6BE8" w:rsidRDefault="002631DD" w:rsidP="002631DD">
      <w:pPr>
        <w:tabs>
          <w:tab w:val="left" w:pos="2436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B33B30" w14:textId="6E863144" w:rsidR="000A6BE8" w:rsidRPr="00F40654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  <w:r w:rsidRPr="00F40654">
        <w:rPr>
          <w:rFonts w:ascii="Arial" w:hAnsi="Arial" w:cs="Arial"/>
        </w:rPr>
        <w:t>Trata-se de auto de prisão em flagrante delito, no qual fo</w:t>
      </w:r>
      <w:r w:rsidR="00B370D3" w:rsidRPr="00F40654">
        <w:rPr>
          <w:rFonts w:ascii="Arial" w:hAnsi="Arial" w:cs="Arial"/>
        </w:rPr>
        <w:t xml:space="preserve">i </w:t>
      </w:r>
      <w:r w:rsidRPr="00F40654">
        <w:rPr>
          <w:rFonts w:ascii="Arial" w:hAnsi="Arial" w:cs="Arial"/>
        </w:rPr>
        <w:t>autuado</w:t>
      </w:r>
      <w:r w:rsidR="00041F8E" w:rsidRPr="00F40654">
        <w:rPr>
          <w:rFonts w:ascii="Arial" w:hAnsi="Arial" w:cs="Arial"/>
        </w:rPr>
        <w:t xml:space="preserve"> </w:t>
      </w:r>
      <w:r w:rsidR="00041F8E" w:rsidRPr="00F40654">
        <w:rPr>
          <w:rFonts w:ascii="Arial" w:hAnsi="Arial" w:cs="Arial"/>
          <w:u w:val="single"/>
        </w:rPr>
        <w:t>indiciado4</w:t>
      </w:r>
      <w:r w:rsidRPr="00F40654">
        <w:rPr>
          <w:rFonts w:ascii="Arial" w:hAnsi="Arial" w:cs="Arial"/>
        </w:rPr>
        <w:t>, p</w:t>
      </w:r>
      <w:r w:rsidR="000F0403" w:rsidRPr="00F40654">
        <w:rPr>
          <w:rFonts w:ascii="Arial" w:hAnsi="Arial" w:cs="Arial"/>
        </w:rPr>
        <w:t xml:space="preserve">ela prática de </w:t>
      </w:r>
      <w:r w:rsidRPr="00F40654">
        <w:rPr>
          <w:rFonts w:ascii="Arial" w:hAnsi="Arial" w:cs="Arial"/>
        </w:rPr>
        <w:t>delito</w:t>
      </w:r>
      <w:r w:rsidR="00407136">
        <w:rPr>
          <w:rFonts w:ascii="Arial" w:hAnsi="Arial" w:cs="Arial"/>
        </w:rPr>
        <w:t xml:space="preserve"> de</w:t>
      </w:r>
      <w:r w:rsidR="00FF59F8" w:rsidRPr="00F40654">
        <w:rPr>
          <w:rFonts w:ascii="Arial" w:hAnsi="Arial" w:cs="Arial"/>
        </w:rPr>
        <w:t xml:space="preserve"> </w:t>
      </w:r>
      <w:r w:rsidR="00FF59F8" w:rsidRPr="00F40654">
        <w:rPr>
          <w:rFonts w:ascii="Arial" w:hAnsi="Arial" w:cs="Arial"/>
          <w:u w:val="single"/>
        </w:rPr>
        <w:t>infracao</w:t>
      </w:r>
      <w:r w:rsidR="000F0403" w:rsidRPr="00F40654">
        <w:rPr>
          <w:rFonts w:ascii="Arial" w:hAnsi="Arial" w:cs="Arial"/>
        </w:rPr>
        <w:t>,</w:t>
      </w:r>
      <w:r w:rsidRPr="00F40654">
        <w:rPr>
          <w:rFonts w:ascii="Arial" w:hAnsi="Arial" w:cs="Arial"/>
        </w:rPr>
        <w:t xml:space="preserve"> </w:t>
      </w:r>
      <w:r w:rsidR="00D61432" w:rsidRPr="00F40654">
        <w:rPr>
          <w:rFonts w:ascii="Arial" w:hAnsi="Arial" w:cs="Arial"/>
        </w:rPr>
        <w:t xml:space="preserve">fato ocorrido </w:t>
      </w:r>
      <w:r w:rsidR="002631DD" w:rsidRPr="00F40654">
        <w:rPr>
          <w:rFonts w:ascii="Arial" w:eastAsia="Times New Roman" w:hAnsi="Arial" w:cs="Arial"/>
          <w:snapToGrid w:val="0"/>
          <w:lang w:eastAsia="pt-BR"/>
        </w:rPr>
        <w:t xml:space="preserve">no dia </w:t>
      </w:r>
      <w:r w:rsidR="002631DD" w:rsidRPr="00F40654">
        <w:rPr>
          <w:rFonts w:ascii="Arial" w:eastAsia="Times New Roman" w:hAnsi="Arial" w:cs="Arial"/>
          <w:snapToGrid w:val="0"/>
          <w:u w:val="single"/>
          <w:lang w:eastAsia="pt-BR"/>
        </w:rPr>
        <w:t>data</w:t>
      </w:r>
      <w:r w:rsidR="002631DD" w:rsidRPr="00F40654">
        <w:rPr>
          <w:rFonts w:ascii="Arial" w:eastAsia="Times New Roman" w:hAnsi="Arial" w:cs="Arial"/>
          <w:snapToGrid w:val="0"/>
          <w:lang w:eastAsia="pt-BR"/>
        </w:rPr>
        <w:t xml:space="preserve">, </w:t>
      </w:r>
      <w:r w:rsidR="002631DD" w:rsidRPr="00F40654">
        <w:rPr>
          <w:rFonts w:ascii="Arial" w:eastAsia="Times New Roman" w:hAnsi="Arial" w:cs="Arial"/>
          <w:snapToGrid w:val="0"/>
          <w:u w:val="single"/>
          <w:lang w:eastAsia="pt-BR"/>
        </w:rPr>
        <w:t>hora</w:t>
      </w:r>
      <w:r w:rsidR="002631DD" w:rsidRPr="00F40654">
        <w:rPr>
          <w:rFonts w:ascii="Arial" w:eastAsia="Times New Roman" w:hAnsi="Arial" w:cs="Arial"/>
          <w:snapToGrid w:val="0"/>
          <w:lang w:eastAsia="pt-BR"/>
        </w:rPr>
        <w:t xml:space="preserve">, </w:t>
      </w:r>
      <w:r w:rsidR="002631DD" w:rsidRPr="00F40654">
        <w:rPr>
          <w:rFonts w:ascii="Arial" w:eastAsia="Times New Roman" w:hAnsi="Arial" w:cs="Arial"/>
          <w:snapToGrid w:val="0"/>
          <w:u w:val="single"/>
          <w:lang w:eastAsia="pt-BR"/>
        </w:rPr>
        <w:t>endereco</w:t>
      </w:r>
      <w:r w:rsidR="002631DD" w:rsidRPr="00F40654">
        <w:rPr>
          <w:rFonts w:ascii="Arial" w:eastAsia="Times New Roman" w:hAnsi="Arial" w:cs="Arial"/>
          <w:snapToGrid w:val="0"/>
          <w:lang w:eastAsia="pt-BR"/>
        </w:rPr>
        <w:t>, na cidade</w:t>
      </w:r>
      <w:r w:rsidR="00407136">
        <w:rPr>
          <w:rFonts w:ascii="Arial" w:eastAsia="Times New Roman" w:hAnsi="Arial" w:cs="Arial"/>
          <w:snapToGrid w:val="0"/>
          <w:lang w:eastAsia="pt-BR"/>
        </w:rPr>
        <w:t xml:space="preserve"> de</w:t>
      </w:r>
      <w:r w:rsidR="002631DD" w:rsidRPr="00F40654">
        <w:rPr>
          <w:rFonts w:ascii="Arial" w:eastAsia="Times New Roman" w:hAnsi="Arial" w:cs="Arial"/>
          <w:snapToGrid w:val="0"/>
          <w:lang w:eastAsia="pt-BR"/>
        </w:rPr>
        <w:t xml:space="preserve"> </w:t>
      </w:r>
      <w:r w:rsidR="002631DD" w:rsidRPr="00F40654">
        <w:rPr>
          <w:rFonts w:ascii="Arial" w:eastAsia="Times New Roman" w:hAnsi="Arial" w:cs="Arial"/>
          <w:snapToGrid w:val="0"/>
          <w:u w:val="single"/>
          <w:lang w:eastAsia="pt-BR"/>
        </w:rPr>
        <w:t>municipalidade</w:t>
      </w:r>
      <w:r w:rsidRPr="00F40654">
        <w:rPr>
          <w:rFonts w:ascii="Arial" w:hAnsi="Arial" w:cs="Arial"/>
        </w:rPr>
        <w:t>.</w:t>
      </w:r>
    </w:p>
    <w:p w14:paraId="4E2DF234" w14:textId="77777777" w:rsidR="00D61432" w:rsidRDefault="00D61432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4A0B77F7" w14:textId="1EE0BDA9" w:rsidR="000A6BE8" w:rsidRPr="00D61432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 w:rsidRPr="00D61432">
        <w:rPr>
          <w:rFonts w:ascii="Arial" w:hAnsi="Arial" w:cs="Arial"/>
          <w:szCs w:val="26"/>
        </w:rPr>
        <w:t>É o breve relatório.</w:t>
      </w:r>
    </w:p>
    <w:p w14:paraId="7561088C" w14:textId="77777777" w:rsidR="00D61432" w:rsidRDefault="00D61432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48B52A82" w14:textId="1190A6F0" w:rsidR="000A6BE8" w:rsidRPr="00D61432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 w:rsidRPr="00D61432">
        <w:rPr>
          <w:rFonts w:ascii="Arial" w:hAnsi="Arial" w:cs="Arial"/>
          <w:szCs w:val="26"/>
        </w:rPr>
        <w:t>Analisando os autos, verifica-se que o flagrante está formalmente em ordem, tendo sido observadas todas as formalidades legais para sua lavratura, de modo que não há causas para seu relaxamento.</w:t>
      </w:r>
    </w:p>
    <w:p w14:paraId="692CA048" w14:textId="77777777" w:rsidR="000A6BE8" w:rsidRPr="00D61432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700DC8F0" w14:textId="2691C804" w:rsidR="000A6BE8" w:rsidRPr="00D61432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 w:rsidRPr="00D61432">
        <w:rPr>
          <w:rFonts w:ascii="Arial" w:hAnsi="Arial" w:cs="Arial"/>
          <w:szCs w:val="26"/>
        </w:rPr>
        <w:t xml:space="preserve">Ainda, </w:t>
      </w:r>
      <w:r w:rsidR="00EE5B8B" w:rsidRPr="00D61432">
        <w:rPr>
          <w:rFonts w:ascii="Arial" w:hAnsi="Arial" w:cs="Arial"/>
          <w:szCs w:val="26"/>
        </w:rPr>
        <w:t>o</w:t>
      </w:r>
      <w:r w:rsidRPr="00D61432">
        <w:rPr>
          <w:rFonts w:ascii="Arial" w:hAnsi="Arial" w:cs="Arial"/>
          <w:szCs w:val="26"/>
        </w:rPr>
        <w:t xml:space="preserve"> indiciad</w:t>
      </w:r>
      <w:r w:rsidR="00EE5B8B" w:rsidRPr="00D61432">
        <w:rPr>
          <w:rFonts w:ascii="Arial" w:hAnsi="Arial" w:cs="Arial"/>
          <w:szCs w:val="26"/>
        </w:rPr>
        <w:t>o</w:t>
      </w:r>
      <w:r w:rsidRPr="00D61432">
        <w:rPr>
          <w:rFonts w:ascii="Arial" w:hAnsi="Arial" w:cs="Arial"/>
          <w:szCs w:val="26"/>
        </w:rPr>
        <w:t xml:space="preserve"> fo</w:t>
      </w:r>
      <w:r w:rsidR="00B370D3" w:rsidRPr="00D61432">
        <w:rPr>
          <w:rFonts w:ascii="Arial" w:hAnsi="Arial" w:cs="Arial"/>
          <w:szCs w:val="26"/>
        </w:rPr>
        <w:t>i</w:t>
      </w:r>
      <w:r w:rsidRPr="00D61432">
        <w:rPr>
          <w:rFonts w:ascii="Arial" w:hAnsi="Arial" w:cs="Arial"/>
          <w:szCs w:val="26"/>
        </w:rPr>
        <w:t xml:space="preserve"> surpreendid</w:t>
      </w:r>
      <w:r w:rsidR="00EE5B8B" w:rsidRPr="00D61432">
        <w:rPr>
          <w:rFonts w:ascii="Arial" w:hAnsi="Arial" w:cs="Arial"/>
          <w:szCs w:val="26"/>
        </w:rPr>
        <w:t>o</w:t>
      </w:r>
      <w:r w:rsidRPr="00D61432">
        <w:rPr>
          <w:rFonts w:ascii="Arial" w:hAnsi="Arial" w:cs="Arial"/>
          <w:szCs w:val="26"/>
        </w:rPr>
        <w:t xml:space="preserve"> em situação que perfaz o art. 302, inciso I, do Código de Processo Penal. </w:t>
      </w:r>
    </w:p>
    <w:p w14:paraId="4C36A887" w14:textId="77777777" w:rsidR="005C5C65" w:rsidRDefault="005C5C65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2E5D2D53" w14:textId="6798A1B8" w:rsidR="00B370D3" w:rsidRDefault="005C5C65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E</w:t>
      </w:r>
      <w:r w:rsidR="00B370D3">
        <w:rPr>
          <w:rFonts w:ascii="Arial" w:hAnsi="Arial" w:cs="Arial"/>
          <w:szCs w:val="26"/>
        </w:rPr>
        <w:t xml:space="preserve">ntendo que </w:t>
      </w:r>
      <w:r w:rsidR="000F0403">
        <w:rPr>
          <w:rFonts w:ascii="Arial" w:hAnsi="Arial" w:cs="Arial"/>
          <w:szCs w:val="26"/>
        </w:rPr>
        <w:t>efetivamente</w:t>
      </w:r>
      <w:r w:rsidR="00B370D3">
        <w:rPr>
          <w:rFonts w:ascii="Arial" w:hAnsi="Arial" w:cs="Arial"/>
          <w:szCs w:val="26"/>
        </w:rPr>
        <w:t xml:space="preserve"> estão presentes os requisitos para a decretação da custódia cautelar.</w:t>
      </w:r>
    </w:p>
    <w:p w14:paraId="3154F9AA" w14:textId="23FACEAB" w:rsidR="00B370D3" w:rsidRDefault="00B370D3" w:rsidP="000A6BE8">
      <w:pPr>
        <w:spacing w:after="0" w:line="360" w:lineRule="auto"/>
        <w:ind w:firstLine="2130"/>
        <w:rPr>
          <w:rFonts w:ascii="Arial" w:hAnsi="Arial" w:cs="Arial"/>
          <w:szCs w:val="26"/>
        </w:rPr>
      </w:pPr>
    </w:p>
    <w:p w14:paraId="449205C9" w14:textId="37023489" w:rsidR="00712966" w:rsidRDefault="005C5C65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Trata-se de delito grave, equiparado a hediondo e em relação ao qual a própria lei exige tratamento rigoroso, sendo despiciendo referir as graves repercussões sobre a </w:t>
      </w:r>
      <w:r w:rsidR="000D4545">
        <w:rPr>
          <w:rFonts w:ascii="Arial" w:hAnsi="Arial" w:cs="Arial"/>
          <w:szCs w:val="26"/>
        </w:rPr>
        <w:t>saúde pública e a estrutura social decorrentes de tal prática.</w:t>
      </w:r>
    </w:p>
    <w:p w14:paraId="6AA62C35" w14:textId="03FACF30" w:rsidR="000D4545" w:rsidRDefault="000D4545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47EB276C" w14:textId="090A893B" w:rsidR="000D4545" w:rsidRDefault="000D4545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No caso, observa-se que foi apreendida quantidade substancial da droga, acompanhada de balança de precisão, faca, e ainda porções menores da droga, acomodadas dentro de um balde na residência do custodiado, além de dinheiro em espécie, tudo a demonstrar a prática do delito de forma reiterada e organizada. </w:t>
      </w:r>
    </w:p>
    <w:p w14:paraId="0322507A" w14:textId="5676020E" w:rsidR="000D4545" w:rsidRDefault="000D4545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0839B39A" w14:textId="0118FFD2" w:rsidR="000D4545" w:rsidRDefault="002631DD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Embora o </w:t>
      </w:r>
      <w:r w:rsidR="000D4545">
        <w:rPr>
          <w:rFonts w:ascii="Arial" w:hAnsi="Arial" w:cs="Arial"/>
          <w:szCs w:val="26"/>
        </w:rPr>
        <w:t xml:space="preserve">custodiado </w:t>
      </w:r>
      <w:r>
        <w:rPr>
          <w:rFonts w:ascii="Arial" w:hAnsi="Arial" w:cs="Arial"/>
          <w:szCs w:val="26"/>
        </w:rPr>
        <w:t xml:space="preserve">tenha negado a </w:t>
      </w:r>
      <w:r w:rsidR="000D4545">
        <w:rPr>
          <w:rFonts w:ascii="Arial" w:hAnsi="Arial" w:cs="Arial"/>
          <w:szCs w:val="26"/>
        </w:rPr>
        <w:t>traficância, fato é que as circunstâncias acima descritas indicam que a droga se destinava à venda a terceiros.</w:t>
      </w:r>
    </w:p>
    <w:p w14:paraId="184A8019" w14:textId="77777777" w:rsidR="002631DD" w:rsidRDefault="002631DD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3C1E7581" w14:textId="3FA0802F" w:rsidR="00712966" w:rsidRDefault="002631DD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lastRenderedPageBreak/>
        <w:t xml:space="preserve">Ademais, </w:t>
      </w:r>
      <w:r w:rsidR="00712966">
        <w:rPr>
          <w:rFonts w:ascii="Arial" w:hAnsi="Arial" w:cs="Arial"/>
          <w:szCs w:val="26"/>
        </w:rPr>
        <w:t>a primariedade não obsta a decretação da prisão preventiva na hipótese, haja vista a evidente imprescindibilidade da medida mais gravosa na hipótese dos autos.</w:t>
      </w:r>
      <w:r w:rsidR="000B14D7">
        <w:rPr>
          <w:rFonts w:ascii="Arial" w:hAnsi="Arial" w:cs="Arial"/>
          <w:szCs w:val="26"/>
        </w:rPr>
        <w:t xml:space="preserve"> Neste sentido, o posicionamento do Superior Tribunal de Justiça:</w:t>
      </w:r>
    </w:p>
    <w:p w14:paraId="0AABC696" w14:textId="7AEE1F90" w:rsidR="000B14D7" w:rsidRDefault="000B14D7" w:rsidP="000B14D7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4A00AD2D" w14:textId="7198BD4E" w:rsidR="000B14D7" w:rsidRPr="000B14D7" w:rsidRDefault="000B14D7" w:rsidP="000B14D7">
      <w:pPr>
        <w:pStyle w:val="NormalWeb"/>
        <w:shd w:val="clear" w:color="auto" w:fill="FFFFFF"/>
        <w:spacing w:before="0" w:beforeAutospacing="0" w:after="300" w:afterAutospacing="0"/>
        <w:ind w:left="1843"/>
        <w:jc w:val="both"/>
        <w:rPr>
          <w:rFonts w:ascii="Arial" w:hAnsi="Arial" w:cs="Arial"/>
          <w:color w:val="444444"/>
          <w:sz w:val="20"/>
          <w:szCs w:val="20"/>
          <w:u w:val="single"/>
        </w:rPr>
      </w:pPr>
      <w:r>
        <w:rPr>
          <w:rStyle w:val="nfase"/>
          <w:rFonts w:ascii="Arial" w:hAnsi="Arial" w:cs="Arial"/>
          <w:color w:val="444444"/>
          <w:sz w:val="20"/>
          <w:szCs w:val="20"/>
        </w:rPr>
        <w:t>(...)</w:t>
      </w:r>
      <w:r w:rsidRPr="000B14D7">
        <w:rPr>
          <w:rStyle w:val="nfase"/>
          <w:rFonts w:ascii="Arial" w:hAnsi="Arial" w:cs="Arial"/>
          <w:color w:val="444444"/>
          <w:sz w:val="20"/>
          <w:szCs w:val="20"/>
        </w:rPr>
        <w:t xml:space="preserve"> Verifica-se que a prisão cautelar foi adequadamente motivada pelas instâncias ordinárias, que demonstraram, com base em elementos concretos, sua necessidade para preservação da ordem pública, ante a gravidade concreta da conduta e a periculosidade do paciente, evidenciadas pelo modus operandi dos delitos – agentes públicos encarregados da segurança Pública (Guardas Civis de Indaiatuba/SP) que adotaram condutas criminosas “agredindo, torturando extorquindo e ameaçando cidadãos” – circunstâncias que demonstram risco ao meio social e a necessidade de se interromper ou reduzir a atuação do grupo criminoso. Nesse contexto, forçoso concluir que a prisão processual está devidamente fundamentada na garantia da ordem pública, não havendo falar, portanto, em existência de evidente flagrante ilegalidade capaz de justificar a sua revogação. 5. </w:t>
      </w:r>
      <w:r w:rsidRPr="000B14D7">
        <w:rPr>
          <w:rStyle w:val="nfase"/>
          <w:rFonts w:ascii="Arial" w:hAnsi="Arial" w:cs="Arial"/>
          <w:color w:val="444444"/>
          <w:sz w:val="20"/>
          <w:szCs w:val="20"/>
          <w:u w:val="single"/>
        </w:rPr>
        <w:t>É entendimento do Superior Tribunal de Justiça – STJ que as condições favoráveis do paciente, por si sós, não impedem a manutenção da prisão cautelar quando devidamente fundamentada.”</w:t>
      </w:r>
      <w:r w:rsidRPr="000B14D7">
        <w:rPr>
          <w:rFonts w:ascii="Arial" w:hAnsi="Arial" w:cs="Arial"/>
          <w:color w:val="444444"/>
          <w:sz w:val="20"/>
          <w:szCs w:val="20"/>
          <w:u w:val="single"/>
        </w:rPr>
        <w:t> (HC 516.672/SP, j. 27/08/2019)</w:t>
      </w:r>
    </w:p>
    <w:p w14:paraId="6D7140E9" w14:textId="2CD42CA6" w:rsidR="00712966" w:rsidRDefault="00712966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2D7E8B0F" w14:textId="62CA6D44" w:rsidR="000F0403" w:rsidRDefault="00712966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A imposição de medidas cautelares diversas da prisão seria absolutamente incabível</w:t>
      </w:r>
      <w:r w:rsidR="000D4545">
        <w:rPr>
          <w:rFonts w:ascii="Arial" w:hAnsi="Arial" w:cs="Arial"/>
          <w:szCs w:val="26"/>
        </w:rPr>
        <w:t>, dada a gravidade do delito, as evidências de prática reiterada e organizada do delito a demonstrar o risco à ordem pública caso seja o custodiado colocado prematuramente em liberdade.</w:t>
      </w:r>
    </w:p>
    <w:p w14:paraId="46A290D4" w14:textId="659AE723" w:rsidR="000837BF" w:rsidRDefault="000837BF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1DED6608" w14:textId="2AFE9B13" w:rsidR="009D7645" w:rsidRDefault="000837BF" w:rsidP="000837BF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Por fim, </w:t>
      </w:r>
      <w:r w:rsidR="000D4545">
        <w:rPr>
          <w:rFonts w:ascii="Arial" w:hAnsi="Arial" w:cs="Arial"/>
          <w:szCs w:val="26"/>
        </w:rPr>
        <w:t xml:space="preserve">o custodiado não integra grupo de risco para </w:t>
      </w:r>
      <w:r>
        <w:rPr>
          <w:rFonts w:ascii="Arial" w:hAnsi="Arial" w:cs="Arial"/>
          <w:szCs w:val="26"/>
        </w:rPr>
        <w:t>COVID-19</w:t>
      </w:r>
      <w:r w:rsidR="000D4545">
        <w:rPr>
          <w:rFonts w:ascii="Arial" w:hAnsi="Arial" w:cs="Arial"/>
          <w:szCs w:val="26"/>
        </w:rPr>
        <w:t>.</w:t>
      </w:r>
    </w:p>
    <w:p w14:paraId="0B6F48E5" w14:textId="474C325D" w:rsidR="009D7645" w:rsidRDefault="009D7645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5134E3F7" w14:textId="6FE8D6F5" w:rsidR="009D7645" w:rsidRPr="00F40654" w:rsidRDefault="009D7645" w:rsidP="00B370D3">
      <w:pPr>
        <w:spacing w:after="0" w:line="360" w:lineRule="auto"/>
        <w:ind w:firstLine="2130"/>
        <w:jc w:val="both"/>
        <w:rPr>
          <w:rFonts w:ascii="Arial" w:hAnsi="Arial" w:cs="Arial"/>
        </w:rPr>
      </w:pPr>
      <w:r>
        <w:rPr>
          <w:rFonts w:ascii="Arial" w:hAnsi="Arial" w:cs="Arial"/>
          <w:szCs w:val="26"/>
        </w:rPr>
        <w:t xml:space="preserve">Em suma, </w:t>
      </w:r>
      <w:r w:rsidR="000837BF">
        <w:rPr>
          <w:rFonts w:ascii="Arial" w:hAnsi="Arial" w:cs="Arial"/>
          <w:szCs w:val="26"/>
        </w:rPr>
        <w:t>estão presentes os requisitos dos artigos 312 e 313, CPP, razão pela qual o Ministério Público requer a conversão da prisão em flagrante em prisão preventiva.</w:t>
      </w:r>
    </w:p>
    <w:p w14:paraId="402D2D57" w14:textId="5E23F1F1" w:rsidR="002631DD" w:rsidRPr="00F40654" w:rsidRDefault="002631DD" w:rsidP="002631DD">
      <w:pPr>
        <w:spacing w:after="0" w:line="360" w:lineRule="auto"/>
        <w:ind w:firstLine="2694"/>
        <w:jc w:val="both"/>
        <w:rPr>
          <w:rFonts w:ascii="Arial" w:eastAsia="Times New Roman" w:hAnsi="Arial" w:cs="Arial"/>
          <w:lang w:eastAsia="pt-BR"/>
        </w:rPr>
      </w:pPr>
      <w:bookmarkStart w:id="0" w:name="_Hlk60264194"/>
      <w:r w:rsidRPr="00F40654">
        <w:rPr>
          <w:rFonts w:ascii="Arial" w:eastAsia="Times New Roman" w:hAnsi="Arial" w:cs="Arial"/>
          <w:b/>
          <w:bCs/>
          <w:u w:val="single"/>
          <w:lang w:eastAsia="pt-BR"/>
        </w:rPr>
        <w:t>sede_do_juizo</w:t>
      </w:r>
      <w:r w:rsidRPr="00F40654">
        <w:rPr>
          <w:rFonts w:ascii="Arial" w:eastAsia="Times New Roman" w:hAnsi="Arial" w:cs="Arial"/>
          <w:lang w:eastAsia="pt-BR"/>
        </w:rPr>
        <w:t xml:space="preserve">, </w:t>
      </w:r>
      <w:r w:rsidR="00320B9B">
        <w:rPr>
          <w:rFonts w:ascii="Arial" w:eastAsia="Times New Roman" w:hAnsi="Arial" w:cs="Arial"/>
          <w:b/>
          <w:bCs/>
          <w:u w:val="single"/>
          <w:lang w:eastAsia="pt-BR"/>
        </w:rPr>
        <w:t>5TODAY5</w:t>
      </w:r>
      <w:r w:rsidRPr="00F40654">
        <w:rPr>
          <w:rFonts w:ascii="Arial" w:eastAsia="Times New Roman" w:hAnsi="Arial" w:cs="Arial"/>
          <w:lang w:eastAsia="pt-BR"/>
        </w:rPr>
        <w:t>.</w:t>
      </w:r>
    </w:p>
    <w:p w14:paraId="20312751" w14:textId="77777777" w:rsidR="002631DD" w:rsidRPr="00F40654" w:rsidRDefault="002631DD" w:rsidP="002631DD">
      <w:pPr>
        <w:spacing w:after="0" w:line="360" w:lineRule="auto"/>
        <w:ind w:firstLine="2694"/>
        <w:jc w:val="both"/>
        <w:rPr>
          <w:rFonts w:ascii="Arial" w:eastAsia="Times New Roman" w:hAnsi="Arial" w:cs="Arial"/>
          <w:lang w:eastAsia="pt-BR"/>
        </w:rPr>
      </w:pPr>
    </w:p>
    <w:p w14:paraId="18BE178F" w14:textId="77777777" w:rsidR="002631DD" w:rsidRPr="00F40654" w:rsidRDefault="002631DD" w:rsidP="002631DD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u w:val="single"/>
          <w:lang w:eastAsia="pt-BR"/>
        </w:rPr>
      </w:pPr>
      <w:r w:rsidRPr="00F40654">
        <w:rPr>
          <w:rFonts w:ascii="Arial" w:eastAsia="Times New Roman" w:hAnsi="Arial" w:cs="Arial"/>
          <w:snapToGrid w:val="0"/>
          <w:u w:val="single"/>
          <w:lang w:eastAsia="pt-BR"/>
        </w:rPr>
        <w:t>Subscritor</w:t>
      </w:r>
    </w:p>
    <w:p w14:paraId="4F9A8737" w14:textId="77777777" w:rsidR="002631DD" w:rsidRPr="00F40654" w:rsidRDefault="002631DD" w:rsidP="002631DD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u w:val="single"/>
          <w:lang w:eastAsia="pt-BR"/>
        </w:rPr>
      </w:pPr>
      <w:r w:rsidRPr="00F40654">
        <w:rPr>
          <w:rFonts w:ascii="Arial" w:eastAsia="Times New Roman" w:hAnsi="Arial" w:cs="Arial"/>
          <w:snapToGrid w:val="0"/>
          <w:u w:val="single"/>
          <w:lang w:eastAsia="pt-BR"/>
        </w:rPr>
        <w:t>Promotor</w:t>
      </w:r>
    </w:p>
    <w:bookmarkEnd w:id="0"/>
    <w:p w14:paraId="53739DC9" w14:textId="764220A5" w:rsidR="009F7412" w:rsidRPr="00297A38" w:rsidRDefault="009F7412" w:rsidP="002631DD">
      <w:pPr>
        <w:spacing w:after="0" w:line="360" w:lineRule="auto"/>
        <w:ind w:firstLine="2130"/>
        <w:jc w:val="both"/>
        <w:rPr>
          <w:rFonts w:ascii="Century Gothic" w:hAnsi="Century Gothic"/>
        </w:rPr>
      </w:pPr>
    </w:p>
    <w:sectPr w:rsidR="009F7412" w:rsidRPr="00297A38" w:rsidSect="00A96729">
      <w:headerReference w:type="default" r:id="rId9"/>
      <w:footerReference w:type="default" r:id="rId10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D7DA1" w14:textId="77777777" w:rsidR="00C9485C" w:rsidRDefault="00C9485C" w:rsidP="009F7412">
      <w:pPr>
        <w:spacing w:after="0" w:line="240" w:lineRule="auto"/>
      </w:pPr>
      <w:r>
        <w:separator/>
      </w:r>
    </w:p>
  </w:endnote>
  <w:endnote w:type="continuationSeparator" w:id="0">
    <w:p w14:paraId="37CD70C7" w14:textId="77777777" w:rsidR="00C9485C" w:rsidRDefault="00C9485C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39DD3" w14:textId="3384C951" w:rsidR="005D2C35" w:rsidRPr="005D2C35" w:rsidRDefault="005D2C35" w:rsidP="005D2C35">
    <w:pPr>
      <w:pStyle w:val="Rodap"/>
      <w:jc w:val="center"/>
      <w:rPr>
        <w:rFonts w:ascii="Arial" w:hAnsi="Arial" w:cs="Arial"/>
      </w:rPr>
    </w:pPr>
    <w:r w:rsidRPr="005D2C35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739DD8" wp14:editId="53739DD9">
              <wp:simplePos x="0" y="0"/>
              <wp:positionH relativeFrom="margin">
                <wp:align>left</wp:align>
              </wp:positionH>
              <wp:positionV relativeFrom="paragraph">
                <wp:posOffset>-123093</wp:posOffset>
              </wp:positionV>
              <wp:extent cx="5934075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88016D" id="Conector reto 10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    <v:stroke joinstyle="miter"/>
              <w10:wrap anchorx="margin"/>
            </v:line>
          </w:pict>
        </mc:Fallback>
      </mc:AlternateContent>
    </w:r>
    <w:r w:rsidRPr="005D2C35">
      <w:rPr>
        <w:rFonts w:ascii="Arial" w:hAnsi="Arial" w:cs="Arial"/>
      </w:rPr>
      <w:t>Endereço – Rua</w:t>
    </w:r>
    <w:r w:rsidR="00472E95">
      <w:rPr>
        <w:rFonts w:ascii="Arial" w:hAnsi="Arial" w:cs="Arial"/>
      </w:rPr>
      <w:t xml:space="preserve"> Goiás, </w:t>
    </w:r>
    <w:r w:rsidR="00AF4888">
      <w:rPr>
        <w:rFonts w:ascii="Arial" w:hAnsi="Arial" w:cs="Arial"/>
      </w:rPr>
      <w:t xml:space="preserve">n° </w:t>
    </w:r>
    <w:r w:rsidR="00472E95">
      <w:rPr>
        <w:rFonts w:ascii="Arial" w:hAnsi="Arial" w:cs="Arial"/>
      </w:rPr>
      <w:t>521</w:t>
    </w:r>
    <w:r w:rsidR="00AF4888">
      <w:rPr>
        <w:rFonts w:ascii="Arial" w:hAnsi="Arial" w:cs="Arial"/>
      </w:rPr>
      <w:t>, Centro</w:t>
    </w:r>
    <w:r w:rsidRPr="005D2C35">
      <w:rPr>
        <w:rFonts w:ascii="Arial" w:hAnsi="Arial" w:cs="Arial"/>
      </w:rPr>
      <w:t xml:space="preserve"> | C</w:t>
    </w:r>
    <w:r w:rsidR="00AF4888">
      <w:rPr>
        <w:rFonts w:ascii="Arial" w:hAnsi="Arial" w:cs="Arial"/>
      </w:rPr>
      <w:t>onchas/SP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E1AD3" w14:textId="77777777" w:rsidR="00C9485C" w:rsidRDefault="00C9485C" w:rsidP="009F7412">
      <w:pPr>
        <w:spacing w:after="0" w:line="240" w:lineRule="auto"/>
      </w:pPr>
      <w:r>
        <w:separator/>
      </w:r>
    </w:p>
  </w:footnote>
  <w:footnote w:type="continuationSeparator" w:id="0">
    <w:p w14:paraId="65A936FF" w14:textId="77777777" w:rsidR="00C9485C" w:rsidRDefault="00C9485C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2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5D2C35" w14:paraId="53739DD1" w14:textId="77777777" w:rsidTr="00A96729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53739DCE" w14:textId="77777777" w:rsidR="009F7412" w:rsidRDefault="009F7412">
          <w:pPr>
            <w:pStyle w:val="Cabealho"/>
          </w:pPr>
          <w:r>
            <w:rPr>
              <w:noProof/>
            </w:rPr>
            <w:drawing>
              <wp:inline distT="0" distB="0" distL="0" distR="0" wp14:anchorId="53739DD4" wp14:editId="53739DD5">
                <wp:extent cx="2514335" cy="297813"/>
                <wp:effectExtent l="0" t="0" r="635" b="7620"/>
                <wp:docPr id="21" name="Imagem 21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Ativo 29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335" cy="297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53739DCF" w14:textId="77777777" w:rsidR="009F7412" w:rsidRPr="009F7412" w:rsidRDefault="009F7412" w:rsidP="009F7412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53739DD0" w14:textId="011A7EB2" w:rsidR="009F7412" w:rsidRPr="00760672" w:rsidRDefault="00AB76A9" w:rsidP="005D2C35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  <w:r>
            <w:rPr>
              <w:rFonts w:ascii="Arial" w:hAnsi="Arial" w:cs="Arial"/>
              <w:sz w:val="20"/>
              <w:szCs w:val="20"/>
            </w:rPr>
            <w:t>Promotoria de Justiça de Conchas</w:t>
          </w:r>
          <w:r w:rsidR="00760672">
            <w:rPr>
              <w:rFonts w:ascii="Arial" w:hAnsi="Arial" w:cs="Arial"/>
              <w:sz w:val="20"/>
              <w:szCs w:val="20"/>
            </w:rPr>
            <w:br/>
          </w:r>
        </w:p>
      </w:tc>
    </w:tr>
  </w:tbl>
  <w:p w14:paraId="53739DD2" w14:textId="77777777" w:rsidR="005D2C35" w:rsidRDefault="005D2C35" w:rsidP="00A9672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739DD6" wp14:editId="53739DD7">
              <wp:simplePos x="0" y="0"/>
              <wp:positionH relativeFrom="margin">
                <wp:posOffset>0</wp:posOffset>
              </wp:positionH>
              <wp:positionV relativeFrom="paragraph">
                <wp:posOffset>158750</wp:posOffset>
              </wp:positionV>
              <wp:extent cx="5934075" cy="0"/>
              <wp:effectExtent l="0" t="0" r="0" b="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718158"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412"/>
    <w:rsid w:val="00041F8E"/>
    <w:rsid w:val="00046A39"/>
    <w:rsid w:val="000837BF"/>
    <w:rsid w:val="000A6BE8"/>
    <w:rsid w:val="000B14D7"/>
    <w:rsid w:val="000D13CE"/>
    <w:rsid w:val="000D4545"/>
    <w:rsid w:val="000F0403"/>
    <w:rsid w:val="001137AE"/>
    <w:rsid w:val="00170AA7"/>
    <w:rsid w:val="001774DF"/>
    <w:rsid w:val="00183068"/>
    <w:rsid w:val="0019525F"/>
    <w:rsid w:val="001B7B82"/>
    <w:rsid w:val="001E5771"/>
    <w:rsid w:val="002606E6"/>
    <w:rsid w:val="002631DD"/>
    <w:rsid w:val="00297A38"/>
    <w:rsid w:val="002B34CC"/>
    <w:rsid w:val="002C324B"/>
    <w:rsid w:val="00320B9B"/>
    <w:rsid w:val="0033192B"/>
    <w:rsid w:val="00361A0C"/>
    <w:rsid w:val="003C33DB"/>
    <w:rsid w:val="003C71D4"/>
    <w:rsid w:val="00407136"/>
    <w:rsid w:val="00430DB1"/>
    <w:rsid w:val="00442AA4"/>
    <w:rsid w:val="00472E95"/>
    <w:rsid w:val="004D2E08"/>
    <w:rsid w:val="00515E59"/>
    <w:rsid w:val="005567DC"/>
    <w:rsid w:val="00571DC7"/>
    <w:rsid w:val="0059509A"/>
    <w:rsid w:val="005C5C65"/>
    <w:rsid w:val="005D2C35"/>
    <w:rsid w:val="005D63D1"/>
    <w:rsid w:val="006977C2"/>
    <w:rsid w:val="00712966"/>
    <w:rsid w:val="00760672"/>
    <w:rsid w:val="00774057"/>
    <w:rsid w:val="007F60FC"/>
    <w:rsid w:val="00804B91"/>
    <w:rsid w:val="00853356"/>
    <w:rsid w:val="0088425A"/>
    <w:rsid w:val="008D4B76"/>
    <w:rsid w:val="00930BA2"/>
    <w:rsid w:val="00931B38"/>
    <w:rsid w:val="00950212"/>
    <w:rsid w:val="009D7645"/>
    <w:rsid w:val="009F7412"/>
    <w:rsid w:val="00A96729"/>
    <w:rsid w:val="00A97CE2"/>
    <w:rsid w:val="00AB76A9"/>
    <w:rsid w:val="00AF4888"/>
    <w:rsid w:val="00B370D3"/>
    <w:rsid w:val="00B7656F"/>
    <w:rsid w:val="00C9485C"/>
    <w:rsid w:val="00D02EFF"/>
    <w:rsid w:val="00D61432"/>
    <w:rsid w:val="00DC2B20"/>
    <w:rsid w:val="00E1071C"/>
    <w:rsid w:val="00E82522"/>
    <w:rsid w:val="00E909C6"/>
    <w:rsid w:val="00EE5B8B"/>
    <w:rsid w:val="00F40654"/>
    <w:rsid w:val="00F77D2C"/>
    <w:rsid w:val="00FA1602"/>
    <w:rsid w:val="00FB168A"/>
    <w:rsid w:val="00FB2A81"/>
    <w:rsid w:val="00FF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39DC9"/>
  <w15:chartTrackingRefBased/>
  <w15:docId w15:val="{FACD3049-6679-44CA-8228-6B80C877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09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C7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71D4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B14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B14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4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4f26b54-c263-404d-abd2-b619fe93ea3e">
      <UserInfo>
        <DisplayName>Fernanda Cristina Rodrigues Gomes</DisplayName>
        <AccountId>3314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03A60EF4EC4E48A77FD608DF17A88D" ma:contentTypeVersion="10" ma:contentTypeDescription="Crie um novo documento." ma:contentTypeScope="" ma:versionID="def38ac805572f8d4516a3e66bbd466b">
  <xsd:schema xmlns:xsd="http://www.w3.org/2001/XMLSchema" xmlns:xs="http://www.w3.org/2001/XMLSchema" xmlns:p="http://schemas.microsoft.com/office/2006/metadata/properties" xmlns:ns2="e4f26b54-c263-404d-abd2-b619fe93ea3e" xmlns:ns3="d20ca4c6-e862-48a6-bb2d-0e736e38b4f5" targetNamespace="http://schemas.microsoft.com/office/2006/metadata/properties" ma:root="true" ma:fieldsID="4cb94f0712679c94ac227a7f1c2fbcfa" ns2:_="" ns3:_="">
    <xsd:import namespace="e4f26b54-c263-404d-abd2-b619fe93ea3e"/>
    <xsd:import namespace="d20ca4c6-e862-48a6-bb2d-0e736e38b4f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26b54-c263-404d-abd2-b619fe93ea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ca4c6-e862-48a6-bb2d-0e736e38b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E73506-C5FD-40A9-902D-818BB8472A68}">
  <ds:schemaRefs>
    <ds:schemaRef ds:uri="http://schemas.microsoft.com/office/2006/metadata/properties"/>
    <ds:schemaRef ds:uri="http://schemas.microsoft.com/office/infopath/2007/PartnerControls"/>
    <ds:schemaRef ds:uri="e4f26b54-c263-404d-abd2-b619fe93ea3e"/>
  </ds:schemaRefs>
</ds:datastoreItem>
</file>

<file path=customXml/itemProps2.xml><?xml version="1.0" encoding="utf-8"?>
<ds:datastoreItem xmlns:ds="http://schemas.openxmlformats.org/officeDocument/2006/customXml" ds:itemID="{6298CF03-1E56-444C-97E2-9F82C862F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f26b54-c263-404d-abd2-b619fe93ea3e"/>
    <ds:schemaRef ds:uri="d20ca4c6-e862-48a6-bb2d-0e736e38b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9E30A7-3D5F-4AC9-9AFA-8CA418DBF3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dc:description/>
  <cp:lastModifiedBy>Carlos Eduardo Targino da Silva</cp:lastModifiedBy>
  <cp:revision>7</cp:revision>
  <cp:lastPrinted>2020-05-31T13:38:00Z</cp:lastPrinted>
  <dcterms:created xsi:type="dcterms:W3CDTF">2020-12-31T02:40:00Z</dcterms:created>
  <dcterms:modified xsi:type="dcterms:W3CDTF">2021-01-03T19:36:00Z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</Properties>
</file>