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4E6F" w:rsidRDefault="00384E6F" w:rsidP="00384E6F">
      <w:pPr>
        <w:spacing w:line="360" w:lineRule="auto"/>
        <w:rPr>
          <w:rFonts w:ascii="Times New Roman" w:hAnsi="Times New Roman" w:cs="Times New Roman"/>
          <w:sz w:val="24"/>
          <w:szCs w:val="24"/>
        </w:rPr>
      </w:pPr>
    </w:p>
    <w:p w:rsidR="00384E6F" w:rsidRPr="00384E6F" w:rsidRDefault="00384E6F" w:rsidP="00384E6F">
      <w:pPr>
        <w:spacing w:line="360" w:lineRule="auto"/>
        <w:rPr>
          <w:rFonts w:ascii="Times New Roman" w:hAnsi="Times New Roman" w:cs="Times New Roman"/>
          <w:b/>
          <w:bCs/>
          <w:sz w:val="24"/>
          <w:szCs w:val="24"/>
        </w:rPr>
      </w:pPr>
      <w:r w:rsidRPr="00384E6F">
        <w:rPr>
          <w:rFonts w:ascii="Times New Roman" w:hAnsi="Times New Roman" w:cs="Times New Roman"/>
          <w:b/>
          <w:bCs/>
          <w:sz w:val="24"/>
          <w:szCs w:val="24"/>
        </w:rPr>
        <w:t>SIGLES ET ABBREVIATIONS</w:t>
      </w:r>
    </w:p>
    <w:p w:rsidR="00384E6F" w:rsidRDefault="00384E6F" w:rsidP="00384E6F">
      <w:pPr>
        <w:spacing w:line="360" w:lineRule="auto"/>
        <w:rPr>
          <w:rFonts w:ascii="Times New Roman" w:hAnsi="Times New Roman" w:cs="Times New Roman"/>
          <w:sz w:val="24"/>
          <w:szCs w:val="24"/>
        </w:rPr>
      </w:pPr>
      <w:r>
        <w:rPr>
          <w:rFonts w:ascii="Times New Roman" w:hAnsi="Times New Roman" w:cs="Times New Roman"/>
          <w:sz w:val="24"/>
          <w:szCs w:val="24"/>
        </w:rPr>
        <w:t>MNLA : Mouvement National de Libération de l’Azawad</w:t>
      </w:r>
    </w:p>
    <w:p w:rsidR="00384E6F" w:rsidRDefault="00384E6F" w:rsidP="00384E6F">
      <w:pPr>
        <w:spacing w:line="360" w:lineRule="auto"/>
        <w:rPr>
          <w:rFonts w:ascii="Times New Roman" w:hAnsi="Times New Roman" w:cs="Times New Roman"/>
          <w:sz w:val="24"/>
          <w:szCs w:val="24"/>
        </w:rPr>
      </w:pPr>
      <w:r>
        <w:rPr>
          <w:rFonts w:ascii="Times New Roman" w:hAnsi="Times New Roman" w:cs="Times New Roman"/>
          <w:sz w:val="24"/>
          <w:szCs w:val="24"/>
        </w:rPr>
        <w:t>WDI : Word Development Indicator</w:t>
      </w:r>
    </w:p>
    <w:p w:rsidR="00384E6F" w:rsidRDefault="00384E6F" w:rsidP="00384E6F">
      <w:pPr>
        <w:spacing w:line="360" w:lineRule="auto"/>
        <w:rPr>
          <w:rFonts w:ascii="Times New Roman" w:hAnsi="Times New Roman" w:cs="Times New Roman"/>
          <w:sz w:val="24"/>
          <w:szCs w:val="24"/>
        </w:rPr>
      </w:pPr>
      <w:r>
        <w:rPr>
          <w:rFonts w:ascii="Times New Roman" w:hAnsi="Times New Roman" w:cs="Times New Roman"/>
          <w:sz w:val="24"/>
          <w:szCs w:val="24"/>
        </w:rPr>
        <w:t>PSM : Propensity Score Matching</w:t>
      </w:r>
    </w:p>
    <w:p w:rsidR="00384E6F" w:rsidRDefault="00384E6F" w:rsidP="00384E6F">
      <w:pPr>
        <w:spacing w:line="360" w:lineRule="auto"/>
        <w:rPr>
          <w:rFonts w:ascii="Times New Roman" w:hAnsi="Times New Roman" w:cs="Times New Roman"/>
          <w:sz w:val="24"/>
          <w:szCs w:val="24"/>
        </w:rPr>
      </w:pPr>
      <w:r>
        <w:rPr>
          <w:rFonts w:ascii="Times New Roman" w:hAnsi="Times New Roman" w:cs="Times New Roman"/>
          <w:sz w:val="24"/>
          <w:szCs w:val="24"/>
        </w:rPr>
        <w:t xml:space="preserve">ENV : </w:t>
      </w:r>
      <w:r w:rsidR="009047CD">
        <w:rPr>
          <w:rFonts w:ascii="Times New Roman" w:hAnsi="Times New Roman" w:cs="Times New Roman"/>
          <w:sz w:val="24"/>
          <w:szCs w:val="24"/>
        </w:rPr>
        <w:t>Enquête de Niveau de Vie</w:t>
      </w:r>
    </w:p>
    <w:p w:rsidR="00384E6F" w:rsidRDefault="00384E6F" w:rsidP="00384E6F">
      <w:pPr>
        <w:spacing w:line="360" w:lineRule="auto"/>
        <w:rPr>
          <w:rFonts w:ascii="Times New Roman" w:hAnsi="Times New Roman" w:cs="Times New Roman"/>
          <w:sz w:val="24"/>
          <w:szCs w:val="24"/>
        </w:rPr>
      </w:pPr>
      <w:r>
        <w:rPr>
          <w:rFonts w:ascii="Times New Roman" w:hAnsi="Times New Roman" w:cs="Times New Roman"/>
          <w:sz w:val="24"/>
          <w:szCs w:val="24"/>
        </w:rPr>
        <w:t>EHCVM : Enquête Harmonisée sur les Conditions de vie des Ménages</w:t>
      </w:r>
    </w:p>
    <w:p w:rsidR="00384E6F" w:rsidRDefault="00384E6F" w:rsidP="00384E6F">
      <w:pPr>
        <w:spacing w:line="360" w:lineRule="auto"/>
        <w:rPr>
          <w:rFonts w:ascii="Times New Roman" w:hAnsi="Times New Roman" w:cs="Times New Roman"/>
          <w:sz w:val="24"/>
          <w:szCs w:val="24"/>
        </w:rPr>
      </w:pPr>
      <w:r>
        <w:rPr>
          <w:rFonts w:ascii="Times New Roman" w:hAnsi="Times New Roman" w:cs="Times New Roman"/>
          <w:sz w:val="24"/>
          <w:szCs w:val="24"/>
        </w:rPr>
        <w:t>ACLED :</w:t>
      </w:r>
      <w:r w:rsidR="009047CD">
        <w:rPr>
          <w:rFonts w:ascii="Times New Roman" w:hAnsi="Times New Roman" w:cs="Times New Roman"/>
          <w:sz w:val="24"/>
          <w:szCs w:val="24"/>
        </w:rPr>
        <w:t xml:space="preserve"> Armed Conflict Location and Event Data</w:t>
      </w:r>
    </w:p>
    <w:p w:rsidR="00384E6F" w:rsidRDefault="00384E6F" w:rsidP="00384E6F">
      <w:pPr>
        <w:spacing w:line="360" w:lineRule="auto"/>
        <w:rPr>
          <w:rFonts w:ascii="Times New Roman" w:hAnsi="Times New Roman" w:cs="Times New Roman"/>
          <w:sz w:val="24"/>
          <w:szCs w:val="24"/>
        </w:rPr>
      </w:pPr>
      <w:r>
        <w:rPr>
          <w:rFonts w:ascii="Times New Roman" w:hAnsi="Times New Roman" w:cs="Times New Roman"/>
          <w:sz w:val="24"/>
          <w:szCs w:val="24"/>
        </w:rPr>
        <w:t>PASEC</w:t>
      </w:r>
      <w:r w:rsidR="009047CD">
        <w:rPr>
          <w:rFonts w:ascii="Times New Roman" w:hAnsi="Times New Roman" w:cs="Times New Roman"/>
          <w:sz w:val="24"/>
          <w:szCs w:val="24"/>
        </w:rPr>
        <w:t> : Programme d’Analyse des Systèmes Educatifs de la CONFEMEN</w:t>
      </w:r>
    </w:p>
    <w:p w:rsidR="00384E6F" w:rsidRDefault="00384E6F" w:rsidP="00384E6F">
      <w:pPr>
        <w:spacing w:line="360" w:lineRule="auto"/>
        <w:rPr>
          <w:rFonts w:ascii="Times New Roman" w:hAnsi="Times New Roman" w:cs="Times New Roman"/>
          <w:sz w:val="24"/>
          <w:szCs w:val="24"/>
        </w:rPr>
      </w:pPr>
      <w:r>
        <w:rPr>
          <w:rFonts w:ascii="Times New Roman" w:hAnsi="Times New Roman" w:cs="Times New Roman"/>
          <w:sz w:val="24"/>
          <w:szCs w:val="24"/>
        </w:rPr>
        <w:t>MUJAO :</w:t>
      </w:r>
      <w:r w:rsidR="009047CD">
        <w:rPr>
          <w:rFonts w:ascii="Times New Roman" w:hAnsi="Times New Roman" w:cs="Times New Roman"/>
          <w:sz w:val="24"/>
          <w:szCs w:val="24"/>
        </w:rPr>
        <w:t xml:space="preserve"> Mouvement pour l’Unicité du Jihad en Afrique de l’Ouest</w:t>
      </w:r>
    </w:p>
    <w:p w:rsidR="00384E6F" w:rsidRDefault="00384E6F" w:rsidP="00384E6F">
      <w:pPr>
        <w:spacing w:line="360" w:lineRule="auto"/>
        <w:rPr>
          <w:rFonts w:ascii="Times New Roman" w:hAnsi="Times New Roman" w:cs="Times New Roman"/>
          <w:sz w:val="24"/>
          <w:szCs w:val="24"/>
        </w:rPr>
      </w:pPr>
      <w:r>
        <w:rPr>
          <w:rFonts w:ascii="Times New Roman" w:hAnsi="Times New Roman" w:cs="Times New Roman"/>
          <w:sz w:val="24"/>
          <w:szCs w:val="24"/>
        </w:rPr>
        <w:t>AQMI</w:t>
      </w:r>
      <w:r w:rsidR="009047CD">
        <w:rPr>
          <w:rFonts w:ascii="Times New Roman" w:hAnsi="Times New Roman" w:cs="Times New Roman"/>
          <w:sz w:val="24"/>
          <w:szCs w:val="24"/>
        </w:rPr>
        <w:t> : Al-Qaïda au Maghreb Islamique</w:t>
      </w:r>
    </w:p>
    <w:p w:rsidR="00384E6F" w:rsidRDefault="00384E6F" w:rsidP="00384E6F">
      <w:pPr>
        <w:spacing w:line="360" w:lineRule="auto"/>
        <w:rPr>
          <w:rFonts w:ascii="Times New Roman" w:hAnsi="Times New Roman" w:cs="Times New Roman"/>
          <w:sz w:val="24"/>
          <w:szCs w:val="24"/>
        </w:rPr>
      </w:pPr>
      <w:r>
        <w:rPr>
          <w:rFonts w:ascii="Times New Roman" w:hAnsi="Times New Roman" w:cs="Times New Roman"/>
          <w:sz w:val="24"/>
          <w:szCs w:val="24"/>
        </w:rPr>
        <w:t>MINUSMA : Mission des Nations Unies pour le Maintien de la paix</w:t>
      </w:r>
    </w:p>
    <w:p w:rsidR="00384E6F" w:rsidRDefault="00384E6F" w:rsidP="00384E6F">
      <w:pPr>
        <w:spacing w:line="360" w:lineRule="auto"/>
        <w:rPr>
          <w:rFonts w:ascii="Times New Roman" w:hAnsi="Times New Roman" w:cs="Times New Roman"/>
          <w:sz w:val="24"/>
          <w:szCs w:val="24"/>
        </w:rPr>
      </w:pPr>
      <w:r>
        <w:rPr>
          <w:rFonts w:ascii="Times New Roman" w:hAnsi="Times New Roman" w:cs="Times New Roman"/>
          <w:sz w:val="24"/>
          <w:szCs w:val="24"/>
        </w:rPr>
        <w:t>PIB : Produit Intérieur Brut</w:t>
      </w:r>
    </w:p>
    <w:p w:rsidR="00384E6F" w:rsidRDefault="00384E6F" w:rsidP="00384E6F">
      <w:pPr>
        <w:spacing w:line="360" w:lineRule="auto"/>
        <w:rPr>
          <w:rFonts w:ascii="Times New Roman" w:hAnsi="Times New Roman" w:cs="Times New Roman"/>
          <w:sz w:val="24"/>
          <w:szCs w:val="24"/>
        </w:rPr>
      </w:pPr>
      <w:r>
        <w:rPr>
          <w:rFonts w:ascii="Times New Roman" w:hAnsi="Times New Roman" w:cs="Times New Roman"/>
          <w:sz w:val="24"/>
          <w:szCs w:val="24"/>
        </w:rPr>
        <w:t>PNB : Produit National Brut</w:t>
      </w:r>
    </w:p>
    <w:p w:rsidR="00384E6F" w:rsidRDefault="00384E6F" w:rsidP="00384E6F">
      <w:pPr>
        <w:spacing w:line="360" w:lineRule="auto"/>
        <w:rPr>
          <w:rFonts w:ascii="Times New Roman" w:hAnsi="Times New Roman" w:cs="Times New Roman"/>
          <w:sz w:val="24"/>
          <w:szCs w:val="24"/>
        </w:rPr>
      </w:pPr>
    </w:p>
    <w:p w:rsidR="00384E6F" w:rsidRDefault="00384E6F" w:rsidP="00A06228">
      <w:pPr>
        <w:spacing w:line="360" w:lineRule="auto"/>
        <w:jc w:val="center"/>
        <w:rPr>
          <w:rFonts w:ascii="Times New Roman" w:hAnsi="Times New Roman" w:cs="Times New Roman"/>
          <w:sz w:val="24"/>
          <w:szCs w:val="24"/>
        </w:rPr>
      </w:pPr>
    </w:p>
    <w:p w:rsidR="00384E6F" w:rsidRDefault="00384E6F" w:rsidP="00A06228">
      <w:pPr>
        <w:spacing w:line="360" w:lineRule="auto"/>
        <w:jc w:val="center"/>
        <w:rPr>
          <w:rFonts w:ascii="Times New Roman" w:hAnsi="Times New Roman" w:cs="Times New Roman"/>
          <w:sz w:val="24"/>
          <w:szCs w:val="24"/>
        </w:rPr>
      </w:pPr>
    </w:p>
    <w:p w:rsidR="00384E6F" w:rsidRDefault="00384E6F" w:rsidP="00A06228">
      <w:pPr>
        <w:spacing w:line="360" w:lineRule="auto"/>
        <w:jc w:val="center"/>
        <w:rPr>
          <w:rFonts w:ascii="Times New Roman" w:hAnsi="Times New Roman" w:cs="Times New Roman"/>
          <w:sz w:val="24"/>
          <w:szCs w:val="24"/>
        </w:rPr>
      </w:pPr>
    </w:p>
    <w:p w:rsidR="00384E6F" w:rsidRDefault="00384E6F" w:rsidP="00A06228">
      <w:pPr>
        <w:spacing w:line="360" w:lineRule="auto"/>
        <w:jc w:val="center"/>
        <w:rPr>
          <w:rFonts w:ascii="Times New Roman" w:hAnsi="Times New Roman" w:cs="Times New Roman"/>
          <w:sz w:val="24"/>
          <w:szCs w:val="24"/>
        </w:rPr>
      </w:pPr>
    </w:p>
    <w:p w:rsidR="00384E6F" w:rsidRDefault="00384E6F" w:rsidP="00A06228">
      <w:pPr>
        <w:spacing w:line="360" w:lineRule="auto"/>
        <w:jc w:val="center"/>
        <w:rPr>
          <w:rFonts w:ascii="Times New Roman" w:hAnsi="Times New Roman" w:cs="Times New Roman"/>
          <w:sz w:val="24"/>
          <w:szCs w:val="24"/>
        </w:rPr>
      </w:pPr>
    </w:p>
    <w:p w:rsidR="00384E6F" w:rsidRDefault="00384E6F" w:rsidP="00A06228">
      <w:pPr>
        <w:spacing w:line="360" w:lineRule="auto"/>
        <w:jc w:val="center"/>
        <w:rPr>
          <w:rFonts w:ascii="Times New Roman" w:hAnsi="Times New Roman" w:cs="Times New Roman"/>
          <w:sz w:val="24"/>
          <w:szCs w:val="24"/>
        </w:rPr>
      </w:pPr>
    </w:p>
    <w:p w:rsidR="00384E6F" w:rsidRDefault="00384E6F" w:rsidP="00A06228">
      <w:pPr>
        <w:spacing w:line="360" w:lineRule="auto"/>
        <w:jc w:val="center"/>
        <w:rPr>
          <w:rFonts w:ascii="Times New Roman" w:hAnsi="Times New Roman" w:cs="Times New Roman"/>
          <w:sz w:val="24"/>
          <w:szCs w:val="24"/>
        </w:rPr>
      </w:pPr>
    </w:p>
    <w:p w:rsidR="00384E6F" w:rsidRDefault="00384E6F" w:rsidP="00A06228">
      <w:pPr>
        <w:spacing w:line="360" w:lineRule="auto"/>
        <w:jc w:val="center"/>
        <w:rPr>
          <w:rFonts w:ascii="Times New Roman" w:hAnsi="Times New Roman" w:cs="Times New Roman"/>
          <w:sz w:val="24"/>
          <w:szCs w:val="24"/>
        </w:rPr>
      </w:pPr>
    </w:p>
    <w:p w:rsidR="00384E6F" w:rsidRDefault="00384E6F" w:rsidP="00384E6F">
      <w:pPr>
        <w:spacing w:line="360" w:lineRule="auto"/>
        <w:rPr>
          <w:rFonts w:ascii="Times New Roman" w:hAnsi="Times New Roman" w:cs="Times New Roman"/>
          <w:sz w:val="24"/>
          <w:szCs w:val="24"/>
        </w:rPr>
      </w:pPr>
    </w:p>
    <w:p w:rsidR="00E03819" w:rsidRPr="002576B7" w:rsidRDefault="00E03819" w:rsidP="00A06228">
      <w:pPr>
        <w:spacing w:line="360" w:lineRule="auto"/>
        <w:jc w:val="center"/>
        <w:rPr>
          <w:rFonts w:ascii="Times New Roman" w:hAnsi="Times New Roman" w:cs="Times New Roman"/>
          <w:sz w:val="24"/>
          <w:szCs w:val="24"/>
        </w:rPr>
      </w:pPr>
      <w:r w:rsidRPr="002576B7">
        <w:rPr>
          <w:rFonts w:ascii="Times New Roman" w:hAnsi="Times New Roman" w:cs="Times New Roman"/>
          <w:sz w:val="24"/>
          <w:szCs w:val="24"/>
        </w:rPr>
        <w:lastRenderedPageBreak/>
        <w:t xml:space="preserve">Causal Estimation of </w:t>
      </w:r>
      <w:proofErr w:type="spellStart"/>
      <w:r w:rsidRPr="002576B7">
        <w:rPr>
          <w:rFonts w:ascii="Times New Roman" w:hAnsi="Times New Roman" w:cs="Times New Roman"/>
          <w:sz w:val="24"/>
          <w:szCs w:val="24"/>
        </w:rPr>
        <w:t>Conflict</w:t>
      </w:r>
      <w:proofErr w:type="spellEnd"/>
      <w:r w:rsidRPr="002576B7">
        <w:rPr>
          <w:rFonts w:ascii="Times New Roman" w:hAnsi="Times New Roman" w:cs="Times New Roman"/>
          <w:sz w:val="24"/>
          <w:szCs w:val="24"/>
        </w:rPr>
        <w:t xml:space="preserve"> on Education </w:t>
      </w:r>
      <w:proofErr w:type="spellStart"/>
      <w:r w:rsidRPr="002576B7">
        <w:rPr>
          <w:rFonts w:ascii="Times New Roman" w:hAnsi="Times New Roman" w:cs="Times New Roman"/>
          <w:sz w:val="24"/>
          <w:szCs w:val="24"/>
        </w:rPr>
        <w:t>outcomes</w:t>
      </w:r>
      <w:proofErr w:type="spellEnd"/>
      <w:r w:rsidRPr="002576B7">
        <w:rPr>
          <w:rFonts w:ascii="Times New Roman" w:hAnsi="Times New Roman" w:cs="Times New Roman"/>
          <w:sz w:val="24"/>
          <w:szCs w:val="24"/>
        </w:rPr>
        <w:t xml:space="preserve"> in </w:t>
      </w:r>
      <w:proofErr w:type="spellStart"/>
      <w:r w:rsidRPr="002576B7">
        <w:rPr>
          <w:rFonts w:ascii="Times New Roman" w:hAnsi="Times New Roman" w:cs="Times New Roman"/>
          <w:sz w:val="24"/>
          <w:szCs w:val="24"/>
        </w:rPr>
        <w:t>developing</w:t>
      </w:r>
      <w:proofErr w:type="spellEnd"/>
      <w:r w:rsidRPr="002576B7">
        <w:rPr>
          <w:rFonts w:ascii="Times New Roman" w:hAnsi="Times New Roman" w:cs="Times New Roman"/>
          <w:sz w:val="24"/>
          <w:szCs w:val="24"/>
        </w:rPr>
        <w:t xml:space="preserve"> countries : </w:t>
      </w:r>
      <w:proofErr w:type="spellStart"/>
      <w:r w:rsidRPr="002576B7">
        <w:rPr>
          <w:rFonts w:ascii="Times New Roman" w:hAnsi="Times New Roman" w:cs="Times New Roman"/>
          <w:sz w:val="24"/>
          <w:szCs w:val="24"/>
        </w:rPr>
        <w:t>evidence</w:t>
      </w:r>
      <w:proofErr w:type="spellEnd"/>
      <w:r w:rsidRPr="002576B7">
        <w:rPr>
          <w:rFonts w:ascii="Times New Roman" w:hAnsi="Times New Roman" w:cs="Times New Roman"/>
          <w:sz w:val="24"/>
          <w:szCs w:val="24"/>
        </w:rPr>
        <w:t xml:space="preserve"> </w:t>
      </w:r>
      <w:proofErr w:type="spellStart"/>
      <w:r w:rsidRPr="002576B7">
        <w:rPr>
          <w:rFonts w:ascii="Times New Roman" w:hAnsi="Times New Roman" w:cs="Times New Roman"/>
          <w:sz w:val="24"/>
          <w:szCs w:val="24"/>
        </w:rPr>
        <w:t>from</w:t>
      </w:r>
      <w:proofErr w:type="spellEnd"/>
      <w:r w:rsidRPr="002576B7">
        <w:rPr>
          <w:rFonts w:ascii="Times New Roman" w:hAnsi="Times New Roman" w:cs="Times New Roman"/>
          <w:sz w:val="24"/>
          <w:szCs w:val="24"/>
        </w:rPr>
        <w:t xml:space="preserve"> Mali</w:t>
      </w:r>
    </w:p>
    <w:p w:rsidR="00E03819" w:rsidRPr="002576B7" w:rsidRDefault="00E03819" w:rsidP="00E03819">
      <w:pPr>
        <w:spacing w:line="360" w:lineRule="auto"/>
        <w:jc w:val="center"/>
        <w:rPr>
          <w:rFonts w:ascii="Times New Roman" w:hAnsi="Times New Roman" w:cs="Times New Roman"/>
          <w:b/>
          <w:bCs/>
          <w:sz w:val="24"/>
          <w:szCs w:val="24"/>
        </w:rPr>
      </w:pPr>
      <w:r w:rsidRPr="002576B7">
        <w:rPr>
          <w:rFonts w:ascii="Times New Roman" w:hAnsi="Times New Roman" w:cs="Times New Roman"/>
          <w:b/>
          <w:bCs/>
          <w:sz w:val="24"/>
          <w:szCs w:val="24"/>
        </w:rPr>
        <w:t>Revue de Littérature</w:t>
      </w:r>
    </w:p>
    <w:p w:rsidR="008B1BBB" w:rsidRPr="002576B7" w:rsidRDefault="00E03819" w:rsidP="00E03819">
      <w:pPr>
        <w:spacing w:line="360" w:lineRule="auto"/>
        <w:jc w:val="both"/>
        <w:rPr>
          <w:rFonts w:ascii="Times New Roman" w:hAnsi="Times New Roman" w:cs="Times New Roman"/>
          <w:sz w:val="24"/>
          <w:szCs w:val="24"/>
        </w:rPr>
      </w:pPr>
      <w:r w:rsidRPr="002576B7">
        <w:rPr>
          <w:rFonts w:ascii="Times New Roman" w:hAnsi="Times New Roman" w:cs="Times New Roman"/>
          <w:sz w:val="24"/>
          <w:szCs w:val="24"/>
        </w:rPr>
        <w:t xml:space="preserve">Les </w:t>
      </w:r>
      <w:r w:rsidR="00872987" w:rsidRPr="002576B7">
        <w:rPr>
          <w:rFonts w:ascii="Times New Roman" w:hAnsi="Times New Roman" w:cs="Times New Roman"/>
          <w:sz w:val="24"/>
          <w:szCs w:val="24"/>
        </w:rPr>
        <w:t>conflits, avec</w:t>
      </w:r>
      <w:r w:rsidRPr="002576B7">
        <w:rPr>
          <w:rFonts w:ascii="Times New Roman" w:hAnsi="Times New Roman" w:cs="Times New Roman"/>
          <w:sz w:val="24"/>
          <w:szCs w:val="24"/>
        </w:rPr>
        <w:t xml:space="preserve"> la violence et l’environnement d’insécurité que cela </w:t>
      </w:r>
      <w:r w:rsidR="00872987" w:rsidRPr="002576B7">
        <w:rPr>
          <w:rFonts w:ascii="Times New Roman" w:hAnsi="Times New Roman" w:cs="Times New Roman"/>
          <w:sz w:val="24"/>
          <w:szCs w:val="24"/>
        </w:rPr>
        <w:t>engendre</w:t>
      </w:r>
      <w:r w:rsidRPr="002576B7">
        <w:rPr>
          <w:rFonts w:ascii="Times New Roman" w:hAnsi="Times New Roman" w:cs="Times New Roman"/>
          <w:sz w:val="24"/>
          <w:szCs w:val="24"/>
        </w:rPr>
        <w:t>, ont des répercussions négatives aussi bien sur l’économie du pays hôte que sur le bien-être de la population.</w:t>
      </w:r>
      <w:r w:rsidR="00872987" w:rsidRPr="002576B7">
        <w:rPr>
          <w:rFonts w:ascii="Times New Roman" w:hAnsi="Times New Roman" w:cs="Times New Roman"/>
          <w:sz w:val="24"/>
          <w:szCs w:val="24"/>
        </w:rPr>
        <w:t xml:space="preserve"> En effet, les conflits s’accompagnent de destruction de bien, privés et publics, pertes en vie humaines et provoque</w:t>
      </w:r>
      <w:r w:rsidR="00FC1E8F" w:rsidRPr="002576B7">
        <w:rPr>
          <w:rFonts w:ascii="Times New Roman" w:hAnsi="Times New Roman" w:cs="Times New Roman"/>
          <w:sz w:val="24"/>
          <w:szCs w:val="24"/>
        </w:rPr>
        <w:t>nt</w:t>
      </w:r>
      <w:r w:rsidR="00872987" w:rsidRPr="002576B7">
        <w:rPr>
          <w:rFonts w:ascii="Times New Roman" w:hAnsi="Times New Roman" w:cs="Times New Roman"/>
          <w:sz w:val="24"/>
          <w:szCs w:val="24"/>
        </w:rPr>
        <w:t xml:space="preserve"> de nombreux blessés et déplacés </w:t>
      </w:r>
      <w:r w:rsidR="00872987" w:rsidRPr="002576B7">
        <w:rPr>
          <w:rFonts w:ascii="Times New Roman" w:hAnsi="Times New Roman" w:cs="Times New Roman"/>
          <w:b/>
          <w:bCs/>
          <w:sz w:val="24"/>
          <w:szCs w:val="24"/>
        </w:rPr>
        <w:t xml:space="preserve">[Ajouter article ou </w:t>
      </w:r>
      <w:r w:rsidR="00907D81" w:rsidRPr="002576B7">
        <w:rPr>
          <w:rFonts w:ascii="Times New Roman" w:hAnsi="Times New Roman" w:cs="Times New Roman"/>
          <w:b/>
          <w:bCs/>
          <w:sz w:val="24"/>
          <w:szCs w:val="24"/>
        </w:rPr>
        <w:t>référence.</w:t>
      </w:r>
      <w:r w:rsidR="00872987" w:rsidRPr="002576B7">
        <w:rPr>
          <w:rFonts w:ascii="Times New Roman" w:hAnsi="Times New Roman" w:cs="Times New Roman"/>
          <w:b/>
          <w:bCs/>
          <w:sz w:val="24"/>
          <w:szCs w:val="24"/>
        </w:rPr>
        <w:t>].</w:t>
      </w:r>
      <w:r w:rsidR="008B1BBB" w:rsidRPr="002576B7">
        <w:rPr>
          <w:rFonts w:ascii="Times New Roman" w:hAnsi="Times New Roman" w:cs="Times New Roman"/>
          <w:sz w:val="24"/>
          <w:szCs w:val="24"/>
        </w:rPr>
        <w:t xml:space="preserve"> </w:t>
      </w:r>
    </w:p>
    <w:p w:rsidR="0050287F" w:rsidRDefault="008B1BBB" w:rsidP="00E03819">
      <w:pPr>
        <w:spacing w:line="360" w:lineRule="auto"/>
        <w:jc w:val="both"/>
        <w:rPr>
          <w:rFonts w:ascii="Times New Roman" w:hAnsi="Times New Roman" w:cs="Times New Roman"/>
          <w:sz w:val="24"/>
          <w:szCs w:val="24"/>
        </w:rPr>
      </w:pPr>
      <w:r w:rsidRPr="002576B7">
        <w:rPr>
          <w:rFonts w:ascii="Times New Roman" w:hAnsi="Times New Roman" w:cs="Times New Roman"/>
          <w:sz w:val="24"/>
          <w:szCs w:val="24"/>
        </w:rPr>
        <w:t>Ces conflits provoquent des chocs psychologiques chez les victimes qui sont à même de développer des comportements anti-sociaux et à risque (</w:t>
      </w:r>
      <w:proofErr w:type="spellStart"/>
      <w:r w:rsidRPr="002576B7">
        <w:rPr>
          <w:rFonts w:ascii="Times New Roman" w:hAnsi="Times New Roman" w:cs="Times New Roman"/>
          <w:sz w:val="24"/>
          <w:szCs w:val="24"/>
        </w:rPr>
        <w:t>Gangadharan</w:t>
      </w:r>
      <w:proofErr w:type="spellEnd"/>
      <w:r w:rsidRPr="002576B7">
        <w:rPr>
          <w:rFonts w:ascii="Times New Roman" w:hAnsi="Times New Roman" w:cs="Times New Roman"/>
          <w:sz w:val="24"/>
          <w:szCs w:val="24"/>
        </w:rPr>
        <w:t xml:space="preserve"> et al., 2022)</w:t>
      </w:r>
      <w:r w:rsidR="00907D81" w:rsidRPr="002576B7">
        <w:rPr>
          <w:rFonts w:ascii="Times New Roman" w:hAnsi="Times New Roman" w:cs="Times New Roman"/>
          <w:sz w:val="24"/>
          <w:szCs w:val="24"/>
        </w:rPr>
        <w:t xml:space="preserve">. Cette violence peut se </w:t>
      </w:r>
      <w:r w:rsidR="00FC1E8F" w:rsidRPr="002576B7">
        <w:rPr>
          <w:rFonts w:ascii="Times New Roman" w:hAnsi="Times New Roman" w:cs="Times New Roman"/>
          <w:sz w:val="24"/>
          <w:szCs w:val="24"/>
        </w:rPr>
        <w:t>trans</w:t>
      </w:r>
      <w:r w:rsidR="00907D81" w:rsidRPr="002576B7">
        <w:rPr>
          <w:rFonts w:ascii="Times New Roman" w:hAnsi="Times New Roman" w:cs="Times New Roman"/>
          <w:sz w:val="24"/>
          <w:szCs w:val="24"/>
        </w:rPr>
        <w:t>mettre de manière intergénérationnelle, car les personnes ayant subi la violence ont de fortes chances d’être les futurs bourreaux malgré eux (Islam et al.,2017) et peut avoir comme source la perte des biens matériels et de revenus (</w:t>
      </w:r>
      <w:r w:rsidR="00661205" w:rsidRPr="002576B7">
        <w:rPr>
          <w:rFonts w:ascii="Times New Roman" w:hAnsi="Times New Roman" w:cs="Times New Roman"/>
          <w:sz w:val="24"/>
          <w:szCs w:val="24"/>
        </w:rPr>
        <w:t xml:space="preserve">Roux et al.,2015). Entre outre, </w:t>
      </w:r>
    </w:p>
    <w:p w:rsidR="00D14E6F" w:rsidRPr="002576B7" w:rsidRDefault="00661205" w:rsidP="00E03819">
      <w:pPr>
        <w:spacing w:line="360" w:lineRule="auto"/>
        <w:jc w:val="both"/>
        <w:rPr>
          <w:rFonts w:ascii="Times New Roman" w:hAnsi="Times New Roman" w:cs="Times New Roman"/>
          <w:b/>
          <w:bCs/>
          <w:sz w:val="24"/>
          <w:szCs w:val="24"/>
        </w:rPr>
      </w:pPr>
      <w:proofErr w:type="gramStart"/>
      <w:r w:rsidRPr="002576B7">
        <w:rPr>
          <w:rFonts w:ascii="Times New Roman" w:hAnsi="Times New Roman" w:cs="Times New Roman"/>
          <w:sz w:val="24"/>
          <w:szCs w:val="24"/>
        </w:rPr>
        <w:t>les</w:t>
      </w:r>
      <w:proofErr w:type="gramEnd"/>
      <w:r w:rsidRPr="002576B7">
        <w:rPr>
          <w:rFonts w:ascii="Times New Roman" w:hAnsi="Times New Roman" w:cs="Times New Roman"/>
          <w:sz w:val="24"/>
          <w:szCs w:val="24"/>
        </w:rPr>
        <w:t xml:space="preserve"> travaux de</w:t>
      </w:r>
      <w:r w:rsidR="00D14E6F" w:rsidRPr="002576B7">
        <w:rPr>
          <w:rFonts w:ascii="Times New Roman" w:hAnsi="Times New Roman" w:cs="Times New Roman"/>
          <w:sz w:val="24"/>
          <w:szCs w:val="24"/>
        </w:rPr>
        <w:t xml:space="preserve"> (</w:t>
      </w:r>
      <w:proofErr w:type="spellStart"/>
      <w:r w:rsidR="00D14E6F" w:rsidRPr="002576B7">
        <w:rPr>
          <w:rFonts w:ascii="Times New Roman" w:hAnsi="Times New Roman" w:cs="Times New Roman"/>
          <w:sz w:val="24"/>
          <w:szCs w:val="24"/>
        </w:rPr>
        <w:t>Minoin</w:t>
      </w:r>
      <w:proofErr w:type="spellEnd"/>
      <w:r w:rsidR="00D14E6F" w:rsidRPr="002576B7">
        <w:rPr>
          <w:rFonts w:ascii="Times New Roman" w:hAnsi="Times New Roman" w:cs="Times New Roman"/>
          <w:sz w:val="24"/>
          <w:szCs w:val="24"/>
        </w:rPr>
        <w:t xml:space="preserve"> et </w:t>
      </w:r>
      <w:proofErr w:type="spellStart"/>
      <w:r w:rsidR="00D14E6F" w:rsidRPr="002576B7">
        <w:rPr>
          <w:rFonts w:ascii="Times New Roman" w:hAnsi="Times New Roman" w:cs="Times New Roman"/>
          <w:sz w:val="24"/>
          <w:szCs w:val="24"/>
        </w:rPr>
        <w:t>Shemyakina</w:t>
      </w:r>
      <w:proofErr w:type="spellEnd"/>
      <w:r w:rsidR="00D14E6F" w:rsidRPr="002576B7">
        <w:rPr>
          <w:rFonts w:ascii="Times New Roman" w:hAnsi="Times New Roman" w:cs="Times New Roman"/>
          <w:sz w:val="24"/>
          <w:szCs w:val="24"/>
        </w:rPr>
        <w:t>, 2014 ;</w:t>
      </w:r>
      <w:r w:rsidRPr="002576B7">
        <w:rPr>
          <w:rFonts w:ascii="Times New Roman" w:hAnsi="Times New Roman" w:cs="Times New Roman"/>
          <w:sz w:val="24"/>
          <w:szCs w:val="24"/>
        </w:rPr>
        <w:t xml:space="preserve"> Ouili </w:t>
      </w:r>
      <w:r w:rsidR="00D14E6F" w:rsidRPr="002576B7">
        <w:rPr>
          <w:rFonts w:ascii="Times New Roman" w:hAnsi="Times New Roman" w:cs="Times New Roman"/>
          <w:sz w:val="24"/>
          <w:szCs w:val="24"/>
        </w:rPr>
        <w:t>,</w:t>
      </w:r>
      <w:r w:rsidRPr="002576B7">
        <w:rPr>
          <w:rFonts w:ascii="Times New Roman" w:hAnsi="Times New Roman" w:cs="Times New Roman"/>
          <w:sz w:val="24"/>
          <w:szCs w:val="24"/>
        </w:rPr>
        <w:t>2015) sur la Côte d’Ivoire montrent que la période de conflit (</w:t>
      </w:r>
      <w:r w:rsidR="0041611F" w:rsidRPr="002576B7">
        <w:rPr>
          <w:rFonts w:ascii="Times New Roman" w:hAnsi="Times New Roman" w:cs="Times New Roman"/>
          <w:sz w:val="24"/>
          <w:szCs w:val="24"/>
        </w:rPr>
        <w:t>1999-2011)</w:t>
      </w:r>
      <w:r w:rsidRPr="002576B7">
        <w:rPr>
          <w:rFonts w:ascii="Times New Roman" w:hAnsi="Times New Roman" w:cs="Times New Roman"/>
          <w:sz w:val="24"/>
          <w:szCs w:val="24"/>
        </w:rPr>
        <w:t xml:space="preserve"> a contribué à l’augmentation de la mortalité infantile par la dégradation des conditions de vie et la limitation de l’usage des services de santé de base.</w:t>
      </w:r>
      <w:r w:rsidR="00D14E6F" w:rsidRPr="002576B7">
        <w:rPr>
          <w:rFonts w:ascii="Times New Roman" w:hAnsi="Times New Roman" w:cs="Times New Roman"/>
          <w:sz w:val="24"/>
          <w:szCs w:val="24"/>
        </w:rPr>
        <w:t xml:space="preserve"> De manière générale, les travaux de</w:t>
      </w:r>
      <w:r w:rsidR="00F16145" w:rsidRPr="002576B7">
        <w:rPr>
          <w:rFonts w:ascii="Times New Roman" w:hAnsi="Times New Roman" w:cs="Times New Roman"/>
          <w:sz w:val="24"/>
          <w:szCs w:val="24"/>
        </w:rPr>
        <w:t xml:space="preserve"> Werner (2012)</w:t>
      </w:r>
      <w:r w:rsidR="00D14E6F" w:rsidRPr="002576B7">
        <w:rPr>
          <w:rFonts w:ascii="Times New Roman" w:hAnsi="Times New Roman" w:cs="Times New Roman"/>
          <w:sz w:val="24"/>
          <w:szCs w:val="24"/>
        </w:rPr>
        <w:t xml:space="preserve"> </w:t>
      </w:r>
      <w:r w:rsidR="00F16145" w:rsidRPr="002576B7">
        <w:rPr>
          <w:rFonts w:ascii="Times New Roman" w:hAnsi="Times New Roman" w:cs="Times New Roman"/>
          <w:sz w:val="24"/>
          <w:szCs w:val="24"/>
        </w:rPr>
        <w:t xml:space="preserve">ou </w:t>
      </w:r>
      <w:proofErr w:type="spellStart"/>
      <w:r w:rsidR="00D14E6F" w:rsidRPr="002576B7">
        <w:rPr>
          <w:rFonts w:ascii="Times New Roman" w:hAnsi="Times New Roman" w:cs="Times New Roman"/>
          <w:sz w:val="24"/>
          <w:szCs w:val="24"/>
        </w:rPr>
        <w:t>Murthy</w:t>
      </w:r>
      <w:proofErr w:type="spellEnd"/>
      <w:r w:rsidR="00D14E6F" w:rsidRPr="002576B7">
        <w:rPr>
          <w:rFonts w:ascii="Times New Roman" w:hAnsi="Times New Roman" w:cs="Times New Roman"/>
          <w:sz w:val="24"/>
          <w:szCs w:val="24"/>
        </w:rPr>
        <w:t xml:space="preserve"> et </w:t>
      </w:r>
      <w:proofErr w:type="spellStart"/>
      <w:r w:rsidR="00D14E6F" w:rsidRPr="002576B7">
        <w:rPr>
          <w:rFonts w:ascii="Times New Roman" w:hAnsi="Times New Roman" w:cs="Times New Roman"/>
          <w:sz w:val="24"/>
          <w:szCs w:val="24"/>
        </w:rPr>
        <w:t>Lakshminarayana</w:t>
      </w:r>
      <w:proofErr w:type="spellEnd"/>
      <w:r w:rsidR="00D14E6F" w:rsidRPr="002576B7">
        <w:rPr>
          <w:rFonts w:ascii="Times New Roman" w:hAnsi="Times New Roman" w:cs="Times New Roman"/>
          <w:sz w:val="24"/>
          <w:szCs w:val="24"/>
        </w:rPr>
        <w:t xml:space="preserve"> (2006) montrent les effets négatifs de la guerre sur la santé mentale en particulier des habitants en Afghanistan, Balkans, </w:t>
      </w:r>
      <w:proofErr w:type="spellStart"/>
      <w:r w:rsidR="00D14E6F" w:rsidRPr="002576B7">
        <w:rPr>
          <w:rFonts w:ascii="Times New Roman" w:hAnsi="Times New Roman" w:cs="Times New Roman"/>
          <w:sz w:val="24"/>
          <w:szCs w:val="24"/>
        </w:rPr>
        <w:t>cheychenie</w:t>
      </w:r>
      <w:proofErr w:type="spellEnd"/>
      <w:r w:rsidR="00D14E6F" w:rsidRPr="002576B7">
        <w:rPr>
          <w:rFonts w:ascii="Times New Roman" w:hAnsi="Times New Roman" w:cs="Times New Roman"/>
          <w:sz w:val="24"/>
          <w:szCs w:val="24"/>
        </w:rPr>
        <w:t xml:space="preserve">, Iraq, </w:t>
      </w:r>
      <w:r w:rsidR="00F16145" w:rsidRPr="002576B7">
        <w:rPr>
          <w:rFonts w:ascii="Times New Roman" w:hAnsi="Times New Roman" w:cs="Times New Roman"/>
          <w:sz w:val="24"/>
          <w:szCs w:val="24"/>
        </w:rPr>
        <w:t>Israël</w:t>
      </w:r>
      <w:r w:rsidR="00D14E6F" w:rsidRPr="002576B7">
        <w:rPr>
          <w:rFonts w:ascii="Times New Roman" w:hAnsi="Times New Roman" w:cs="Times New Roman"/>
          <w:sz w:val="24"/>
          <w:szCs w:val="24"/>
        </w:rPr>
        <w:t>,</w:t>
      </w:r>
      <w:r w:rsidR="00272758" w:rsidRPr="002576B7">
        <w:rPr>
          <w:rFonts w:ascii="Times New Roman" w:hAnsi="Times New Roman" w:cs="Times New Roman"/>
          <w:sz w:val="24"/>
          <w:szCs w:val="24"/>
        </w:rPr>
        <w:t xml:space="preserve"> Somalie, Uganda,</w:t>
      </w:r>
      <w:r w:rsidR="00D14E6F" w:rsidRPr="002576B7">
        <w:rPr>
          <w:rFonts w:ascii="Times New Roman" w:hAnsi="Times New Roman" w:cs="Times New Roman"/>
          <w:sz w:val="24"/>
          <w:szCs w:val="24"/>
        </w:rPr>
        <w:t xml:space="preserve"> Palestine au </w:t>
      </w:r>
      <w:r w:rsidR="00C17B63" w:rsidRPr="002576B7">
        <w:rPr>
          <w:rFonts w:ascii="Times New Roman" w:hAnsi="Times New Roman" w:cs="Times New Roman"/>
          <w:sz w:val="24"/>
          <w:szCs w:val="24"/>
        </w:rPr>
        <w:t>Cambodge</w:t>
      </w:r>
      <w:r w:rsidR="00D14E6F" w:rsidRPr="002576B7">
        <w:rPr>
          <w:rFonts w:ascii="Times New Roman" w:hAnsi="Times New Roman" w:cs="Times New Roman"/>
          <w:sz w:val="24"/>
          <w:szCs w:val="24"/>
        </w:rPr>
        <w:t xml:space="preserve">, Lebanon, Rwanda, </w:t>
      </w:r>
      <w:proofErr w:type="spellStart"/>
      <w:r w:rsidR="00D14E6F" w:rsidRPr="002576B7">
        <w:rPr>
          <w:rFonts w:ascii="Times New Roman" w:hAnsi="Times New Roman" w:cs="Times New Roman"/>
          <w:sz w:val="24"/>
          <w:szCs w:val="24"/>
        </w:rPr>
        <w:t>Sril</w:t>
      </w:r>
      <w:proofErr w:type="spellEnd"/>
      <w:r w:rsidR="00D14E6F" w:rsidRPr="002576B7">
        <w:rPr>
          <w:rFonts w:ascii="Times New Roman" w:hAnsi="Times New Roman" w:cs="Times New Roman"/>
          <w:sz w:val="24"/>
          <w:szCs w:val="24"/>
        </w:rPr>
        <w:t xml:space="preserve"> Lanka</w:t>
      </w:r>
      <w:r w:rsidR="00272758" w:rsidRPr="002576B7">
        <w:rPr>
          <w:rFonts w:ascii="Times New Roman" w:hAnsi="Times New Roman" w:cs="Times New Roman"/>
          <w:sz w:val="24"/>
          <w:szCs w:val="24"/>
        </w:rPr>
        <w:t xml:space="preserve"> qui sont plus prononcés pour des groupes vulnérables tels que les femmes, les enfants et les personnes âgées. </w:t>
      </w:r>
      <w:r w:rsidR="00272758" w:rsidRPr="002576B7">
        <w:rPr>
          <w:rFonts w:ascii="Times New Roman" w:hAnsi="Times New Roman" w:cs="Times New Roman"/>
          <w:b/>
          <w:bCs/>
          <w:sz w:val="24"/>
          <w:szCs w:val="24"/>
        </w:rPr>
        <w:t>[</w:t>
      </w:r>
      <w:r w:rsidR="000030F6" w:rsidRPr="002576B7">
        <w:rPr>
          <w:rFonts w:ascii="Times New Roman" w:hAnsi="Times New Roman" w:cs="Times New Roman"/>
          <w:b/>
          <w:bCs/>
          <w:sz w:val="24"/>
          <w:szCs w:val="24"/>
        </w:rPr>
        <w:t>Brève</w:t>
      </w:r>
      <w:r w:rsidR="00272758" w:rsidRPr="002576B7">
        <w:rPr>
          <w:rFonts w:ascii="Times New Roman" w:hAnsi="Times New Roman" w:cs="Times New Roman"/>
          <w:b/>
          <w:bCs/>
          <w:sz w:val="24"/>
          <w:szCs w:val="24"/>
        </w:rPr>
        <w:t xml:space="preserve"> section sur les impacts de la guerre dans un domaine autre que </w:t>
      </w:r>
      <w:r w:rsidR="000030F6" w:rsidRPr="002576B7">
        <w:rPr>
          <w:rFonts w:ascii="Times New Roman" w:hAnsi="Times New Roman" w:cs="Times New Roman"/>
          <w:b/>
          <w:bCs/>
          <w:sz w:val="24"/>
          <w:szCs w:val="24"/>
        </w:rPr>
        <w:t>l’éducation,</w:t>
      </w:r>
      <w:r w:rsidR="00B06D46" w:rsidRPr="002576B7">
        <w:rPr>
          <w:rFonts w:ascii="Times New Roman" w:hAnsi="Times New Roman" w:cs="Times New Roman"/>
          <w:b/>
          <w:bCs/>
          <w:sz w:val="24"/>
          <w:szCs w:val="24"/>
        </w:rPr>
        <w:t xml:space="preserve"> Ajouts à faire</w:t>
      </w:r>
      <w:r w:rsidR="00272758" w:rsidRPr="002576B7">
        <w:rPr>
          <w:rFonts w:ascii="Times New Roman" w:hAnsi="Times New Roman" w:cs="Times New Roman"/>
          <w:b/>
          <w:bCs/>
          <w:sz w:val="24"/>
          <w:szCs w:val="24"/>
        </w:rPr>
        <w:t>]</w:t>
      </w:r>
    </w:p>
    <w:p w:rsidR="00E16BD0" w:rsidRPr="002576B7" w:rsidRDefault="00E16BD0" w:rsidP="00E03819">
      <w:pPr>
        <w:spacing w:line="360" w:lineRule="auto"/>
        <w:jc w:val="both"/>
        <w:rPr>
          <w:rFonts w:ascii="Times New Roman" w:hAnsi="Times New Roman" w:cs="Times New Roman"/>
          <w:sz w:val="24"/>
          <w:szCs w:val="24"/>
        </w:rPr>
      </w:pPr>
      <w:r w:rsidRPr="002576B7">
        <w:rPr>
          <w:rFonts w:ascii="Times New Roman" w:hAnsi="Times New Roman" w:cs="Times New Roman"/>
          <w:sz w:val="24"/>
          <w:szCs w:val="24"/>
        </w:rPr>
        <w:t>Au nombre de ces conséquences désastreuses, certaines études se sont penchées sur ses impacts sur le secteur de l’éducation et les résultats scolaires. Toutes arrivent à la conclusion que ses effets sont négatifs. Notre revue consistera toutefois à présenter, les différents canaux par lesquels l’éducation est impactée, les inégalités qui peuvent en résulter, de genre ou ethniques et les différentes approches méthodologiques utilisées.</w:t>
      </w:r>
    </w:p>
    <w:p w:rsidR="00E16BD0" w:rsidRPr="002576B7" w:rsidRDefault="005A6DF0" w:rsidP="00E03819">
      <w:pPr>
        <w:spacing w:line="360" w:lineRule="auto"/>
        <w:jc w:val="both"/>
        <w:rPr>
          <w:rStyle w:val="fontstyle01"/>
          <w:rFonts w:ascii="Times New Roman" w:hAnsi="Times New Roman" w:cs="Times New Roman"/>
          <w:sz w:val="24"/>
          <w:szCs w:val="24"/>
        </w:rPr>
      </w:pPr>
      <w:r w:rsidRPr="002576B7">
        <w:rPr>
          <w:rStyle w:val="fontstyle01"/>
          <w:rFonts w:ascii="Times New Roman" w:hAnsi="Times New Roman" w:cs="Times New Roman"/>
          <w:sz w:val="24"/>
          <w:szCs w:val="24"/>
        </w:rPr>
        <w:t xml:space="preserve">L’impact de la guerre sur l’éducation a été évaluée aussi bien de manière macroéconomique que par les méthodes microéconométriques qui visent à capter l’effet du traitement « le conflit » sur les résultats scolaires des personnes exposées. </w:t>
      </w:r>
    </w:p>
    <w:p w:rsidR="005A6DF0" w:rsidRPr="002576B7" w:rsidRDefault="005B15FC" w:rsidP="00E03819">
      <w:pPr>
        <w:spacing w:line="360" w:lineRule="auto"/>
        <w:jc w:val="both"/>
        <w:rPr>
          <w:rFonts w:ascii="Times New Roman" w:hAnsi="Times New Roman" w:cs="Times New Roman"/>
          <w:sz w:val="24"/>
          <w:szCs w:val="24"/>
        </w:rPr>
      </w:pPr>
      <w:r w:rsidRPr="002576B7">
        <w:rPr>
          <w:rFonts w:ascii="Times New Roman" w:hAnsi="Times New Roman" w:cs="Times New Roman"/>
          <w:sz w:val="24"/>
          <w:szCs w:val="24"/>
        </w:rPr>
        <w:lastRenderedPageBreak/>
        <w:t xml:space="preserve">Bell et </w:t>
      </w:r>
      <w:proofErr w:type="spellStart"/>
      <w:r w:rsidRPr="002576B7">
        <w:rPr>
          <w:rFonts w:ascii="Times New Roman" w:hAnsi="Times New Roman" w:cs="Times New Roman"/>
          <w:sz w:val="24"/>
          <w:szCs w:val="24"/>
        </w:rPr>
        <w:t>Huebler</w:t>
      </w:r>
      <w:proofErr w:type="spellEnd"/>
      <w:r w:rsidRPr="002576B7">
        <w:rPr>
          <w:rFonts w:ascii="Times New Roman" w:hAnsi="Times New Roman" w:cs="Times New Roman"/>
          <w:sz w:val="24"/>
          <w:szCs w:val="24"/>
        </w:rPr>
        <w:t xml:space="preserve"> (2011), en analysant un panel de 25 pays, montrent que les conflits armés réduisent le taux d’alphabétisation et le niveau d’instruction des populations victimes,</w:t>
      </w:r>
      <w:r w:rsidR="000030F6" w:rsidRPr="002576B7">
        <w:rPr>
          <w:rFonts w:ascii="Times New Roman" w:hAnsi="Times New Roman" w:cs="Times New Roman"/>
          <w:sz w:val="24"/>
          <w:szCs w:val="24"/>
        </w:rPr>
        <w:t xml:space="preserve"> amplifient les écarts de scolarisation à l’encontre des filles, des défavorisés et des minorités ethniques. De même, en désagrégeant les conflits par type (ethnique ou pas), selon l’intensité et la durée, l’utilisation d’un difference in difference </w:t>
      </w:r>
      <w:r w:rsidR="00E75057" w:rsidRPr="002576B7">
        <w:rPr>
          <w:rFonts w:ascii="Times New Roman" w:hAnsi="Times New Roman" w:cs="Times New Roman"/>
          <w:sz w:val="24"/>
          <w:szCs w:val="24"/>
        </w:rPr>
        <w:t xml:space="preserve">sur un panel de 100 pays sur la période 1960-2020, permet de confirmer les résultats de Bell et </w:t>
      </w:r>
      <w:proofErr w:type="spellStart"/>
      <w:r w:rsidR="00FC1E8F" w:rsidRPr="002576B7">
        <w:rPr>
          <w:rFonts w:ascii="Times New Roman" w:hAnsi="Times New Roman" w:cs="Times New Roman"/>
          <w:sz w:val="24"/>
          <w:szCs w:val="24"/>
        </w:rPr>
        <w:t>Huebler</w:t>
      </w:r>
      <w:proofErr w:type="spellEnd"/>
      <w:r w:rsidR="00E75057" w:rsidRPr="002576B7">
        <w:rPr>
          <w:rFonts w:ascii="Times New Roman" w:hAnsi="Times New Roman" w:cs="Times New Roman"/>
          <w:sz w:val="24"/>
          <w:szCs w:val="24"/>
        </w:rPr>
        <w:t xml:space="preserve"> en soulignant que les effets sont plus prononcés lorsque les </w:t>
      </w:r>
      <w:r w:rsidR="00FC1E8F" w:rsidRPr="002576B7">
        <w:rPr>
          <w:rFonts w:ascii="Times New Roman" w:hAnsi="Times New Roman" w:cs="Times New Roman"/>
          <w:sz w:val="24"/>
          <w:szCs w:val="24"/>
        </w:rPr>
        <w:t>conflits excèdent</w:t>
      </w:r>
      <w:r w:rsidR="00E75057" w:rsidRPr="002576B7">
        <w:rPr>
          <w:rFonts w:ascii="Times New Roman" w:hAnsi="Times New Roman" w:cs="Times New Roman"/>
          <w:sz w:val="24"/>
          <w:szCs w:val="24"/>
        </w:rPr>
        <w:t xml:space="preserve"> 6 ans </w:t>
      </w:r>
      <w:r w:rsidR="00E75057" w:rsidRPr="00136616">
        <w:rPr>
          <w:rFonts w:ascii="Times New Roman" w:hAnsi="Times New Roman" w:cs="Times New Roman"/>
          <w:sz w:val="24"/>
          <w:szCs w:val="24"/>
        </w:rPr>
        <w:t>(</w:t>
      </w:r>
      <w:proofErr w:type="spellStart"/>
      <w:r w:rsidR="00E75057" w:rsidRPr="00136616">
        <w:rPr>
          <w:rFonts w:ascii="Times New Roman" w:hAnsi="Times New Roman" w:cs="Times New Roman"/>
          <w:sz w:val="24"/>
          <w:szCs w:val="24"/>
        </w:rPr>
        <w:t>Omoeva</w:t>
      </w:r>
      <w:proofErr w:type="spellEnd"/>
      <w:r w:rsidR="00E75057" w:rsidRPr="00136616">
        <w:rPr>
          <w:rFonts w:ascii="Times New Roman" w:hAnsi="Times New Roman" w:cs="Times New Roman"/>
          <w:sz w:val="24"/>
          <w:szCs w:val="24"/>
        </w:rPr>
        <w:t xml:space="preserve"> et al., </w:t>
      </w:r>
      <w:r w:rsidR="00547BCF" w:rsidRPr="00136616">
        <w:rPr>
          <w:rFonts w:ascii="Times New Roman" w:hAnsi="Times New Roman" w:cs="Times New Roman"/>
          <w:sz w:val="24"/>
          <w:szCs w:val="24"/>
        </w:rPr>
        <w:t>2016</w:t>
      </w:r>
      <w:r w:rsidR="00E75057" w:rsidRPr="00136616">
        <w:rPr>
          <w:rFonts w:ascii="Times New Roman" w:hAnsi="Times New Roman" w:cs="Times New Roman"/>
          <w:sz w:val="24"/>
          <w:szCs w:val="24"/>
        </w:rPr>
        <w:t>).</w:t>
      </w:r>
      <w:r w:rsidR="00D47FFD" w:rsidRPr="002576B7">
        <w:rPr>
          <w:rFonts w:ascii="Times New Roman" w:hAnsi="Times New Roman" w:cs="Times New Roman"/>
          <w:sz w:val="24"/>
          <w:szCs w:val="24"/>
        </w:rPr>
        <w:t xml:space="preserve"> Ces réductions constatées peuvent être, en effet, le reflet d’un système éducatif qui s’effondre avec notamment une baisse significative des dépenses publiques d’éducation pendant et après le conflit (Lai et </w:t>
      </w:r>
      <w:proofErr w:type="spellStart"/>
      <w:r w:rsidR="00D47FFD" w:rsidRPr="002576B7">
        <w:rPr>
          <w:rFonts w:ascii="Times New Roman" w:hAnsi="Times New Roman" w:cs="Times New Roman"/>
          <w:sz w:val="24"/>
          <w:szCs w:val="24"/>
        </w:rPr>
        <w:t>Thyne</w:t>
      </w:r>
      <w:proofErr w:type="spellEnd"/>
      <w:r w:rsidR="00D47FFD" w:rsidRPr="002576B7">
        <w:rPr>
          <w:rFonts w:ascii="Times New Roman" w:hAnsi="Times New Roman" w:cs="Times New Roman"/>
          <w:sz w:val="24"/>
          <w:szCs w:val="24"/>
        </w:rPr>
        <w:t>, 2007).</w:t>
      </w:r>
    </w:p>
    <w:p w:rsidR="00FC1381" w:rsidRPr="002576B7" w:rsidRDefault="00FC1381" w:rsidP="00E03819">
      <w:pPr>
        <w:spacing w:line="360" w:lineRule="auto"/>
        <w:jc w:val="both"/>
        <w:rPr>
          <w:rFonts w:ascii="Times New Roman" w:hAnsi="Times New Roman" w:cs="Times New Roman"/>
          <w:sz w:val="24"/>
          <w:szCs w:val="24"/>
        </w:rPr>
      </w:pPr>
      <w:r w:rsidRPr="002576B7">
        <w:rPr>
          <w:rFonts w:ascii="Times New Roman" w:hAnsi="Times New Roman" w:cs="Times New Roman"/>
          <w:sz w:val="24"/>
          <w:szCs w:val="24"/>
        </w:rPr>
        <w:t>Au niveau microéconomique, il est démontré que l</w:t>
      </w:r>
      <w:r w:rsidR="00266278">
        <w:rPr>
          <w:rFonts w:ascii="Times New Roman" w:hAnsi="Times New Roman" w:cs="Times New Roman"/>
          <w:sz w:val="24"/>
          <w:szCs w:val="24"/>
        </w:rPr>
        <w:t xml:space="preserve">es effets de la guerre sur la </w:t>
      </w:r>
      <w:r w:rsidR="001B08B5">
        <w:rPr>
          <w:rFonts w:ascii="Times New Roman" w:hAnsi="Times New Roman" w:cs="Times New Roman"/>
          <w:sz w:val="24"/>
          <w:szCs w:val="24"/>
        </w:rPr>
        <w:t xml:space="preserve">scolarisation </w:t>
      </w:r>
      <w:r w:rsidR="001B08B5" w:rsidRPr="002576B7">
        <w:rPr>
          <w:rFonts w:ascii="Times New Roman" w:hAnsi="Times New Roman" w:cs="Times New Roman"/>
          <w:sz w:val="24"/>
          <w:szCs w:val="24"/>
        </w:rPr>
        <w:t>se</w:t>
      </w:r>
      <w:r w:rsidRPr="002576B7">
        <w:rPr>
          <w:rFonts w:ascii="Times New Roman" w:hAnsi="Times New Roman" w:cs="Times New Roman"/>
          <w:sz w:val="24"/>
          <w:szCs w:val="24"/>
        </w:rPr>
        <w:t xml:space="preserve"> transmettent par les frais de scolarités car les revenus des parents ayant baissé à cause de la guerre (</w:t>
      </w:r>
      <w:proofErr w:type="spellStart"/>
      <w:r w:rsidRPr="002576B7">
        <w:rPr>
          <w:rFonts w:ascii="Times New Roman" w:hAnsi="Times New Roman" w:cs="Times New Roman"/>
          <w:sz w:val="24"/>
          <w:szCs w:val="24"/>
        </w:rPr>
        <w:t>Vidya</w:t>
      </w:r>
      <w:proofErr w:type="spellEnd"/>
      <w:r w:rsidRPr="002576B7">
        <w:rPr>
          <w:rFonts w:ascii="Times New Roman" w:hAnsi="Times New Roman" w:cs="Times New Roman"/>
          <w:sz w:val="24"/>
          <w:szCs w:val="24"/>
        </w:rPr>
        <w:t>, 2023).</w:t>
      </w:r>
      <w:r w:rsidR="00EF255D" w:rsidRPr="002576B7">
        <w:rPr>
          <w:rFonts w:ascii="Times New Roman" w:hAnsi="Times New Roman" w:cs="Times New Roman"/>
          <w:sz w:val="24"/>
          <w:szCs w:val="24"/>
        </w:rPr>
        <w:t xml:space="preserve"> </w:t>
      </w:r>
      <w:r w:rsidR="0081131E" w:rsidRPr="002576B7">
        <w:rPr>
          <w:rFonts w:ascii="Times New Roman" w:hAnsi="Times New Roman" w:cs="Times New Roman"/>
          <w:sz w:val="24"/>
          <w:szCs w:val="24"/>
        </w:rPr>
        <w:t xml:space="preserve">En utilisant le PSM (Propensity Score Matching) pour éliminer le biais de sélection, on trouve que la </w:t>
      </w:r>
      <w:r w:rsidR="00FB4673" w:rsidRPr="002576B7">
        <w:rPr>
          <w:rFonts w:ascii="Times New Roman" w:hAnsi="Times New Roman" w:cs="Times New Roman"/>
          <w:sz w:val="24"/>
          <w:szCs w:val="24"/>
        </w:rPr>
        <w:t>révolte</w:t>
      </w:r>
      <w:r w:rsidR="0081131E" w:rsidRPr="002576B7">
        <w:rPr>
          <w:rFonts w:ascii="Times New Roman" w:hAnsi="Times New Roman" w:cs="Times New Roman"/>
          <w:sz w:val="24"/>
          <w:szCs w:val="24"/>
        </w:rPr>
        <w:t xml:space="preserve"> </w:t>
      </w:r>
      <w:proofErr w:type="spellStart"/>
      <w:r w:rsidR="0081131E" w:rsidRPr="002576B7">
        <w:rPr>
          <w:rFonts w:ascii="Times New Roman" w:hAnsi="Times New Roman" w:cs="Times New Roman"/>
          <w:sz w:val="24"/>
          <w:szCs w:val="24"/>
        </w:rPr>
        <w:t>naxale</w:t>
      </w:r>
      <w:proofErr w:type="spellEnd"/>
      <w:r w:rsidR="00FB4673" w:rsidRPr="002576B7">
        <w:rPr>
          <w:rFonts w:ascii="Times New Roman" w:hAnsi="Times New Roman" w:cs="Times New Roman"/>
          <w:sz w:val="24"/>
          <w:szCs w:val="24"/>
        </w:rPr>
        <w:t xml:space="preserve"> en Inde</w:t>
      </w:r>
      <w:r w:rsidR="0081131E" w:rsidRPr="002576B7">
        <w:rPr>
          <w:rFonts w:ascii="Times New Roman" w:hAnsi="Times New Roman" w:cs="Times New Roman"/>
          <w:sz w:val="24"/>
          <w:szCs w:val="24"/>
        </w:rPr>
        <w:t xml:space="preserve"> rédui</w:t>
      </w:r>
      <w:r w:rsidR="00FB4673" w:rsidRPr="002576B7">
        <w:rPr>
          <w:rFonts w:ascii="Times New Roman" w:hAnsi="Times New Roman" w:cs="Times New Roman"/>
          <w:sz w:val="24"/>
          <w:szCs w:val="24"/>
        </w:rPr>
        <w:t>t le nombre d’années de scolarisation de 0,25 et 0,16 respectivement pour les filles et pour les hommes.</w:t>
      </w:r>
      <w:r w:rsidR="000719F9" w:rsidRPr="002576B7">
        <w:rPr>
          <w:rFonts w:ascii="Times New Roman" w:hAnsi="Times New Roman" w:cs="Times New Roman"/>
          <w:sz w:val="24"/>
          <w:szCs w:val="24"/>
        </w:rPr>
        <w:t xml:space="preserve"> Dans le contexte européen, l’étude </w:t>
      </w:r>
      <w:r w:rsidR="003C12B4" w:rsidRPr="002576B7">
        <w:rPr>
          <w:rFonts w:ascii="Times New Roman" w:hAnsi="Times New Roman" w:cs="Times New Roman"/>
          <w:sz w:val="24"/>
          <w:szCs w:val="24"/>
        </w:rPr>
        <w:t>du cas de la Bosnie Herzégovine (1992-1995) permet de montrer que les effets du conflit sont plus prononcés chez les jeunes adolescents et ceux du secondaire, à cause notamment du recrutement des jeunes hommes dans les combats, qui ont été plus victimes de violences physiques et mentales comparativement aux jeunes filles (</w:t>
      </w:r>
      <w:proofErr w:type="spellStart"/>
      <w:r w:rsidR="003C12B4" w:rsidRPr="002576B7">
        <w:rPr>
          <w:rFonts w:ascii="Times New Roman" w:hAnsi="Times New Roman" w:cs="Times New Roman"/>
          <w:sz w:val="24"/>
          <w:szCs w:val="24"/>
        </w:rPr>
        <w:t>Ejk</w:t>
      </w:r>
      <w:proofErr w:type="spellEnd"/>
      <w:r w:rsidR="003C12B4" w:rsidRPr="002576B7">
        <w:rPr>
          <w:rFonts w:ascii="Times New Roman" w:hAnsi="Times New Roman" w:cs="Times New Roman"/>
          <w:sz w:val="24"/>
          <w:szCs w:val="24"/>
        </w:rPr>
        <w:t xml:space="preserve"> et al.,2015)</w:t>
      </w:r>
      <w:r w:rsidR="003651A8" w:rsidRPr="002576B7">
        <w:rPr>
          <w:rFonts w:ascii="Times New Roman" w:hAnsi="Times New Roman" w:cs="Times New Roman"/>
          <w:sz w:val="24"/>
          <w:szCs w:val="24"/>
        </w:rPr>
        <w:t xml:space="preserve"> </w:t>
      </w:r>
      <w:r w:rsidR="003651A8" w:rsidRPr="002576B7">
        <w:rPr>
          <w:rFonts w:ascii="Times New Roman" w:hAnsi="Times New Roman" w:cs="Times New Roman"/>
          <w:sz w:val="24"/>
          <w:szCs w:val="24"/>
          <w:highlight w:val="yellow"/>
        </w:rPr>
        <w:t xml:space="preserve">[Etude sur des </w:t>
      </w:r>
      <w:proofErr w:type="spellStart"/>
      <w:r w:rsidR="003651A8" w:rsidRPr="002576B7">
        <w:rPr>
          <w:rFonts w:ascii="Times New Roman" w:hAnsi="Times New Roman" w:cs="Times New Roman"/>
          <w:sz w:val="24"/>
          <w:szCs w:val="24"/>
          <w:highlight w:val="yellow"/>
        </w:rPr>
        <w:t>pays</w:t>
      </w:r>
      <w:r w:rsidR="00E66D4E" w:rsidRPr="002576B7">
        <w:rPr>
          <w:rFonts w:ascii="Times New Roman" w:hAnsi="Times New Roman" w:cs="Times New Roman"/>
          <w:sz w:val="24"/>
          <w:szCs w:val="24"/>
          <w:highlight w:val="yellow"/>
        </w:rPr>
        <w:t>_autres</w:t>
      </w:r>
      <w:proofErr w:type="spellEnd"/>
      <w:r w:rsidR="00E66D4E" w:rsidRPr="002576B7">
        <w:rPr>
          <w:rFonts w:ascii="Times New Roman" w:hAnsi="Times New Roman" w:cs="Times New Roman"/>
          <w:sz w:val="24"/>
          <w:szCs w:val="24"/>
          <w:highlight w:val="yellow"/>
        </w:rPr>
        <w:t>]</w:t>
      </w:r>
    </w:p>
    <w:p w:rsidR="00E66D4E" w:rsidRPr="002576B7" w:rsidRDefault="00E66D4E" w:rsidP="00E03819">
      <w:pPr>
        <w:spacing w:line="360" w:lineRule="auto"/>
        <w:jc w:val="both"/>
        <w:rPr>
          <w:rFonts w:ascii="Times New Roman" w:hAnsi="Times New Roman" w:cs="Times New Roman"/>
          <w:sz w:val="24"/>
          <w:szCs w:val="24"/>
        </w:rPr>
      </w:pPr>
      <w:r w:rsidRPr="002576B7">
        <w:rPr>
          <w:rFonts w:ascii="Times New Roman" w:hAnsi="Times New Roman" w:cs="Times New Roman"/>
          <w:sz w:val="24"/>
          <w:szCs w:val="24"/>
          <w:highlight w:val="yellow"/>
        </w:rPr>
        <w:t>[Etude sur les pays d’Afrique subsaharienne]</w:t>
      </w:r>
    </w:p>
    <w:p w:rsidR="003C08BF" w:rsidRPr="002576B7" w:rsidRDefault="003C08BF" w:rsidP="00E03819">
      <w:pPr>
        <w:spacing w:line="360" w:lineRule="auto"/>
        <w:jc w:val="both"/>
        <w:rPr>
          <w:rFonts w:ascii="Times New Roman" w:hAnsi="Times New Roman" w:cs="Times New Roman"/>
          <w:sz w:val="24"/>
          <w:szCs w:val="24"/>
        </w:rPr>
      </w:pPr>
      <w:r w:rsidRPr="002576B7">
        <w:rPr>
          <w:rFonts w:ascii="Times New Roman" w:hAnsi="Times New Roman" w:cs="Times New Roman"/>
          <w:sz w:val="24"/>
          <w:szCs w:val="24"/>
        </w:rPr>
        <w:t>Pour</w:t>
      </w:r>
      <w:r w:rsidR="00642123" w:rsidRPr="002576B7">
        <w:rPr>
          <w:rFonts w:ascii="Times New Roman" w:hAnsi="Times New Roman" w:cs="Times New Roman"/>
          <w:sz w:val="24"/>
          <w:szCs w:val="24"/>
        </w:rPr>
        <w:t xml:space="preserve"> les pays d’Afrique subsaharienne, des travaux récents ont été effectués pour mesurer l’impact des conflits armés ou du terrorisme sur l’éducation. Il s’agit notamment de la Côte d’Ivoire (Dabalen et Paul, 2012 ; Ouili, 2015) avec la période de haute instabilité (1999-2011) ou du Nigéria (Bertoni et al.,2019) dans le contexte des </w:t>
      </w:r>
      <w:r w:rsidR="00C0215C" w:rsidRPr="002576B7">
        <w:rPr>
          <w:rFonts w:ascii="Times New Roman" w:hAnsi="Times New Roman" w:cs="Times New Roman"/>
          <w:sz w:val="24"/>
          <w:szCs w:val="24"/>
        </w:rPr>
        <w:t>attaques</w:t>
      </w:r>
      <w:r w:rsidR="00642123" w:rsidRPr="002576B7">
        <w:rPr>
          <w:rFonts w:ascii="Times New Roman" w:hAnsi="Times New Roman" w:cs="Times New Roman"/>
          <w:sz w:val="24"/>
          <w:szCs w:val="24"/>
        </w:rPr>
        <w:t xml:space="preserve"> terroristes répétées effect</w:t>
      </w:r>
      <w:r w:rsidR="00C0215C" w:rsidRPr="002576B7">
        <w:rPr>
          <w:rFonts w:ascii="Times New Roman" w:hAnsi="Times New Roman" w:cs="Times New Roman"/>
          <w:sz w:val="24"/>
          <w:szCs w:val="24"/>
        </w:rPr>
        <w:t>u</w:t>
      </w:r>
      <w:r w:rsidR="00642123" w:rsidRPr="002576B7">
        <w:rPr>
          <w:rFonts w:ascii="Times New Roman" w:hAnsi="Times New Roman" w:cs="Times New Roman"/>
          <w:sz w:val="24"/>
          <w:szCs w:val="24"/>
        </w:rPr>
        <w:t xml:space="preserve">ées par </w:t>
      </w:r>
      <w:proofErr w:type="spellStart"/>
      <w:r w:rsidR="00642123" w:rsidRPr="002576B7">
        <w:rPr>
          <w:rFonts w:ascii="Times New Roman" w:hAnsi="Times New Roman" w:cs="Times New Roman"/>
          <w:sz w:val="24"/>
          <w:szCs w:val="24"/>
        </w:rPr>
        <w:t>Bokoharam</w:t>
      </w:r>
      <w:proofErr w:type="spellEnd"/>
      <w:r w:rsidR="00642123" w:rsidRPr="002576B7">
        <w:rPr>
          <w:rFonts w:ascii="Times New Roman" w:hAnsi="Times New Roman" w:cs="Times New Roman"/>
          <w:sz w:val="24"/>
          <w:szCs w:val="24"/>
        </w:rPr>
        <w:t xml:space="preserve"> dans le Nord-Est du pays.</w:t>
      </w:r>
    </w:p>
    <w:p w:rsidR="00642123" w:rsidRPr="002576B7" w:rsidRDefault="00642123" w:rsidP="00E03819">
      <w:pPr>
        <w:spacing w:line="360" w:lineRule="auto"/>
        <w:jc w:val="both"/>
        <w:rPr>
          <w:rFonts w:ascii="Times New Roman" w:hAnsi="Times New Roman" w:cs="Times New Roman"/>
          <w:sz w:val="24"/>
          <w:szCs w:val="24"/>
        </w:rPr>
      </w:pPr>
      <w:r w:rsidRPr="002576B7">
        <w:rPr>
          <w:rFonts w:ascii="Times New Roman" w:hAnsi="Times New Roman" w:cs="Times New Roman"/>
          <w:sz w:val="24"/>
          <w:szCs w:val="24"/>
        </w:rPr>
        <w:t>L’étude de Ouili (2015)</w:t>
      </w:r>
      <w:r w:rsidR="00C0215C" w:rsidRPr="002576B7">
        <w:rPr>
          <w:rFonts w:ascii="Times New Roman" w:hAnsi="Times New Roman" w:cs="Times New Roman"/>
          <w:sz w:val="24"/>
          <w:szCs w:val="24"/>
        </w:rPr>
        <w:t xml:space="preserve"> a permis de mettre en évidence l’impact de cette décennie de crise sur l’éducation</w:t>
      </w:r>
      <w:r w:rsidR="004A75A8" w:rsidRPr="002576B7">
        <w:rPr>
          <w:rFonts w:ascii="Times New Roman" w:hAnsi="Times New Roman" w:cs="Times New Roman"/>
          <w:sz w:val="24"/>
          <w:szCs w:val="24"/>
        </w:rPr>
        <w:t xml:space="preserve"> par l’utilisation de la méthode des difference in difference</w:t>
      </w:r>
      <w:r w:rsidR="00C0215C" w:rsidRPr="002576B7">
        <w:rPr>
          <w:rFonts w:ascii="Times New Roman" w:hAnsi="Times New Roman" w:cs="Times New Roman"/>
          <w:sz w:val="24"/>
          <w:szCs w:val="24"/>
        </w:rPr>
        <w:t xml:space="preserve">. Cela se traduit par une baisse de 10% de la probabilité d’être </w:t>
      </w:r>
      <w:r w:rsidR="004A75A8" w:rsidRPr="002576B7">
        <w:rPr>
          <w:rFonts w:ascii="Times New Roman" w:hAnsi="Times New Roman" w:cs="Times New Roman"/>
          <w:sz w:val="24"/>
          <w:szCs w:val="24"/>
        </w:rPr>
        <w:t>enrôlé</w:t>
      </w:r>
      <w:r w:rsidR="00C0215C" w:rsidRPr="002576B7">
        <w:rPr>
          <w:rFonts w:ascii="Times New Roman" w:hAnsi="Times New Roman" w:cs="Times New Roman"/>
          <w:sz w:val="24"/>
          <w:szCs w:val="24"/>
        </w:rPr>
        <w:t xml:space="preserve"> </w:t>
      </w:r>
      <w:r w:rsidR="004A75A8" w:rsidRPr="002576B7">
        <w:rPr>
          <w:rFonts w:ascii="Times New Roman" w:hAnsi="Times New Roman" w:cs="Times New Roman"/>
          <w:sz w:val="24"/>
          <w:szCs w:val="24"/>
        </w:rPr>
        <w:t>des enfants en âge d’aller à l’école. Les canaux identifiés par l</w:t>
      </w:r>
      <w:r w:rsidR="00780D79" w:rsidRPr="002576B7">
        <w:rPr>
          <w:rFonts w:ascii="Times New Roman" w:hAnsi="Times New Roman" w:cs="Times New Roman"/>
          <w:sz w:val="24"/>
          <w:szCs w:val="24"/>
        </w:rPr>
        <w:t>’auteur sont la détérioration des conditions de vie des parents. Dans la même veine, les travaux de Dabalen et Paul</w:t>
      </w:r>
      <w:r w:rsidR="002B2190" w:rsidRPr="002576B7">
        <w:rPr>
          <w:rFonts w:ascii="Times New Roman" w:hAnsi="Times New Roman" w:cs="Times New Roman"/>
          <w:sz w:val="24"/>
          <w:szCs w:val="24"/>
        </w:rPr>
        <w:t xml:space="preserve"> (2012)</w:t>
      </w:r>
      <w:r w:rsidR="00780D79" w:rsidRPr="002576B7">
        <w:rPr>
          <w:rFonts w:ascii="Times New Roman" w:hAnsi="Times New Roman" w:cs="Times New Roman"/>
          <w:sz w:val="24"/>
          <w:szCs w:val="24"/>
        </w:rPr>
        <w:t xml:space="preserve"> visaient à mesurer l’impact de cette crise sur l’éducation. Ils utilisent les données de l’Enquête de Niveau de vie des ménages (2008) et </w:t>
      </w:r>
      <w:r w:rsidR="009115AB" w:rsidRPr="002576B7">
        <w:rPr>
          <w:rFonts w:ascii="Times New Roman" w:hAnsi="Times New Roman" w:cs="Times New Roman"/>
          <w:sz w:val="24"/>
          <w:szCs w:val="24"/>
        </w:rPr>
        <w:t xml:space="preserve">la </w:t>
      </w:r>
      <w:r w:rsidR="009115AB" w:rsidRPr="002576B7">
        <w:rPr>
          <w:rFonts w:ascii="Times New Roman" w:hAnsi="Times New Roman" w:cs="Times New Roman"/>
          <w:sz w:val="24"/>
          <w:szCs w:val="24"/>
        </w:rPr>
        <w:lastRenderedPageBreak/>
        <w:t>base de données des conflits de l’ACLED pour estimer l’effet causal du conflit sur le nombre d’années d’éducation des populations affectées. Pour se faire, ils utilisent un difference in difference associé à</w:t>
      </w:r>
      <w:r w:rsidR="003C6F8E" w:rsidRPr="002576B7">
        <w:rPr>
          <w:rFonts w:ascii="Times New Roman" w:hAnsi="Times New Roman" w:cs="Times New Roman"/>
          <w:sz w:val="24"/>
          <w:szCs w:val="24"/>
        </w:rPr>
        <w:t xml:space="preserve"> un PSM pour éliminer les biais de sélection</w:t>
      </w:r>
      <w:r w:rsidR="008C3150" w:rsidRPr="002576B7">
        <w:rPr>
          <w:rFonts w:ascii="Times New Roman" w:hAnsi="Times New Roman" w:cs="Times New Roman"/>
          <w:sz w:val="24"/>
          <w:szCs w:val="24"/>
        </w:rPr>
        <w:t>. Les résultats de l’estimation indiquent que le conflit a réduit de 0,94 années, la durée de scolarisation.</w:t>
      </w:r>
    </w:p>
    <w:p w:rsidR="008C3150" w:rsidRPr="002576B7" w:rsidRDefault="008C3150" w:rsidP="00E03819">
      <w:pPr>
        <w:spacing w:line="360" w:lineRule="auto"/>
        <w:jc w:val="both"/>
        <w:rPr>
          <w:rFonts w:ascii="Times New Roman" w:hAnsi="Times New Roman" w:cs="Times New Roman"/>
          <w:sz w:val="24"/>
          <w:szCs w:val="24"/>
        </w:rPr>
      </w:pPr>
      <w:r w:rsidRPr="002576B7">
        <w:rPr>
          <w:rFonts w:ascii="Times New Roman" w:hAnsi="Times New Roman" w:cs="Times New Roman"/>
          <w:sz w:val="24"/>
          <w:szCs w:val="24"/>
        </w:rPr>
        <w:t xml:space="preserve">L’étude de Bertoni et al. (2019) a permis de mettre </w:t>
      </w:r>
      <w:r w:rsidR="00A06228" w:rsidRPr="002576B7">
        <w:rPr>
          <w:rFonts w:ascii="Times New Roman" w:hAnsi="Times New Roman" w:cs="Times New Roman"/>
          <w:sz w:val="24"/>
          <w:szCs w:val="24"/>
        </w:rPr>
        <w:t>en</w:t>
      </w:r>
      <w:r w:rsidRPr="002576B7">
        <w:rPr>
          <w:rFonts w:ascii="Times New Roman" w:hAnsi="Times New Roman" w:cs="Times New Roman"/>
          <w:sz w:val="24"/>
          <w:szCs w:val="24"/>
        </w:rPr>
        <w:t xml:space="preserve"> exergue les effets des conflits et des actions du groupe armé</w:t>
      </w:r>
      <w:r w:rsidR="00A06228" w:rsidRPr="002576B7">
        <w:rPr>
          <w:rFonts w:ascii="Times New Roman" w:hAnsi="Times New Roman" w:cs="Times New Roman"/>
          <w:sz w:val="24"/>
          <w:szCs w:val="24"/>
        </w:rPr>
        <w:t xml:space="preserve"> Boko Haram sur l’éducation dans le nord</w:t>
      </w:r>
      <w:r w:rsidR="002B2190" w:rsidRPr="002576B7">
        <w:rPr>
          <w:rFonts w:ascii="Times New Roman" w:hAnsi="Times New Roman" w:cs="Times New Roman"/>
          <w:sz w:val="24"/>
          <w:szCs w:val="24"/>
        </w:rPr>
        <w:t>-</w:t>
      </w:r>
      <w:r w:rsidR="00A06228" w:rsidRPr="002576B7">
        <w:rPr>
          <w:rFonts w:ascii="Times New Roman" w:hAnsi="Times New Roman" w:cs="Times New Roman"/>
          <w:sz w:val="24"/>
          <w:szCs w:val="24"/>
        </w:rPr>
        <w:t>Est du Nigéria. En utilisant un panel de personnes vivant dans les zones de conflit</w:t>
      </w:r>
      <w:r w:rsidR="00982D2F" w:rsidRPr="002576B7">
        <w:rPr>
          <w:rFonts w:ascii="Times New Roman" w:hAnsi="Times New Roman" w:cs="Times New Roman"/>
          <w:sz w:val="24"/>
          <w:szCs w:val="24"/>
        </w:rPr>
        <w:t>,</w:t>
      </w:r>
      <w:r w:rsidR="00A06228" w:rsidRPr="002576B7">
        <w:rPr>
          <w:rFonts w:ascii="Times New Roman" w:hAnsi="Times New Roman" w:cs="Times New Roman"/>
          <w:sz w:val="24"/>
          <w:szCs w:val="24"/>
        </w:rPr>
        <w:t xml:space="preserve"> afin d</w:t>
      </w:r>
      <w:r w:rsidR="00982D2F" w:rsidRPr="002576B7">
        <w:rPr>
          <w:rFonts w:ascii="Times New Roman" w:hAnsi="Times New Roman" w:cs="Times New Roman"/>
          <w:sz w:val="24"/>
          <w:szCs w:val="24"/>
        </w:rPr>
        <w:t xml:space="preserve">’analyser la dynamique temporelle, ils obtiennent en </w:t>
      </w:r>
      <w:r w:rsidR="00586A5E" w:rsidRPr="002576B7">
        <w:rPr>
          <w:rFonts w:ascii="Times New Roman" w:hAnsi="Times New Roman" w:cs="Times New Roman"/>
          <w:sz w:val="24"/>
          <w:szCs w:val="24"/>
        </w:rPr>
        <w:t>estimant un effet fixe</w:t>
      </w:r>
      <w:r w:rsidR="002B2190" w:rsidRPr="002576B7">
        <w:rPr>
          <w:rFonts w:ascii="Times New Roman" w:hAnsi="Times New Roman" w:cs="Times New Roman"/>
          <w:sz w:val="24"/>
          <w:szCs w:val="24"/>
        </w:rPr>
        <w:t>, l’incidence de la guerre sur l’enrôlement des enfants à l’école et le décrochage scolaire. Ils font ensuite recours à un difference in difference pour évaluer l’impact du conflit sur le nombre d’années d’éducation et le niveau d’achèvement scolaire. Les résultats indiquent qu’il y</w:t>
      </w:r>
      <w:r w:rsidR="00A7518E" w:rsidRPr="002576B7">
        <w:rPr>
          <w:rFonts w:ascii="Times New Roman" w:hAnsi="Times New Roman" w:cs="Times New Roman"/>
          <w:sz w:val="24"/>
          <w:szCs w:val="24"/>
        </w:rPr>
        <w:t xml:space="preserve"> a une baisse de 3% de la probabilité</w:t>
      </w:r>
      <w:r w:rsidR="000719F9" w:rsidRPr="002576B7">
        <w:rPr>
          <w:rFonts w:ascii="Times New Roman" w:hAnsi="Times New Roman" w:cs="Times New Roman"/>
          <w:sz w:val="24"/>
          <w:szCs w:val="24"/>
        </w:rPr>
        <w:t xml:space="preserve"> d’enrôlement, une réduction de 0,6 du nombre d’années. En termes d’effets, ils notent un effet plus prononcé chez les musulmans et les élèves du secondaire tandis qu’il n’y a pas de différence significative entre sexe ou milieu de résidence.</w:t>
      </w:r>
      <w:r w:rsidR="008F4A4C">
        <w:rPr>
          <w:rFonts w:ascii="Times New Roman" w:hAnsi="Times New Roman" w:cs="Times New Roman"/>
          <w:sz w:val="24"/>
          <w:szCs w:val="24"/>
        </w:rPr>
        <w:t xml:space="preserve"> La Sierra Léone a également connu une guerre civile (1991-2002) ayant </w:t>
      </w:r>
      <w:r w:rsidR="003E2DB4">
        <w:rPr>
          <w:rFonts w:ascii="Times New Roman" w:hAnsi="Times New Roman" w:cs="Times New Roman"/>
          <w:sz w:val="24"/>
          <w:szCs w:val="24"/>
        </w:rPr>
        <w:t>occasionné</w:t>
      </w:r>
      <w:r w:rsidR="008F4A4C">
        <w:rPr>
          <w:rFonts w:ascii="Times New Roman" w:hAnsi="Times New Roman" w:cs="Times New Roman"/>
          <w:sz w:val="24"/>
          <w:szCs w:val="24"/>
        </w:rPr>
        <w:t xml:space="preserve"> plus de 70 000 morts. </w:t>
      </w:r>
      <w:r w:rsidR="003E2DB4">
        <w:rPr>
          <w:rFonts w:ascii="Times New Roman" w:hAnsi="Times New Roman" w:cs="Times New Roman"/>
          <w:sz w:val="24"/>
          <w:szCs w:val="24"/>
        </w:rPr>
        <w:t>Cela a impacté négativement l’éducation, se matérialisant par une baisse d</w:t>
      </w:r>
      <w:r w:rsidR="00547BCF">
        <w:rPr>
          <w:rFonts w:ascii="Times New Roman" w:hAnsi="Times New Roman" w:cs="Times New Roman"/>
          <w:sz w:val="24"/>
          <w:szCs w:val="24"/>
        </w:rPr>
        <w:t>u</w:t>
      </w:r>
      <w:r w:rsidR="003E2DB4">
        <w:rPr>
          <w:rFonts w:ascii="Times New Roman" w:hAnsi="Times New Roman" w:cs="Times New Roman"/>
          <w:sz w:val="24"/>
          <w:szCs w:val="24"/>
        </w:rPr>
        <w:t xml:space="preserve"> nombre d’années d’éducation</w:t>
      </w:r>
      <w:r w:rsidR="00547BCF">
        <w:rPr>
          <w:rFonts w:ascii="Times New Roman" w:hAnsi="Times New Roman" w:cs="Times New Roman"/>
          <w:sz w:val="24"/>
          <w:szCs w:val="24"/>
        </w:rPr>
        <w:t xml:space="preserve"> comprise entre 0,3 et 0,5 pour une augmentation d’un standard </w:t>
      </w:r>
      <w:r w:rsidR="003E2DB4">
        <w:rPr>
          <w:rFonts w:ascii="Times New Roman" w:hAnsi="Times New Roman" w:cs="Times New Roman"/>
          <w:sz w:val="24"/>
          <w:szCs w:val="24"/>
        </w:rPr>
        <w:t>les personnes vivant dans les zones affectées par le conflit (Hoenig, 2018).</w:t>
      </w:r>
      <w:r w:rsidR="0094042B">
        <w:rPr>
          <w:rFonts w:ascii="Times New Roman" w:hAnsi="Times New Roman" w:cs="Times New Roman"/>
          <w:sz w:val="24"/>
          <w:szCs w:val="24"/>
        </w:rPr>
        <w:t xml:space="preserve"> Le canal principal que lequel les conflits ont impacté l’éducation se situent au niveau de l’offre de l’éducation. En effet, l’occurrence de la violence a conduit à l’affaiblissement de l’offre de service d’éducation avec notamment</w:t>
      </w:r>
      <w:r w:rsidR="00266278">
        <w:rPr>
          <w:rFonts w:ascii="Times New Roman" w:hAnsi="Times New Roman" w:cs="Times New Roman"/>
          <w:sz w:val="24"/>
          <w:szCs w:val="24"/>
        </w:rPr>
        <w:t xml:space="preserve"> l’</w:t>
      </w:r>
      <w:r w:rsidR="002C71E7">
        <w:rPr>
          <w:rFonts w:ascii="Times New Roman" w:hAnsi="Times New Roman" w:cs="Times New Roman"/>
          <w:sz w:val="24"/>
          <w:szCs w:val="24"/>
        </w:rPr>
        <w:t>absence</w:t>
      </w:r>
      <w:r w:rsidR="00266278">
        <w:rPr>
          <w:rFonts w:ascii="Times New Roman" w:hAnsi="Times New Roman" w:cs="Times New Roman"/>
          <w:sz w:val="24"/>
          <w:szCs w:val="24"/>
        </w:rPr>
        <w:t xml:space="preserve"> des enseignants et la destruction des infrastructures et équipements scolaires.</w:t>
      </w:r>
    </w:p>
    <w:p w:rsidR="004640DE" w:rsidRPr="002576B7" w:rsidRDefault="00B27BA8" w:rsidP="00E03819">
      <w:pPr>
        <w:spacing w:line="360" w:lineRule="auto"/>
        <w:jc w:val="both"/>
        <w:rPr>
          <w:rFonts w:ascii="Times New Roman" w:hAnsi="Times New Roman" w:cs="Times New Roman"/>
          <w:sz w:val="24"/>
          <w:szCs w:val="24"/>
        </w:rPr>
      </w:pPr>
      <w:r w:rsidRPr="002576B7">
        <w:rPr>
          <w:rFonts w:ascii="Times New Roman" w:hAnsi="Times New Roman" w:cs="Times New Roman"/>
          <w:sz w:val="24"/>
          <w:szCs w:val="24"/>
        </w:rPr>
        <w:t>Avec le développement de la violence avec le conflit dans la zone anglophone au Cameroun, Galindo-silva et Tchuente (2023) ont permis de mettre en évidence l’effet pervers de cette violence sur l</w:t>
      </w:r>
      <w:r w:rsidR="00574CEE" w:rsidRPr="002576B7">
        <w:rPr>
          <w:rFonts w:ascii="Times New Roman" w:hAnsi="Times New Roman" w:cs="Times New Roman"/>
          <w:sz w:val="24"/>
          <w:szCs w:val="24"/>
        </w:rPr>
        <w:t xml:space="preserve">’accumulation du capital humain. En utilisant les données du PASEC (2014-2019) et les données sur l’occurrence des conflits (ACLED), ils estiment que les effets se matérialisent par une réduction des scores en mathématique et en littérature, respectivement de 2,1% et 2,5% pour cent cas de violence enregistrés. </w:t>
      </w:r>
      <w:r w:rsidR="004640DE" w:rsidRPr="002576B7">
        <w:rPr>
          <w:rFonts w:ascii="Times New Roman" w:hAnsi="Times New Roman" w:cs="Times New Roman"/>
          <w:sz w:val="24"/>
          <w:szCs w:val="24"/>
        </w:rPr>
        <w:t>Cette baisse des rendements académiques est à mettre en relation avec la destruction des écoles, l’absentéisme des enseignants et des élèves pour raison sécuritaire.</w:t>
      </w:r>
    </w:p>
    <w:p w:rsidR="002576B7" w:rsidRDefault="004640DE" w:rsidP="00E03819">
      <w:pPr>
        <w:spacing w:line="360" w:lineRule="auto"/>
        <w:jc w:val="both"/>
        <w:rPr>
          <w:rFonts w:ascii="Times New Roman" w:hAnsi="Times New Roman" w:cs="Times New Roman"/>
          <w:sz w:val="24"/>
          <w:szCs w:val="24"/>
        </w:rPr>
      </w:pPr>
      <w:r w:rsidRPr="002576B7">
        <w:rPr>
          <w:rFonts w:ascii="Times New Roman" w:hAnsi="Times New Roman" w:cs="Times New Roman"/>
          <w:sz w:val="24"/>
          <w:szCs w:val="24"/>
        </w:rPr>
        <w:t>L’abandon scolaire qui résulte de la survenue des conflits oriente les élèves, censés être sur les bans scolaires</w:t>
      </w:r>
      <w:r w:rsidR="002576B7">
        <w:rPr>
          <w:rFonts w:ascii="Times New Roman" w:hAnsi="Times New Roman" w:cs="Times New Roman"/>
          <w:sz w:val="24"/>
          <w:szCs w:val="24"/>
        </w:rPr>
        <w:t>,</w:t>
      </w:r>
      <w:r w:rsidRPr="002576B7">
        <w:rPr>
          <w:rFonts w:ascii="Times New Roman" w:hAnsi="Times New Roman" w:cs="Times New Roman"/>
          <w:sz w:val="24"/>
          <w:szCs w:val="24"/>
        </w:rPr>
        <w:t xml:space="preserve"> à se tourner vers le marché du travail. A cet effet plusieurs études visent à mettre en relation les conflits et le travail des enfants.</w:t>
      </w:r>
      <w:r w:rsidR="00E24BCD" w:rsidRPr="002576B7">
        <w:rPr>
          <w:rFonts w:ascii="Times New Roman" w:hAnsi="Times New Roman" w:cs="Times New Roman"/>
          <w:sz w:val="24"/>
          <w:szCs w:val="24"/>
        </w:rPr>
        <w:t xml:space="preserve"> Ainsi, </w:t>
      </w:r>
      <w:proofErr w:type="spellStart"/>
      <w:r w:rsidR="00E24BCD" w:rsidRPr="002576B7">
        <w:rPr>
          <w:rFonts w:ascii="Times New Roman" w:hAnsi="Times New Roman" w:cs="Times New Roman"/>
          <w:sz w:val="24"/>
          <w:szCs w:val="24"/>
        </w:rPr>
        <w:t>Naufal</w:t>
      </w:r>
      <w:proofErr w:type="spellEnd"/>
      <w:r w:rsidR="00E24BCD" w:rsidRPr="002576B7">
        <w:rPr>
          <w:rFonts w:ascii="Times New Roman" w:hAnsi="Times New Roman" w:cs="Times New Roman"/>
          <w:sz w:val="24"/>
          <w:szCs w:val="24"/>
        </w:rPr>
        <w:t xml:space="preserve"> et al (2018) montrent dans le cas de l’Iraq que l’intensification des conflits r</w:t>
      </w:r>
      <w:r w:rsidR="00394FCD" w:rsidRPr="002576B7">
        <w:rPr>
          <w:rFonts w:ascii="Times New Roman" w:hAnsi="Times New Roman" w:cs="Times New Roman"/>
          <w:sz w:val="24"/>
          <w:szCs w:val="24"/>
        </w:rPr>
        <w:t>i</w:t>
      </w:r>
      <w:r w:rsidR="00E24BCD" w:rsidRPr="002576B7">
        <w:rPr>
          <w:rFonts w:ascii="Times New Roman" w:hAnsi="Times New Roman" w:cs="Times New Roman"/>
          <w:sz w:val="24"/>
          <w:szCs w:val="24"/>
        </w:rPr>
        <w:t xml:space="preserve">me avec une augmentation du travail (salarié) des </w:t>
      </w:r>
      <w:r w:rsidR="00E24BCD" w:rsidRPr="002576B7">
        <w:rPr>
          <w:rFonts w:ascii="Times New Roman" w:hAnsi="Times New Roman" w:cs="Times New Roman"/>
          <w:sz w:val="24"/>
          <w:szCs w:val="24"/>
        </w:rPr>
        <w:lastRenderedPageBreak/>
        <w:t>enfants</w:t>
      </w:r>
      <w:r w:rsidR="004174FD" w:rsidRPr="002576B7">
        <w:rPr>
          <w:rFonts w:ascii="Times New Roman" w:hAnsi="Times New Roman" w:cs="Times New Roman"/>
          <w:sz w:val="24"/>
          <w:szCs w:val="24"/>
        </w:rPr>
        <w:t>.</w:t>
      </w:r>
      <w:r w:rsidR="004F3431">
        <w:rPr>
          <w:rFonts w:ascii="Times New Roman" w:hAnsi="Times New Roman" w:cs="Times New Roman"/>
          <w:sz w:val="24"/>
          <w:szCs w:val="24"/>
        </w:rPr>
        <w:t xml:space="preserve"> </w:t>
      </w:r>
      <w:proofErr w:type="spellStart"/>
      <w:r w:rsidR="004F3431">
        <w:rPr>
          <w:rFonts w:ascii="Times New Roman" w:hAnsi="Times New Roman" w:cs="Times New Roman"/>
          <w:sz w:val="24"/>
          <w:szCs w:val="24"/>
        </w:rPr>
        <w:t>R</w:t>
      </w:r>
      <w:r w:rsidR="004F3431" w:rsidRPr="0050287F">
        <w:rPr>
          <w:rFonts w:ascii="Times New Roman" w:hAnsi="Times New Roman" w:cs="Times New Roman"/>
          <w:sz w:val="24"/>
          <w:szCs w:val="24"/>
        </w:rPr>
        <w:t>odríguez</w:t>
      </w:r>
      <w:proofErr w:type="spellEnd"/>
      <w:r w:rsidR="004F3431" w:rsidRPr="0050287F">
        <w:rPr>
          <w:rFonts w:ascii="Times New Roman" w:hAnsi="Times New Roman" w:cs="Times New Roman"/>
          <w:sz w:val="24"/>
          <w:szCs w:val="24"/>
        </w:rPr>
        <w:t xml:space="preserve"> </w:t>
      </w:r>
      <w:r w:rsidR="004F3431">
        <w:rPr>
          <w:rFonts w:ascii="Times New Roman" w:hAnsi="Times New Roman" w:cs="Times New Roman"/>
          <w:sz w:val="24"/>
          <w:szCs w:val="24"/>
        </w:rPr>
        <w:t xml:space="preserve">et </w:t>
      </w:r>
      <w:proofErr w:type="spellStart"/>
      <w:r w:rsidR="004F3431">
        <w:rPr>
          <w:rFonts w:ascii="Times New Roman" w:hAnsi="Times New Roman" w:cs="Times New Roman"/>
          <w:sz w:val="24"/>
          <w:szCs w:val="24"/>
        </w:rPr>
        <w:t>S</w:t>
      </w:r>
      <w:r w:rsidR="004F3431" w:rsidRPr="0050287F">
        <w:rPr>
          <w:rFonts w:ascii="Times New Roman" w:hAnsi="Times New Roman" w:cs="Times New Roman"/>
          <w:sz w:val="24"/>
          <w:szCs w:val="24"/>
        </w:rPr>
        <w:t>ánchez</w:t>
      </w:r>
      <w:proofErr w:type="spellEnd"/>
      <w:r w:rsidR="004F3431" w:rsidRPr="0050287F">
        <w:rPr>
          <w:rFonts w:ascii="Times New Roman" w:hAnsi="Times New Roman" w:cs="Times New Roman"/>
          <w:sz w:val="24"/>
          <w:szCs w:val="24"/>
        </w:rPr>
        <w:t> </w:t>
      </w:r>
      <w:r w:rsidR="004F3431">
        <w:rPr>
          <w:rFonts w:ascii="Times New Roman" w:hAnsi="Times New Roman" w:cs="Times New Roman"/>
          <w:sz w:val="24"/>
          <w:szCs w:val="24"/>
        </w:rPr>
        <w:t>(2012) analysent également les effets de l’exposition aux conflits armés sur l’accumulation du capital</w:t>
      </w:r>
      <w:r w:rsidR="007926ED">
        <w:rPr>
          <w:rFonts w:ascii="Times New Roman" w:hAnsi="Times New Roman" w:cs="Times New Roman"/>
          <w:sz w:val="24"/>
          <w:szCs w:val="24"/>
        </w:rPr>
        <w:t xml:space="preserve"> humain</w:t>
      </w:r>
      <w:r w:rsidR="004F3431">
        <w:rPr>
          <w:rFonts w:ascii="Times New Roman" w:hAnsi="Times New Roman" w:cs="Times New Roman"/>
          <w:sz w:val="24"/>
          <w:szCs w:val="24"/>
        </w:rPr>
        <w:t xml:space="preserve"> et le travail des enfants en Colombie. </w:t>
      </w:r>
      <w:r w:rsidR="00FC3928">
        <w:rPr>
          <w:rFonts w:ascii="Times New Roman" w:hAnsi="Times New Roman" w:cs="Times New Roman"/>
          <w:sz w:val="24"/>
          <w:szCs w:val="24"/>
        </w:rPr>
        <w:t xml:space="preserve">Les résultats de l’étude montrent qu’une exposition répétée aux conflits incite les élèves à abandonner l’école pour se tourner vers le monde de l’emploi. </w:t>
      </w:r>
      <w:r w:rsidR="00D86143">
        <w:rPr>
          <w:rFonts w:ascii="Times New Roman" w:hAnsi="Times New Roman" w:cs="Times New Roman"/>
          <w:sz w:val="24"/>
          <w:szCs w:val="24"/>
        </w:rPr>
        <w:t>A cause de la dimension dynamique et de la dimension intertemporelle du choix de décrocher, les auteurs ont opté pour une estimation économétrique par les modèles de durée avec notamment une fonction de survie de type Kaplan-Meier puis une régression bi</w:t>
      </w:r>
      <w:r w:rsidR="002C71E7">
        <w:rPr>
          <w:rFonts w:ascii="Times New Roman" w:hAnsi="Times New Roman" w:cs="Times New Roman"/>
          <w:sz w:val="24"/>
          <w:szCs w:val="24"/>
        </w:rPr>
        <w:t>-</w:t>
      </w:r>
      <w:proofErr w:type="spellStart"/>
      <w:r w:rsidR="00D86143">
        <w:rPr>
          <w:rFonts w:ascii="Times New Roman" w:hAnsi="Times New Roman" w:cs="Times New Roman"/>
          <w:sz w:val="24"/>
          <w:szCs w:val="24"/>
        </w:rPr>
        <w:t>probit</w:t>
      </w:r>
      <w:proofErr w:type="spellEnd"/>
      <w:r w:rsidR="00D86143">
        <w:rPr>
          <w:rFonts w:ascii="Times New Roman" w:hAnsi="Times New Roman" w:cs="Times New Roman"/>
          <w:sz w:val="24"/>
          <w:szCs w:val="24"/>
        </w:rPr>
        <w:t xml:space="preserve"> pour estimer la probabilité jointe</w:t>
      </w:r>
      <w:r w:rsidR="007926ED">
        <w:rPr>
          <w:rFonts w:ascii="Times New Roman" w:hAnsi="Times New Roman" w:cs="Times New Roman"/>
          <w:sz w:val="24"/>
          <w:szCs w:val="24"/>
        </w:rPr>
        <w:t xml:space="preserve"> d’abandonner l’école et de se retrouver sur le marché de l’emploi. Ils trouvent finalement qu</w:t>
      </w:r>
      <w:r w:rsidR="00D26A90">
        <w:rPr>
          <w:rFonts w:ascii="Times New Roman" w:hAnsi="Times New Roman" w:cs="Times New Roman"/>
          <w:sz w:val="24"/>
          <w:szCs w:val="24"/>
        </w:rPr>
        <w:t>’il y a une baisse d’un</w:t>
      </w:r>
      <w:r w:rsidR="00C33042">
        <w:rPr>
          <w:rFonts w:ascii="Times New Roman" w:hAnsi="Times New Roman" w:cs="Times New Roman"/>
          <w:sz w:val="24"/>
          <w:szCs w:val="24"/>
        </w:rPr>
        <w:t>e unité</w:t>
      </w:r>
      <w:r w:rsidR="00D26A90">
        <w:rPr>
          <w:rFonts w:ascii="Times New Roman" w:hAnsi="Times New Roman" w:cs="Times New Roman"/>
          <w:sz w:val="24"/>
          <w:szCs w:val="24"/>
        </w:rPr>
        <w:t xml:space="preserve"> du nombre d’années d’éducation des jeunes vivant dans des zones affectées par les conflits et une augmentation de 2,3% du risque d’abandon scolaire pour migrer vers le monde du travail. Les </w:t>
      </w:r>
      <w:r w:rsidR="00C33042">
        <w:rPr>
          <w:rFonts w:ascii="Times New Roman" w:hAnsi="Times New Roman" w:cs="Times New Roman"/>
          <w:sz w:val="24"/>
          <w:szCs w:val="24"/>
        </w:rPr>
        <w:t>éventuels canaux de transmission mis en exergue sont</w:t>
      </w:r>
      <w:r w:rsidR="00C128EF">
        <w:rPr>
          <w:rFonts w:ascii="Times New Roman" w:hAnsi="Times New Roman" w:cs="Times New Roman"/>
          <w:sz w:val="24"/>
          <w:szCs w:val="24"/>
        </w:rPr>
        <w:t xml:space="preserve"> la diffusion des chocs économiques négatifs, l’augmentation du risque de mortalité et la baisse de la qualité de l’offre de service éducatif.</w:t>
      </w:r>
    </w:p>
    <w:p w:rsidR="00A837D2" w:rsidRPr="00A837D2" w:rsidRDefault="00A837D2" w:rsidP="00E03819">
      <w:pPr>
        <w:spacing w:line="360" w:lineRule="auto"/>
        <w:jc w:val="both"/>
        <w:rPr>
          <w:rFonts w:ascii="Times New Roman" w:hAnsi="Times New Roman" w:cs="Times New Roman"/>
          <w:b/>
          <w:bCs/>
          <w:sz w:val="24"/>
          <w:szCs w:val="24"/>
        </w:rPr>
      </w:pPr>
      <w:r w:rsidRPr="00A837D2">
        <w:rPr>
          <w:rFonts w:ascii="Times New Roman" w:hAnsi="Times New Roman" w:cs="Times New Roman"/>
          <w:b/>
          <w:bCs/>
          <w:sz w:val="24"/>
          <w:szCs w:val="24"/>
        </w:rPr>
        <w:t>(10 articles supplémentaires à ajouter après lecture)</w:t>
      </w:r>
    </w:p>
    <w:p w:rsidR="000030F6" w:rsidRPr="002576B7" w:rsidRDefault="00C075A5" w:rsidP="00E0381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 de la situation politico-économique, sécuritaire et du système éducatif Malien</w:t>
      </w:r>
    </w:p>
    <w:p w:rsidR="008700E7" w:rsidRPr="002576B7" w:rsidRDefault="008700E7" w:rsidP="00127189">
      <w:pPr>
        <w:spacing w:line="360" w:lineRule="auto"/>
        <w:jc w:val="both"/>
        <w:rPr>
          <w:rFonts w:ascii="Times New Roman" w:hAnsi="Times New Roman" w:cs="Times New Roman"/>
          <w:sz w:val="24"/>
          <w:szCs w:val="24"/>
        </w:rPr>
      </w:pPr>
      <w:r w:rsidRPr="002576B7">
        <w:rPr>
          <w:rFonts w:ascii="Times New Roman" w:hAnsi="Times New Roman" w:cs="Times New Roman"/>
          <w:sz w:val="24"/>
          <w:szCs w:val="24"/>
        </w:rPr>
        <w:t xml:space="preserve">Le </w:t>
      </w:r>
      <w:r w:rsidR="005C1B32" w:rsidRPr="002576B7">
        <w:rPr>
          <w:rFonts w:ascii="Times New Roman" w:hAnsi="Times New Roman" w:cs="Times New Roman"/>
          <w:sz w:val="24"/>
          <w:szCs w:val="24"/>
        </w:rPr>
        <w:t>M</w:t>
      </w:r>
      <w:r w:rsidRPr="002576B7">
        <w:rPr>
          <w:rFonts w:ascii="Times New Roman" w:hAnsi="Times New Roman" w:cs="Times New Roman"/>
          <w:sz w:val="24"/>
          <w:szCs w:val="24"/>
        </w:rPr>
        <w:t>ali est un pays d’Afrique subsaharienne, membre de la communauté économique des Etats d’Afrique de l’Ouest,</w:t>
      </w:r>
      <w:r w:rsidR="005C1B32" w:rsidRPr="002576B7">
        <w:rPr>
          <w:rFonts w:ascii="Times New Roman" w:hAnsi="Times New Roman" w:cs="Times New Roman"/>
          <w:sz w:val="24"/>
          <w:szCs w:val="24"/>
        </w:rPr>
        <w:t xml:space="preserve"> bordé au nord par l’Algérie, à l’Est par le Niger, au sud par la Côte d’Ivoire, au sud-Ouest par la Guinée et le Sénégal et à l’ouest par la Mauritanie</w:t>
      </w:r>
      <w:r w:rsidR="0095673E" w:rsidRPr="002576B7">
        <w:rPr>
          <w:rFonts w:ascii="Times New Roman" w:hAnsi="Times New Roman" w:cs="Times New Roman"/>
          <w:sz w:val="24"/>
          <w:szCs w:val="24"/>
        </w:rPr>
        <w:t>. Il couvre une superficie d</w:t>
      </w:r>
      <w:r w:rsidR="009A06B6">
        <w:rPr>
          <w:rFonts w:ascii="Times New Roman" w:hAnsi="Times New Roman" w:cs="Times New Roman"/>
          <w:sz w:val="24"/>
          <w:szCs w:val="24"/>
        </w:rPr>
        <w:t>’environ</w:t>
      </w:r>
      <w:r w:rsidR="00127189" w:rsidRPr="002576B7">
        <w:rPr>
          <w:rFonts w:ascii="Times New Roman" w:hAnsi="Times New Roman" w:cs="Times New Roman"/>
          <w:sz w:val="24"/>
          <w:szCs w:val="24"/>
        </w:rPr>
        <w:t xml:space="preserve"> 1</w:t>
      </w:r>
      <w:r w:rsidR="000B6A65">
        <w:rPr>
          <w:rFonts w:ascii="Times New Roman" w:hAnsi="Times New Roman" w:cs="Times New Roman"/>
          <w:sz w:val="24"/>
          <w:szCs w:val="24"/>
        </w:rPr>
        <w:t> .</w:t>
      </w:r>
      <w:r w:rsidR="00127189" w:rsidRPr="002576B7">
        <w:rPr>
          <w:rFonts w:ascii="Times New Roman" w:hAnsi="Times New Roman" w:cs="Times New Roman"/>
          <w:sz w:val="24"/>
          <w:szCs w:val="24"/>
        </w:rPr>
        <w:t>24</w:t>
      </w:r>
      <w:r w:rsidR="000B6A65">
        <w:rPr>
          <w:rFonts w:ascii="Times New Roman" w:hAnsi="Times New Roman" w:cs="Times New Roman"/>
          <w:sz w:val="24"/>
          <w:szCs w:val="24"/>
        </w:rPr>
        <w:t>1.248</w:t>
      </w:r>
      <w:r w:rsidR="000B6A65" w:rsidRPr="002576B7">
        <w:rPr>
          <w:rFonts w:ascii="Times New Roman" w:hAnsi="Times New Roman" w:cs="Times New Roman"/>
          <w:sz w:val="24"/>
          <w:szCs w:val="24"/>
        </w:rPr>
        <w:t xml:space="preserve"> km</w:t>
      </w:r>
      <w:r w:rsidR="00EE78F9" w:rsidRPr="002576B7">
        <w:rPr>
          <w:rFonts w:ascii="Times New Roman" w:hAnsi="Times New Roman" w:cs="Times New Roman"/>
          <w:sz w:val="24"/>
          <w:szCs w:val="24"/>
        </w:rPr>
        <w:t>²</w:t>
      </w:r>
      <w:r w:rsidR="00127189" w:rsidRPr="002576B7">
        <w:rPr>
          <w:rFonts w:ascii="Times New Roman" w:hAnsi="Times New Roman" w:cs="Times New Roman"/>
          <w:sz w:val="24"/>
          <w:szCs w:val="24"/>
        </w:rPr>
        <w:t xml:space="preserve"> </w:t>
      </w:r>
      <w:r w:rsidR="000E5F8B">
        <w:rPr>
          <w:rFonts w:ascii="Times New Roman" w:hAnsi="Times New Roman" w:cs="Times New Roman"/>
          <w:sz w:val="24"/>
          <w:szCs w:val="24"/>
        </w:rPr>
        <w:t xml:space="preserve">avec une population </w:t>
      </w:r>
      <w:r w:rsidR="009A06B6">
        <w:rPr>
          <w:rFonts w:ascii="Times New Roman" w:hAnsi="Times New Roman" w:cs="Times New Roman"/>
          <w:sz w:val="24"/>
          <w:szCs w:val="24"/>
        </w:rPr>
        <w:t>estimée à 19,4 millions d’habitants en 2018 dont 50,4% de femmes et 49,6% d’hommes (Profil du dividende démographique, DNP,2017)</w:t>
      </w:r>
      <w:r w:rsidR="000B6A65">
        <w:rPr>
          <w:rFonts w:ascii="Times New Roman" w:hAnsi="Times New Roman" w:cs="Times New Roman"/>
          <w:sz w:val="24"/>
          <w:szCs w:val="24"/>
        </w:rPr>
        <w:t>. La population malienne, à l’instar des pays d’Afrique subsaharienne, a une population majoritairement jeune. En effet, le rapport sur le profil démographique au Mali (MATP/ Projet SWEED,2017) estime à 48,8% la population âgée de moins de 15 ans</w:t>
      </w:r>
      <w:r w:rsidR="00347ECD">
        <w:rPr>
          <w:rFonts w:ascii="Times New Roman" w:hAnsi="Times New Roman" w:cs="Times New Roman"/>
          <w:sz w:val="24"/>
          <w:szCs w:val="24"/>
        </w:rPr>
        <w:t xml:space="preserve"> et 51,2% la population en âge de travailler. En 2023, dans cette même mouvance, la population est estimée à plus de 22 millions d’habitants</w:t>
      </w:r>
      <w:r w:rsidR="00347ECD">
        <w:rPr>
          <w:rStyle w:val="Appelnotedebasdep"/>
          <w:rFonts w:ascii="Times New Roman" w:hAnsi="Times New Roman" w:cs="Times New Roman"/>
          <w:sz w:val="24"/>
          <w:szCs w:val="24"/>
        </w:rPr>
        <w:footnoteReference w:id="1"/>
      </w:r>
      <w:r w:rsidR="00347ECD">
        <w:rPr>
          <w:rFonts w:ascii="Times New Roman" w:hAnsi="Times New Roman" w:cs="Times New Roman"/>
          <w:sz w:val="24"/>
          <w:szCs w:val="24"/>
        </w:rPr>
        <w:t>.</w:t>
      </w:r>
    </w:p>
    <w:p w:rsidR="00B107F1" w:rsidRDefault="00F95427"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Le Mali est un vaste pays du sahel, avec une grande population, majoritairement jeune et avec une démographie galopante.</w:t>
      </w:r>
      <w:r w:rsidR="008C0E91">
        <w:rPr>
          <w:rFonts w:ascii="Times New Roman" w:hAnsi="Times New Roman" w:cs="Times New Roman"/>
          <w:sz w:val="24"/>
          <w:szCs w:val="24"/>
        </w:rPr>
        <w:t xml:space="preserve"> Le taux de croissance démographique est passé de 2,92% en 2012 à 3,17% en 2018 pour avoisiner les 3,16% en 2021 (WDI, 2020).</w:t>
      </w:r>
      <w:r>
        <w:rPr>
          <w:rFonts w:ascii="Times New Roman" w:hAnsi="Times New Roman" w:cs="Times New Roman"/>
          <w:sz w:val="24"/>
          <w:szCs w:val="24"/>
        </w:rPr>
        <w:t xml:space="preserve"> Il fait face à de nombreux défis, économiques, politiques et sécuritaires depuis de nombreuses années.</w:t>
      </w:r>
    </w:p>
    <w:p w:rsidR="005C3A7E" w:rsidRDefault="00F95427"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 situation économique du pays est marquée par un taux de croissance relativement</w:t>
      </w:r>
      <w:r w:rsidR="00A56729">
        <w:rPr>
          <w:rFonts w:ascii="Times New Roman" w:hAnsi="Times New Roman" w:cs="Times New Roman"/>
          <w:sz w:val="24"/>
          <w:szCs w:val="24"/>
        </w:rPr>
        <w:t xml:space="preserve"> faible </w:t>
      </w:r>
      <w:r w:rsidR="002C71E7">
        <w:rPr>
          <w:rFonts w:ascii="Times New Roman" w:hAnsi="Times New Roman" w:cs="Times New Roman"/>
          <w:sz w:val="24"/>
          <w:szCs w:val="24"/>
        </w:rPr>
        <w:t>3,05% en 2021 (WDI,2020)</w:t>
      </w:r>
      <w:r w:rsidR="00033F59">
        <w:rPr>
          <w:rFonts w:ascii="Times New Roman" w:hAnsi="Times New Roman" w:cs="Times New Roman"/>
          <w:sz w:val="24"/>
          <w:szCs w:val="24"/>
        </w:rPr>
        <w:t xml:space="preserve"> et un indice de pauvreté évalué à 42,1% en 2018 (EHCVM, 2018</w:t>
      </w:r>
      <w:r w:rsidR="007A2FB2">
        <w:rPr>
          <w:rFonts w:ascii="Times New Roman" w:hAnsi="Times New Roman" w:cs="Times New Roman"/>
          <w:sz w:val="24"/>
          <w:szCs w:val="24"/>
        </w:rPr>
        <w:t>-2019</w:t>
      </w:r>
      <w:r w:rsidR="00033F59">
        <w:rPr>
          <w:rFonts w:ascii="Times New Roman" w:hAnsi="Times New Roman" w:cs="Times New Roman"/>
          <w:sz w:val="24"/>
          <w:szCs w:val="24"/>
        </w:rPr>
        <w:t>).</w:t>
      </w:r>
      <w:r w:rsidR="00CA717A">
        <w:rPr>
          <w:rFonts w:ascii="Times New Roman" w:hAnsi="Times New Roman" w:cs="Times New Roman"/>
          <w:sz w:val="24"/>
          <w:szCs w:val="24"/>
        </w:rPr>
        <w:t xml:space="preserve"> La profondeur de la pauvreté, marquant le déficit moyen par rapport à la ligne de pauvreté (</w:t>
      </w:r>
      <w:r w:rsidR="001E02EC">
        <w:rPr>
          <w:rFonts w:ascii="Times New Roman" w:hAnsi="Times New Roman" w:cs="Times New Roman"/>
          <w:sz w:val="24"/>
          <w:szCs w:val="24"/>
        </w:rPr>
        <w:t>266 485 FCFA</w:t>
      </w:r>
      <w:r w:rsidR="00CA717A">
        <w:rPr>
          <w:rFonts w:ascii="Times New Roman" w:hAnsi="Times New Roman" w:cs="Times New Roman"/>
          <w:sz w:val="24"/>
          <w:szCs w:val="24"/>
        </w:rPr>
        <w:t>)</w:t>
      </w:r>
      <w:r w:rsidR="001E02EC">
        <w:rPr>
          <w:rFonts w:ascii="Times New Roman" w:hAnsi="Times New Roman" w:cs="Times New Roman"/>
          <w:sz w:val="24"/>
          <w:szCs w:val="24"/>
        </w:rPr>
        <w:t>,</w:t>
      </w:r>
      <w:r w:rsidR="00CA717A">
        <w:rPr>
          <w:rFonts w:ascii="Times New Roman" w:hAnsi="Times New Roman" w:cs="Times New Roman"/>
          <w:sz w:val="24"/>
          <w:szCs w:val="24"/>
        </w:rPr>
        <w:t xml:space="preserve"> est estimé à 11,7¨% tandis que la sévérité de la pauvreté est de 4,6%. L’on constate</w:t>
      </w:r>
      <w:r w:rsidR="00FB33B1">
        <w:rPr>
          <w:rFonts w:ascii="Times New Roman" w:hAnsi="Times New Roman" w:cs="Times New Roman"/>
          <w:sz w:val="24"/>
          <w:szCs w:val="24"/>
        </w:rPr>
        <w:t xml:space="preserve"> une inégalité de la répartition </w:t>
      </w:r>
      <w:r w:rsidR="00D24824">
        <w:rPr>
          <w:rFonts w:ascii="Times New Roman" w:hAnsi="Times New Roman" w:cs="Times New Roman"/>
          <w:sz w:val="24"/>
          <w:szCs w:val="24"/>
        </w:rPr>
        <w:t xml:space="preserve">spatiale </w:t>
      </w:r>
      <w:r w:rsidR="00FB33B1">
        <w:rPr>
          <w:rFonts w:ascii="Times New Roman" w:hAnsi="Times New Roman" w:cs="Times New Roman"/>
          <w:sz w:val="24"/>
          <w:szCs w:val="24"/>
        </w:rPr>
        <w:t>de</w:t>
      </w:r>
      <w:r w:rsidR="00D24824">
        <w:rPr>
          <w:rFonts w:ascii="Times New Roman" w:hAnsi="Times New Roman" w:cs="Times New Roman"/>
          <w:sz w:val="24"/>
          <w:szCs w:val="24"/>
        </w:rPr>
        <w:t xml:space="preserve"> la pauvreté qui est plus prononcé dans le milieu rural (50,5%) contre 18,2% dans le milieu urbain. On observe cette même tendance avec les indices de profondeur</w:t>
      </w:r>
      <w:r w:rsidR="00D46251">
        <w:rPr>
          <w:rFonts w:ascii="Times New Roman" w:hAnsi="Times New Roman" w:cs="Times New Roman"/>
          <w:sz w:val="24"/>
          <w:szCs w:val="24"/>
        </w:rPr>
        <w:t xml:space="preserve"> et de sévérité de la pauvreté qui sont de 5,7%, 14,4% et 2%,</w:t>
      </w:r>
      <w:r w:rsidR="009D5D22">
        <w:rPr>
          <w:rFonts w:ascii="Times New Roman" w:hAnsi="Times New Roman" w:cs="Times New Roman"/>
          <w:sz w:val="24"/>
          <w:szCs w:val="24"/>
        </w:rPr>
        <w:t xml:space="preserve"> </w:t>
      </w:r>
      <w:r w:rsidR="00D46251">
        <w:rPr>
          <w:rFonts w:ascii="Times New Roman" w:hAnsi="Times New Roman" w:cs="Times New Roman"/>
          <w:sz w:val="24"/>
          <w:szCs w:val="24"/>
        </w:rPr>
        <w:t>4,4% respectivement pour le milieu rural et le milieu urbain.</w:t>
      </w:r>
      <w:r w:rsidR="00D24824">
        <w:rPr>
          <w:rFonts w:ascii="Times New Roman" w:hAnsi="Times New Roman" w:cs="Times New Roman"/>
          <w:sz w:val="24"/>
          <w:szCs w:val="24"/>
        </w:rPr>
        <w:t xml:space="preserve"> </w:t>
      </w:r>
      <w:r w:rsidR="00747575">
        <w:rPr>
          <w:rFonts w:ascii="Times New Roman" w:hAnsi="Times New Roman" w:cs="Times New Roman"/>
          <w:sz w:val="24"/>
          <w:szCs w:val="24"/>
        </w:rPr>
        <w:t>L’incidence de la pauvreté varie également d’une région à une région</w:t>
      </w:r>
      <w:r w:rsidR="00B57690">
        <w:rPr>
          <w:rFonts w:ascii="Times New Roman" w:hAnsi="Times New Roman" w:cs="Times New Roman"/>
          <w:sz w:val="24"/>
          <w:szCs w:val="24"/>
        </w:rPr>
        <w:t xml:space="preserve"> à une autre. Les régions de Kidal enregistrent les taux les plus faibles, compris entre 4,5% et 11,80%, il s’en suit les régions de Kayes et de Koulikoro dans laquelle se trouve la capitale Bamako avec un taux modéré compris entre 11,6% et 33,60%. Deux grandes zones enregistrent des taux de pauvreté relativement élevés. Il s’agit de </w:t>
      </w:r>
      <w:r w:rsidR="00260B80">
        <w:rPr>
          <w:rFonts w:ascii="Times New Roman" w:hAnsi="Times New Roman" w:cs="Times New Roman"/>
          <w:sz w:val="24"/>
          <w:szCs w:val="24"/>
        </w:rPr>
        <w:t xml:space="preserve">Gao (42,7%) et </w:t>
      </w:r>
      <w:r w:rsidR="00176E82">
        <w:rPr>
          <w:rFonts w:ascii="Times New Roman" w:hAnsi="Times New Roman" w:cs="Times New Roman"/>
          <w:sz w:val="24"/>
          <w:szCs w:val="24"/>
        </w:rPr>
        <w:t>Tombouctou</w:t>
      </w:r>
      <w:r w:rsidR="00260B80">
        <w:rPr>
          <w:rFonts w:ascii="Times New Roman" w:hAnsi="Times New Roman" w:cs="Times New Roman"/>
          <w:sz w:val="24"/>
          <w:szCs w:val="24"/>
        </w:rPr>
        <w:t xml:space="preserve"> (46,8%) dans un premier temps et de Ségou (52,6%),</w:t>
      </w:r>
      <w:r w:rsidR="00777B00">
        <w:rPr>
          <w:rFonts w:ascii="Times New Roman" w:hAnsi="Times New Roman" w:cs="Times New Roman"/>
          <w:sz w:val="24"/>
          <w:szCs w:val="24"/>
        </w:rPr>
        <w:t xml:space="preserve"> Mopti (57,1%) et finalement Sikasso qui enregistre le taux de pauvreté le plus élevé qui est de 59% soit près de six personnes sur 10 </w:t>
      </w:r>
      <w:r w:rsidR="00D30ABF">
        <w:rPr>
          <w:rFonts w:ascii="Times New Roman" w:hAnsi="Times New Roman" w:cs="Times New Roman"/>
          <w:sz w:val="24"/>
          <w:szCs w:val="24"/>
        </w:rPr>
        <w:t>vivants</w:t>
      </w:r>
      <w:r w:rsidR="00777B00">
        <w:rPr>
          <w:rFonts w:ascii="Times New Roman" w:hAnsi="Times New Roman" w:cs="Times New Roman"/>
          <w:sz w:val="24"/>
          <w:szCs w:val="24"/>
        </w:rPr>
        <w:t xml:space="preserve"> en dessous du seuil de pauvreté dans cette région.</w:t>
      </w:r>
      <w:r w:rsidR="0064593C">
        <w:rPr>
          <w:rFonts w:ascii="Times New Roman" w:hAnsi="Times New Roman" w:cs="Times New Roman"/>
          <w:sz w:val="24"/>
          <w:szCs w:val="24"/>
        </w:rPr>
        <w:t xml:space="preserve"> En analysant la pauvreté selon le statut du chef de ménage, il ressort que la pauvreté affecte davantage les ménages dont le chef de ménage est analphabète (53,9%) et exerçant dans les secteurs agricoles (58,4%) et de l’élevage ou la pêche (40,4%).</w:t>
      </w:r>
    </w:p>
    <w:p w:rsidR="00BC6B12" w:rsidRPr="00777B00" w:rsidRDefault="00BC6B12"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En ce qui concerne la situation de l’emploi, il observe un regain du chômage avec un taux de chômage passant de 1,62% à 2,76% sur la période 2018-2022, reflet des conséquences néfastes de la Covid-19 et de ces différentes restrictions.</w:t>
      </w:r>
      <w:r w:rsidR="00280C08">
        <w:rPr>
          <w:rFonts w:ascii="Times New Roman" w:hAnsi="Times New Roman" w:cs="Times New Roman"/>
          <w:sz w:val="24"/>
          <w:szCs w:val="24"/>
        </w:rPr>
        <w:t xml:space="preserve"> Le chômage a pendant longtemps plus élevé chez les hommes que les femmes depuis 2007.</w:t>
      </w:r>
      <w:r w:rsidR="00552BE9">
        <w:rPr>
          <w:rFonts w:ascii="Times New Roman" w:hAnsi="Times New Roman" w:cs="Times New Roman"/>
          <w:sz w:val="24"/>
          <w:szCs w:val="24"/>
        </w:rPr>
        <w:t xml:space="preserve"> Cependant, depuis 2020, on observe une dynamique inversée avec le taux de chômage f</w:t>
      </w:r>
      <w:r w:rsidR="00A01293">
        <w:rPr>
          <w:rFonts w:ascii="Times New Roman" w:hAnsi="Times New Roman" w:cs="Times New Roman"/>
          <w:sz w:val="24"/>
          <w:szCs w:val="24"/>
        </w:rPr>
        <w:t>éminin passant de 3,542%</w:t>
      </w:r>
      <w:r w:rsidR="001E0283">
        <w:rPr>
          <w:rFonts w:ascii="Times New Roman" w:hAnsi="Times New Roman" w:cs="Times New Roman"/>
          <w:sz w:val="24"/>
          <w:szCs w:val="24"/>
        </w:rPr>
        <w:t xml:space="preserve"> à 2,796 % contre 3,522% et 2,739% pour les hommes sur la période 2020-2022.</w:t>
      </w:r>
      <w:r w:rsidR="001E0283">
        <w:rPr>
          <w:rStyle w:val="Appelnotedebasdep"/>
          <w:rFonts w:ascii="Times New Roman" w:hAnsi="Times New Roman" w:cs="Times New Roman"/>
          <w:sz w:val="24"/>
          <w:szCs w:val="24"/>
        </w:rPr>
        <w:footnoteReference w:id="2"/>
      </w:r>
    </w:p>
    <w:p w:rsidR="00D30ABF" w:rsidRDefault="00D30ABF" w:rsidP="00E0381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Situation politique et sécuritaire au Mali</w:t>
      </w:r>
      <w:r w:rsidR="00176E82">
        <w:rPr>
          <w:rFonts w:ascii="Times New Roman" w:hAnsi="Times New Roman" w:cs="Times New Roman"/>
          <w:b/>
          <w:bCs/>
          <w:sz w:val="24"/>
          <w:szCs w:val="24"/>
        </w:rPr>
        <w:t> : Entre instabilité politique et menace terroriste</w:t>
      </w:r>
    </w:p>
    <w:p w:rsidR="00280C08" w:rsidRDefault="004A16A2"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Le Mali, ancienne colonie française, indépendante le 22 septembre 1960, a connu depuis lors des moments de soubresauts, d’instabilité qui ont jalonnés son histoire politique.</w:t>
      </w:r>
      <w:r>
        <w:rPr>
          <w:rFonts w:ascii="Times New Roman" w:hAnsi="Times New Roman" w:cs="Times New Roman"/>
          <w:b/>
          <w:bCs/>
          <w:sz w:val="24"/>
          <w:szCs w:val="24"/>
        </w:rPr>
        <w:t xml:space="preserve"> </w:t>
      </w:r>
      <w:r w:rsidR="003D3A57">
        <w:rPr>
          <w:rFonts w:ascii="Times New Roman" w:hAnsi="Times New Roman" w:cs="Times New Roman"/>
          <w:sz w:val="24"/>
          <w:szCs w:val="24"/>
        </w:rPr>
        <w:t>Pour raison de clarté, nous allons scinder notre analyse en considérant deux axes temporels. Le premier axe va de l’indépendance à 2011 puis le second de 2012 à 2023.</w:t>
      </w:r>
    </w:p>
    <w:p w:rsidR="003D3A57" w:rsidRDefault="003D3A57" w:rsidP="003D3A57">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Premier axe temporel : de 1960 à 2011</w:t>
      </w:r>
      <w:r w:rsidR="002D027E">
        <w:rPr>
          <w:rStyle w:val="Appelnotedebasdep"/>
          <w:rFonts w:ascii="Times New Roman" w:hAnsi="Times New Roman" w:cs="Times New Roman"/>
          <w:sz w:val="24"/>
          <w:szCs w:val="24"/>
        </w:rPr>
        <w:footnoteReference w:id="3"/>
      </w:r>
    </w:p>
    <w:p w:rsidR="003D3A57" w:rsidRDefault="003701B0" w:rsidP="003D3A57">
      <w:pPr>
        <w:spacing w:line="360" w:lineRule="auto"/>
        <w:jc w:val="both"/>
        <w:rPr>
          <w:rFonts w:ascii="Times New Roman" w:hAnsi="Times New Roman" w:cs="Times New Roman"/>
          <w:sz w:val="24"/>
          <w:szCs w:val="24"/>
        </w:rPr>
      </w:pPr>
      <w:r>
        <w:rPr>
          <w:rFonts w:ascii="Times New Roman" w:hAnsi="Times New Roman" w:cs="Times New Roman"/>
          <w:sz w:val="24"/>
          <w:szCs w:val="24"/>
        </w:rPr>
        <w:t>Depuis</w:t>
      </w:r>
      <w:r w:rsidR="003D3A57">
        <w:rPr>
          <w:rFonts w:ascii="Times New Roman" w:hAnsi="Times New Roman" w:cs="Times New Roman"/>
          <w:sz w:val="24"/>
          <w:szCs w:val="24"/>
        </w:rPr>
        <w:t xml:space="preserve"> 1946, le </w:t>
      </w:r>
      <w:r>
        <w:rPr>
          <w:rFonts w:ascii="Times New Roman" w:hAnsi="Times New Roman" w:cs="Times New Roman"/>
          <w:sz w:val="24"/>
          <w:szCs w:val="24"/>
        </w:rPr>
        <w:t>M</w:t>
      </w:r>
      <w:r w:rsidR="003D3A57">
        <w:rPr>
          <w:rFonts w:ascii="Times New Roman" w:hAnsi="Times New Roman" w:cs="Times New Roman"/>
          <w:sz w:val="24"/>
          <w:szCs w:val="24"/>
        </w:rPr>
        <w:t>ali, anciennement Soudan français était membre de l’Afrique Occidentale Française</w:t>
      </w:r>
      <w:r>
        <w:rPr>
          <w:rFonts w:ascii="Times New Roman" w:hAnsi="Times New Roman" w:cs="Times New Roman"/>
          <w:sz w:val="24"/>
          <w:szCs w:val="24"/>
        </w:rPr>
        <w:t>. Elle vécut de ce fait une forme de multipartisme. A l’issu des élections de 1957 et 1959, l’on accéda à un parti unique socialiste dirigé par Modibo Keita</w:t>
      </w:r>
      <w:r w:rsidR="00161F2F">
        <w:rPr>
          <w:rFonts w:ascii="Times New Roman" w:hAnsi="Times New Roman" w:cs="Times New Roman"/>
          <w:sz w:val="24"/>
          <w:szCs w:val="24"/>
        </w:rPr>
        <w:t>. Avec des idées socialistes et de développement accueillies par la population au départ, on arrive seulement en 1962 à la dérive du gouvernement au pouvoir. La désillusion économique, taux de croissance de PNB inférieure à 5%, la réprimande</w:t>
      </w:r>
      <w:r w:rsidR="00332C95">
        <w:rPr>
          <w:rFonts w:ascii="Times New Roman" w:hAnsi="Times New Roman" w:cs="Times New Roman"/>
          <w:sz w:val="24"/>
          <w:szCs w:val="24"/>
        </w:rPr>
        <w:t xml:space="preserve"> violente à l’encontre des manifestations Touareg (1962), la condamnation à mort ou l’emprisonnement des opposants Kassoum Touré, </w:t>
      </w:r>
      <w:proofErr w:type="spellStart"/>
      <w:r w:rsidR="00332C95">
        <w:rPr>
          <w:rFonts w:ascii="Times New Roman" w:hAnsi="Times New Roman" w:cs="Times New Roman"/>
          <w:sz w:val="24"/>
          <w:szCs w:val="24"/>
        </w:rPr>
        <w:t>Fily</w:t>
      </w:r>
      <w:proofErr w:type="spellEnd"/>
      <w:r w:rsidR="00332C95">
        <w:rPr>
          <w:rFonts w:ascii="Times New Roman" w:hAnsi="Times New Roman" w:cs="Times New Roman"/>
          <w:sz w:val="24"/>
          <w:szCs w:val="24"/>
        </w:rPr>
        <w:t xml:space="preserve"> Dabo et </w:t>
      </w:r>
      <w:proofErr w:type="spellStart"/>
      <w:r w:rsidR="00332C95">
        <w:rPr>
          <w:rFonts w:ascii="Times New Roman" w:hAnsi="Times New Roman" w:cs="Times New Roman"/>
          <w:sz w:val="24"/>
          <w:szCs w:val="24"/>
        </w:rPr>
        <w:t>Hammadoun</w:t>
      </w:r>
      <w:proofErr w:type="spellEnd"/>
      <w:r w:rsidR="00332C95">
        <w:rPr>
          <w:rFonts w:ascii="Times New Roman" w:hAnsi="Times New Roman" w:cs="Times New Roman"/>
          <w:sz w:val="24"/>
          <w:szCs w:val="24"/>
        </w:rPr>
        <w:t xml:space="preserve"> Dicko, a conduit au </w:t>
      </w:r>
      <w:r w:rsidR="00332C95" w:rsidRPr="00E9496A">
        <w:rPr>
          <w:rFonts w:ascii="Times New Roman" w:hAnsi="Times New Roman" w:cs="Times New Roman"/>
          <w:b/>
          <w:bCs/>
          <w:sz w:val="24"/>
          <w:szCs w:val="24"/>
        </w:rPr>
        <w:t>premier coup d’état</w:t>
      </w:r>
      <w:r w:rsidR="00332C95">
        <w:rPr>
          <w:rFonts w:ascii="Times New Roman" w:hAnsi="Times New Roman" w:cs="Times New Roman"/>
          <w:sz w:val="24"/>
          <w:szCs w:val="24"/>
        </w:rPr>
        <w:t xml:space="preserve"> qui conduira à l’accession au pouvoir du lieutenant </w:t>
      </w:r>
      <w:r w:rsidR="00332C95" w:rsidRPr="00332C95">
        <w:rPr>
          <w:rFonts w:ascii="Times New Roman" w:hAnsi="Times New Roman" w:cs="Times New Roman"/>
          <w:b/>
          <w:bCs/>
          <w:sz w:val="24"/>
          <w:szCs w:val="24"/>
        </w:rPr>
        <w:t>Moussa Traoré</w:t>
      </w:r>
      <w:r w:rsidR="00332C95">
        <w:rPr>
          <w:rFonts w:ascii="Times New Roman" w:hAnsi="Times New Roman" w:cs="Times New Roman"/>
          <w:sz w:val="24"/>
          <w:szCs w:val="24"/>
        </w:rPr>
        <w:t xml:space="preserve"> le 19 novembre 1968.</w:t>
      </w:r>
    </w:p>
    <w:p w:rsidR="003701B0" w:rsidRPr="008356D1" w:rsidRDefault="002043CE"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mauvaise gouvernance, un régime autoritaire combiné à un bilan économique sombre, la grande sécheresse de 1972-1973 et les repressions à l’encontre des populations ont également conduit à la fin de la dictature militaire </w:t>
      </w:r>
      <w:r w:rsidR="00E9496A" w:rsidRPr="00E9496A">
        <w:rPr>
          <w:rFonts w:ascii="Times New Roman" w:hAnsi="Times New Roman" w:cs="Times New Roman"/>
          <w:b/>
          <w:bCs/>
          <w:sz w:val="24"/>
          <w:szCs w:val="24"/>
        </w:rPr>
        <w:t>par un coup d’état militaire</w:t>
      </w:r>
      <w:r w:rsidR="00E9496A">
        <w:rPr>
          <w:rFonts w:ascii="Times New Roman" w:hAnsi="Times New Roman" w:cs="Times New Roman"/>
          <w:sz w:val="24"/>
          <w:szCs w:val="24"/>
        </w:rPr>
        <w:t xml:space="preserve"> mené par Lieutenant-colonel Amadou Toumani Touré (ATT) le 26 mars 1991.</w:t>
      </w:r>
      <w:r w:rsidR="003622A2">
        <w:rPr>
          <w:rFonts w:ascii="Times New Roman" w:hAnsi="Times New Roman" w:cs="Times New Roman"/>
          <w:sz w:val="24"/>
          <w:szCs w:val="24"/>
        </w:rPr>
        <w:t xml:space="preserve"> Il présida le </w:t>
      </w:r>
      <w:r w:rsidR="002420C1">
        <w:rPr>
          <w:rFonts w:ascii="Times New Roman" w:hAnsi="Times New Roman" w:cs="Times New Roman"/>
          <w:sz w:val="24"/>
          <w:szCs w:val="24"/>
        </w:rPr>
        <w:t>comité de transition jusqu’au 8 juin 1992</w:t>
      </w:r>
      <w:r w:rsidR="000E31F1">
        <w:rPr>
          <w:rFonts w:ascii="Times New Roman" w:hAnsi="Times New Roman" w:cs="Times New Roman"/>
          <w:sz w:val="24"/>
          <w:szCs w:val="24"/>
        </w:rPr>
        <w:t xml:space="preserve">, date </w:t>
      </w:r>
      <w:r w:rsidR="002420C1">
        <w:rPr>
          <w:rFonts w:ascii="Times New Roman" w:hAnsi="Times New Roman" w:cs="Times New Roman"/>
          <w:sz w:val="24"/>
          <w:szCs w:val="24"/>
        </w:rPr>
        <w:t xml:space="preserve">à partir </w:t>
      </w:r>
      <w:r w:rsidR="000E31F1">
        <w:rPr>
          <w:rFonts w:ascii="Times New Roman" w:hAnsi="Times New Roman" w:cs="Times New Roman"/>
          <w:sz w:val="24"/>
          <w:szCs w:val="24"/>
        </w:rPr>
        <w:t>de laquelle</w:t>
      </w:r>
      <w:r w:rsidR="002420C1">
        <w:rPr>
          <w:rFonts w:ascii="Times New Roman" w:hAnsi="Times New Roman" w:cs="Times New Roman"/>
          <w:sz w:val="24"/>
          <w:szCs w:val="24"/>
        </w:rPr>
        <w:t xml:space="preserve"> Alpha Oumar</w:t>
      </w:r>
      <w:r w:rsidR="000E31F1">
        <w:rPr>
          <w:rFonts w:ascii="Times New Roman" w:hAnsi="Times New Roman" w:cs="Times New Roman"/>
          <w:sz w:val="24"/>
          <w:szCs w:val="24"/>
        </w:rPr>
        <w:t xml:space="preserve"> Konaré devint président jusqu’en juin 2002.</w:t>
      </w:r>
      <w:r w:rsidR="005E1347">
        <w:rPr>
          <w:rFonts w:ascii="Times New Roman" w:hAnsi="Times New Roman" w:cs="Times New Roman"/>
          <w:sz w:val="24"/>
          <w:szCs w:val="24"/>
        </w:rPr>
        <w:t xml:space="preserve"> Les résultats de ces mandats ont été dans l’ensemble positifs avec notamment une augmentation du taux de croissance (5% par an), une augmentation du taux brut de scolarisation</w:t>
      </w:r>
      <w:r w:rsidR="00E46108">
        <w:rPr>
          <w:rFonts w:ascii="Times New Roman" w:hAnsi="Times New Roman" w:cs="Times New Roman"/>
          <w:b/>
          <w:bCs/>
          <w:sz w:val="24"/>
          <w:szCs w:val="24"/>
        </w:rPr>
        <w:t xml:space="preserve"> </w:t>
      </w:r>
      <w:r w:rsidR="00E46108">
        <w:rPr>
          <w:rFonts w:ascii="Times New Roman" w:hAnsi="Times New Roman" w:cs="Times New Roman"/>
          <w:sz w:val="24"/>
          <w:szCs w:val="24"/>
        </w:rPr>
        <w:t>et autres indicateurs macroéconomiques. Toutefois, les manifestations populaires et revendications syndicales ont conduit à sa défaite lors des élections suivantes.</w:t>
      </w:r>
      <w:r w:rsidR="00BC2D1F">
        <w:rPr>
          <w:rFonts w:ascii="Times New Roman" w:hAnsi="Times New Roman" w:cs="Times New Roman"/>
          <w:sz w:val="24"/>
          <w:szCs w:val="24"/>
        </w:rPr>
        <w:t xml:space="preserve"> Il s’en suit une nouvelle ère avec le retour d’Amadou Toumani Touré sous</w:t>
      </w:r>
      <w:r w:rsidR="00256B15">
        <w:rPr>
          <w:rFonts w:ascii="Times New Roman" w:hAnsi="Times New Roman" w:cs="Times New Roman"/>
          <w:sz w:val="24"/>
          <w:szCs w:val="24"/>
        </w:rPr>
        <w:t xml:space="preserve"> l’auspice du consensus et de l’unité nationale.</w:t>
      </w:r>
      <w:r w:rsidR="001533A1">
        <w:rPr>
          <w:rFonts w:ascii="Times New Roman" w:hAnsi="Times New Roman" w:cs="Times New Roman"/>
          <w:sz w:val="24"/>
          <w:szCs w:val="24"/>
        </w:rPr>
        <w:t xml:space="preserve"> Le président Amadou Toumani Touré fit deux mandats qu’il plaça sous l’égide, comme il l’avait martelé, du consensus national. Toutefois, à la fin de son second mandat, le mécontentement du Nord et les violences que cela a engendré</w:t>
      </w:r>
      <w:r w:rsidR="004121FB">
        <w:rPr>
          <w:rFonts w:ascii="Times New Roman" w:hAnsi="Times New Roman" w:cs="Times New Roman"/>
          <w:sz w:val="24"/>
          <w:szCs w:val="24"/>
        </w:rPr>
        <w:t xml:space="preserve"> a conduit malheureusement à un coup d’état</w:t>
      </w:r>
      <w:r w:rsidR="00DD0A9D">
        <w:rPr>
          <w:rFonts w:ascii="Times New Roman" w:hAnsi="Times New Roman" w:cs="Times New Roman"/>
          <w:sz w:val="24"/>
          <w:szCs w:val="24"/>
        </w:rPr>
        <w:t xml:space="preserve"> (22 mars 2</w:t>
      </w:r>
      <w:r w:rsidR="008356D1">
        <w:rPr>
          <w:rFonts w:ascii="Times New Roman" w:hAnsi="Times New Roman" w:cs="Times New Roman"/>
          <w:sz w:val="24"/>
          <w:szCs w:val="24"/>
        </w:rPr>
        <w:t>012)</w:t>
      </w:r>
      <w:r w:rsidR="004121FB">
        <w:rPr>
          <w:rFonts w:ascii="Times New Roman" w:hAnsi="Times New Roman" w:cs="Times New Roman"/>
          <w:sz w:val="24"/>
          <w:szCs w:val="24"/>
        </w:rPr>
        <w:t xml:space="preserve"> bien avant qu’il ne laisse la place à une</w:t>
      </w:r>
      <w:r w:rsidR="00F0681F">
        <w:rPr>
          <w:rFonts w:ascii="Times New Roman" w:hAnsi="Times New Roman" w:cs="Times New Roman"/>
          <w:sz w:val="24"/>
          <w:szCs w:val="24"/>
        </w:rPr>
        <w:t xml:space="preserve"> autre présidence.</w:t>
      </w:r>
    </w:p>
    <w:p w:rsidR="00E9496A" w:rsidRDefault="00256B15" w:rsidP="00256B15">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Deuxième axe temporel : A partir de 2012 : Un tournant dans la vie politique et une dégradation de la situation sécuritaire au Mali</w:t>
      </w:r>
    </w:p>
    <w:p w:rsidR="004478E5" w:rsidRDefault="002B11A8" w:rsidP="004478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coups d’états répétés, la pauvreté et la mauvaise gouvernance ont fait de ce vaste territoire sahélien </w:t>
      </w:r>
      <w:r w:rsidR="00E57F7C">
        <w:rPr>
          <w:rFonts w:ascii="Times New Roman" w:hAnsi="Times New Roman" w:cs="Times New Roman"/>
          <w:sz w:val="24"/>
          <w:szCs w:val="24"/>
        </w:rPr>
        <w:t xml:space="preserve">un refuge pour des mouvements militaires et des groupes terroristes. Il s’agit notamment du Mouvement National de Libération de l’Azawad (MNLA), du Mouvement pour </w:t>
      </w:r>
      <w:r w:rsidR="00E57F7C">
        <w:rPr>
          <w:rFonts w:ascii="Times New Roman" w:hAnsi="Times New Roman" w:cs="Times New Roman"/>
          <w:sz w:val="24"/>
          <w:szCs w:val="24"/>
        </w:rPr>
        <w:lastRenderedPageBreak/>
        <w:t>l’unicité</w:t>
      </w:r>
      <w:r w:rsidR="007D3024">
        <w:rPr>
          <w:rFonts w:ascii="Times New Roman" w:hAnsi="Times New Roman" w:cs="Times New Roman"/>
          <w:sz w:val="24"/>
          <w:szCs w:val="24"/>
        </w:rPr>
        <w:t xml:space="preserve"> et le Djihad en Afrique de l’Ouest (MUJAO), Al Quaida au Maghreb Islamique (AQMI), Ansar Dine et plus récemment Bokho Har</w:t>
      </w:r>
      <w:r w:rsidR="00C76A65">
        <w:rPr>
          <w:rFonts w:ascii="Times New Roman" w:hAnsi="Times New Roman" w:cs="Times New Roman"/>
          <w:sz w:val="24"/>
          <w:szCs w:val="24"/>
        </w:rPr>
        <w:t>a</w:t>
      </w:r>
      <w:r w:rsidR="007D3024">
        <w:rPr>
          <w:rFonts w:ascii="Times New Roman" w:hAnsi="Times New Roman" w:cs="Times New Roman"/>
          <w:sz w:val="24"/>
          <w:szCs w:val="24"/>
        </w:rPr>
        <w:t>m.</w:t>
      </w:r>
      <w:r w:rsidR="00D46BEF">
        <w:rPr>
          <w:rFonts w:ascii="Times New Roman" w:hAnsi="Times New Roman" w:cs="Times New Roman"/>
          <w:sz w:val="24"/>
          <w:szCs w:val="24"/>
        </w:rPr>
        <w:t xml:space="preserve"> </w:t>
      </w:r>
      <w:r w:rsidR="000C424F">
        <w:rPr>
          <w:rFonts w:ascii="Times New Roman" w:hAnsi="Times New Roman" w:cs="Times New Roman"/>
          <w:sz w:val="24"/>
          <w:szCs w:val="24"/>
        </w:rPr>
        <w:t>Notons que ce coup d’Etat intervient dans un contexte de mécontentement général concernant la gestion politique et surtout la mauvaise gestion de la question sécuritaire.</w:t>
      </w:r>
      <w:r w:rsidR="00C81D89">
        <w:rPr>
          <w:rFonts w:ascii="Times New Roman" w:hAnsi="Times New Roman" w:cs="Times New Roman"/>
          <w:sz w:val="24"/>
          <w:szCs w:val="24"/>
        </w:rPr>
        <w:t xml:space="preserve"> Les militaires se plaignaient des mauvaises conditions de travail et du sous équipement</w:t>
      </w:r>
      <w:r w:rsidR="00A57EA0">
        <w:rPr>
          <w:rFonts w:ascii="Times New Roman" w:hAnsi="Times New Roman" w:cs="Times New Roman"/>
          <w:sz w:val="24"/>
          <w:szCs w:val="24"/>
        </w:rPr>
        <w:t xml:space="preserve">. Ce coup d’Etat ne va toutefois pas améliorer la situation car, au vu de la faiblesse des institutions, les groupes islamiques vont marquer leurs présences territoriales </w:t>
      </w:r>
      <w:r w:rsidR="00FA2FEA">
        <w:rPr>
          <w:rFonts w:ascii="Times New Roman" w:hAnsi="Times New Roman" w:cs="Times New Roman"/>
          <w:sz w:val="24"/>
          <w:szCs w:val="24"/>
        </w:rPr>
        <w:t xml:space="preserve">ce qui conduira le MNLA à déclarer le 06 Avril 2012 l’indépendance du nord du mali, l’Azawad comme territoire indépendant et autonome, affranchi de toute tutelle étatique. En plus de cela, avec l’entrée en jeux des mouvements islamiques, une véritable tentative de prise totale du territoire sera entreprise par ces derniers, nécessitant l’intervention de l’armée française en 2013 (Opération Serval), la Mission de Maintien de la paix des Nations unies (MUNISMA) </w:t>
      </w:r>
      <w:r w:rsidR="00902740">
        <w:rPr>
          <w:rFonts w:ascii="Times New Roman" w:hAnsi="Times New Roman" w:cs="Times New Roman"/>
          <w:sz w:val="24"/>
          <w:szCs w:val="24"/>
        </w:rPr>
        <w:t>pour rétablir l’ordre dans le nord du pays.</w:t>
      </w:r>
    </w:p>
    <w:p w:rsidR="004478E5" w:rsidRDefault="00902740" w:rsidP="004478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Malgré ces interventions militaires, on observe toujours ces attaques djihadistes répétées à l’encontre des forces </w:t>
      </w:r>
      <w:r w:rsidR="00500474">
        <w:rPr>
          <w:rFonts w:ascii="Times New Roman" w:hAnsi="Times New Roman" w:cs="Times New Roman"/>
          <w:sz w:val="24"/>
          <w:szCs w:val="24"/>
        </w:rPr>
        <w:t>armées, dont</w:t>
      </w:r>
      <w:r w:rsidR="00FF6E69">
        <w:rPr>
          <w:rFonts w:ascii="Times New Roman" w:hAnsi="Times New Roman" w:cs="Times New Roman"/>
          <w:sz w:val="24"/>
          <w:szCs w:val="24"/>
        </w:rPr>
        <w:t xml:space="preserve"> la plus meurtrière est celle de Tessit</w:t>
      </w:r>
      <w:r w:rsidR="00FF6E69">
        <w:rPr>
          <w:rStyle w:val="Appelnotedebasdep"/>
          <w:rFonts w:ascii="Times New Roman" w:hAnsi="Times New Roman" w:cs="Times New Roman"/>
          <w:sz w:val="24"/>
          <w:szCs w:val="24"/>
        </w:rPr>
        <w:footnoteReference w:id="4"/>
      </w:r>
      <w:r w:rsidR="00FF6E69">
        <w:rPr>
          <w:rFonts w:ascii="Times New Roman" w:hAnsi="Times New Roman" w:cs="Times New Roman"/>
          <w:sz w:val="24"/>
          <w:szCs w:val="24"/>
        </w:rPr>
        <w:t xml:space="preserve"> (42 morts),</w:t>
      </w:r>
      <w:r>
        <w:rPr>
          <w:rFonts w:ascii="Times New Roman" w:hAnsi="Times New Roman" w:cs="Times New Roman"/>
          <w:sz w:val="24"/>
          <w:szCs w:val="24"/>
        </w:rPr>
        <w:t xml:space="preserve"> et les populations civiles.</w:t>
      </w:r>
      <w:r w:rsidR="00500474">
        <w:rPr>
          <w:rFonts w:ascii="Times New Roman" w:hAnsi="Times New Roman" w:cs="Times New Roman"/>
          <w:sz w:val="24"/>
          <w:szCs w:val="24"/>
        </w:rPr>
        <w:t xml:space="preserve"> Cette persistance de la violence montre la résilience des groupes djihadistes et marque la profondeur du conflit.</w:t>
      </w:r>
    </w:p>
    <w:p w:rsidR="00500474" w:rsidRPr="00500474" w:rsidRDefault="00500474" w:rsidP="004478E5">
      <w:pPr>
        <w:spacing w:line="360" w:lineRule="auto"/>
        <w:jc w:val="both"/>
        <w:rPr>
          <w:rFonts w:ascii="Times New Roman" w:hAnsi="Times New Roman" w:cs="Times New Roman"/>
          <w:sz w:val="24"/>
          <w:szCs w:val="24"/>
        </w:rPr>
      </w:pPr>
      <w:r>
        <w:rPr>
          <w:rFonts w:ascii="Times New Roman" w:hAnsi="Times New Roman" w:cs="Times New Roman"/>
          <w:sz w:val="24"/>
          <w:szCs w:val="24"/>
        </w:rPr>
        <w:t>En vue d’endiguer la situation, plusieurs accords de paix ont été signés entre 2012 et 2015 dont le</w:t>
      </w:r>
      <w:r w:rsidR="0001234A">
        <w:rPr>
          <w:rFonts w:ascii="Times New Roman" w:hAnsi="Times New Roman" w:cs="Times New Roman"/>
          <w:sz w:val="24"/>
          <w:szCs w:val="24"/>
        </w:rPr>
        <w:t xml:space="preserve"> principal est l’accord d’Alger pour la paix et la réconciliation au Mali en 2015.</w:t>
      </w:r>
      <w:r>
        <w:rPr>
          <w:rFonts w:ascii="Times New Roman" w:hAnsi="Times New Roman" w:cs="Times New Roman"/>
          <w:sz w:val="24"/>
          <w:szCs w:val="24"/>
        </w:rPr>
        <w:t xml:space="preserve"> </w:t>
      </w:r>
      <w:r w:rsidR="00E91634">
        <w:rPr>
          <w:rFonts w:ascii="Times New Roman" w:hAnsi="Times New Roman" w:cs="Times New Roman"/>
          <w:sz w:val="24"/>
          <w:szCs w:val="24"/>
        </w:rPr>
        <w:t>Les termes de cet accord</w:t>
      </w:r>
      <w:r w:rsidR="008F3A1D">
        <w:rPr>
          <w:rFonts w:ascii="Times New Roman" w:hAnsi="Times New Roman" w:cs="Times New Roman"/>
          <w:sz w:val="24"/>
          <w:szCs w:val="24"/>
        </w:rPr>
        <w:t xml:space="preserve"> n’ont toutefois pas été respectés</w:t>
      </w:r>
      <w:r w:rsidR="0070060B">
        <w:rPr>
          <w:rFonts w:ascii="Times New Roman" w:hAnsi="Times New Roman" w:cs="Times New Roman"/>
          <w:sz w:val="24"/>
          <w:szCs w:val="24"/>
        </w:rPr>
        <w:t xml:space="preserve"> ce qui justifie la persistance des conflits</w:t>
      </w:r>
      <w:r w:rsidR="00DA3FE8">
        <w:rPr>
          <w:rFonts w:ascii="Times New Roman" w:hAnsi="Times New Roman" w:cs="Times New Roman"/>
          <w:sz w:val="24"/>
          <w:szCs w:val="24"/>
        </w:rPr>
        <w:t xml:space="preserve"> jusque maintenant. Malgré la persistance des conflits, des élections présidentielles seront </w:t>
      </w:r>
      <w:r w:rsidR="006117D7">
        <w:rPr>
          <w:rFonts w:ascii="Times New Roman" w:hAnsi="Times New Roman" w:cs="Times New Roman"/>
          <w:sz w:val="24"/>
          <w:szCs w:val="24"/>
        </w:rPr>
        <w:t>organisées auxquelles le président Ibrahim Boubacar Keita sera réélu le 16 août 2018 malgré les contestations de l’opposition.</w:t>
      </w:r>
    </w:p>
    <w:p w:rsidR="009D5D22" w:rsidRDefault="0085784A"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vent de violence et de contestation va de nouveau souffler sur ce gouvernement, conduisant à une mutinerie dans deux camps militaires de Bamako puis la démission du président Ibrahim Boubacar Keïta le 19 Août 2020. Les éléments catalyseurs de ce coup d’Etat sont sans aucun doute les évènements du 23 Mars 2019 ou l’on assista au massacre de plus de 130 éleveurs peuls dans le centre du Mali, attribués aux milices d’auto-défense Dogon, le kidnapping de l’opposant Soumaila </w:t>
      </w:r>
      <w:r w:rsidR="00705533">
        <w:rPr>
          <w:rFonts w:ascii="Times New Roman" w:hAnsi="Times New Roman" w:cs="Times New Roman"/>
          <w:sz w:val="24"/>
          <w:szCs w:val="24"/>
        </w:rPr>
        <w:t xml:space="preserve">Cissé (25 Mars 2019) et les nombreuses victimes des violents </w:t>
      </w:r>
      <w:r w:rsidR="00705533">
        <w:rPr>
          <w:rFonts w:ascii="Times New Roman" w:hAnsi="Times New Roman" w:cs="Times New Roman"/>
          <w:sz w:val="24"/>
          <w:szCs w:val="24"/>
        </w:rPr>
        <w:lastRenderedPageBreak/>
        <w:t xml:space="preserve">affrontements entre les forces de sécurité et les manifestants ayant répondu au mot d’ordre de </w:t>
      </w:r>
      <w:r w:rsidR="00D84A9D">
        <w:rPr>
          <w:rFonts w:ascii="Times New Roman" w:hAnsi="Times New Roman" w:cs="Times New Roman"/>
          <w:sz w:val="24"/>
          <w:szCs w:val="24"/>
        </w:rPr>
        <w:t>désobéissance</w:t>
      </w:r>
      <w:r w:rsidR="00705533">
        <w:rPr>
          <w:rFonts w:ascii="Times New Roman" w:hAnsi="Times New Roman" w:cs="Times New Roman"/>
          <w:sz w:val="24"/>
          <w:szCs w:val="24"/>
        </w:rPr>
        <w:t xml:space="preserve"> civile</w:t>
      </w:r>
      <w:r w:rsidR="00855AAC">
        <w:rPr>
          <w:rFonts w:ascii="Times New Roman" w:hAnsi="Times New Roman" w:cs="Times New Roman"/>
          <w:sz w:val="24"/>
          <w:szCs w:val="24"/>
        </w:rPr>
        <w:t xml:space="preserve"> lancé par la coalition de l’opposition (M5)</w:t>
      </w:r>
      <w:r w:rsidR="00B77864">
        <w:rPr>
          <w:rFonts w:ascii="Times New Roman" w:hAnsi="Times New Roman" w:cs="Times New Roman"/>
          <w:sz w:val="24"/>
          <w:szCs w:val="24"/>
        </w:rPr>
        <w:t xml:space="preserve"> des 10 au 12 juillet 2020.</w:t>
      </w:r>
      <w:r w:rsidR="00B77864">
        <w:rPr>
          <w:rStyle w:val="Appelnotedebasdep"/>
          <w:rFonts w:ascii="Times New Roman" w:hAnsi="Times New Roman" w:cs="Times New Roman"/>
          <w:sz w:val="24"/>
          <w:szCs w:val="24"/>
        </w:rPr>
        <w:footnoteReference w:id="5"/>
      </w:r>
    </w:p>
    <w:p w:rsidR="00B77864" w:rsidRDefault="00250B7C"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Depuis</w:t>
      </w:r>
      <w:r w:rsidR="00B77864">
        <w:rPr>
          <w:rFonts w:ascii="Times New Roman" w:hAnsi="Times New Roman" w:cs="Times New Roman"/>
          <w:sz w:val="24"/>
          <w:szCs w:val="24"/>
        </w:rPr>
        <w:t xml:space="preserve"> lors, la gouvernance du pays est du </w:t>
      </w:r>
      <w:r>
        <w:rPr>
          <w:rFonts w:ascii="Times New Roman" w:hAnsi="Times New Roman" w:cs="Times New Roman"/>
          <w:sz w:val="24"/>
          <w:szCs w:val="24"/>
        </w:rPr>
        <w:t>ressort</w:t>
      </w:r>
      <w:r w:rsidR="00B77864">
        <w:rPr>
          <w:rFonts w:ascii="Times New Roman" w:hAnsi="Times New Roman" w:cs="Times New Roman"/>
          <w:sz w:val="24"/>
          <w:szCs w:val="24"/>
        </w:rPr>
        <w:t xml:space="preserve"> des </w:t>
      </w:r>
      <w:r>
        <w:rPr>
          <w:rFonts w:ascii="Times New Roman" w:hAnsi="Times New Roman" w:cs="Times New Roman"/>
          <w:sz w:val="24"/>
          <w:szCs w:val="24"/>
        </w:rPr>
        <w:t>militaires, gouvernement de transition, dans l’attente d’un retour de l’ordre constitutionnel et l’organisation d’élections futures.</w:t>
      </w:r>
    </w:p>
    <w:p w:rsidR="00250B7C" w:rsidRPr="0085784A" w:rsidRDefault="00250B7C"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En somme, l’on peut noter</w:t>
      </w:r>
      <w:r w:rsidR="006B191F">
        <w:rPr>
          <w:rFonts w:ascii="Times New Roman" w:hAnsi="Times New Roman" w:cs="Times New Roman"/>
          <w:sz w:val="24"/>
          <w:szCs w:val="24"/>
        </w:rPr>
        <w:t xml:space="preserve"> que le Mali fait face à de nombreux enjeux dont le principal est l’enjeu sécuritaire. Les coups d’Etats répétitifs ne sont donc que la manifestation de l’incapacité des différents gouvernements à résoudre de manière durable les conflits internes, intercommunautaires, la fracture sociale dans le Nord et la présence des groupes djihadistes qui prospèrent dans le Sahel.</w:t>
      </w:r>
    </w:p>
    <w:p w:rsidR="00593D9E" w:rsidRPr="00705533" w:rsidRDefault="00947D76" w:rsidP="00E03819">
      <w:pPr>
        <w:pStyle w:val="Paragraphedeliste"/>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 du système éducatif du Mali</w:t>
      </w:r>
    </w:p>
    <w:p w:rsidR="00705533" w:rsidRDefault="00721229"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Analyser l’impact des conflits sur l’éducation nécessite que nous nous em</w:t>
      </w:r>
      <w:r w:rsidR="00737D2B">
        <w:rPr>
          <w:rFonts w:ascii="Times New Roman" w:hAnsi="Times New Roman" w:cs="Times New Roman"/>
          <w:sz w:val="24"/>
          <w:szCs w:val="24"/>
        </w:rPr>
        <w:t>preignions de la manière dont fonctionne le système éducatif. Il nous incombe dès lors de présenter brièvement l’offre et la demande du service éducatif au Mali.</w:t>
      </w:r>
    </w:p>
    <w:p w:rsidR="00737D2B" w:rsidRPr="00721229" w:rsidRDefault="00737D2B" w:rsidP="00E03819">
      <w:pPr>
        <w:spacing w:line="360" w:lineRule="auto"/>
        <w:jc w:val="both"/>
        <w:rPr>
          <w:rFonts w:ascii="Times New Roman" w:hAnsi="Times New Roman" w:cs="Times New Roman"/>
          <w:sz w:val="24"/>
          <w:szCs w:val="24"/>
        </w:rPr>
      </w:pPr>
    </w:p>
    <w:p w:rsidR="00705533" w:rsidRDefault="00705533" w:rsidP="00E03819">
      <w:pPr>
        <w:spacing w:line="360" w:lineRule="auto"/>
        <w:jc w:val="both"/>
        <w:rPr>
          <w:rFonts w:ascii="Times New Roman" w:hAnsi="Times New Roman" w:cs="Times New Roman"/>
          <w:b/>
          <w:bCs/>
          <w:sz w:val="24"/>
          <w:szCs w:val="24"/>
        </w:rPr>
      </w:pPr>
    </w:p>
    <w:p w:rsidR="00705533" w:rsidRDefault="00705533" w:rsidP="00E03819">
      <w:pPr>
        <w:spacing w:line="360" w:lineRule="auto"/>
        <w:jc w:val="both"/>
        <w:rPr>
          <w:rFonts w:ascii="Times New Roman" w:hAnsi="Times New Roman" w:cs="Times New Roman"/>
          <w:b/>
          <w:bCs/>
          <w:sz w:val="24"/>
          <w:szCs w:val="24"/>
        </w:rPr>
      </w:pPr>
    </w:p>
    <w:p w:rsidR="00705533" w:rsidRDefault="00705533" w:rsidP="00E03819">
      <w:pPr>
        <w:spacing w:line="360" w:lineRule="auto"/>
        <w:jc w:val="both"/>
        <w:rPr>
          <w:rFonts w:ascii="Times New Roman" w:hAnsi="Times New Roman" w:cs="Times New Roman"/>
          <w:b/>
          <w:bCs/>
          <w:sz w:val="24"/>
          <w:szCs w:val="24"/>
        </w:rPr>
      </w:pPr>
    </w:p>
    <w:p w:rsidR="00705533" w:rsidRDefault="00705533" w:rsidP="00E03819">
      <w:pPr>
        <w:spacing w:line="360" w:lineRule="auto"/>
        <w:jc w:val="both"/>
        <w:rPr>
          <w:rFonts w:ascii="Times New Roman" w:hAnsi="Times New Roman" w:cs="Times New Roman"/>
          <w:b/>
          <w:bCs/>
          <w:sz w:val="24"/>
          <w:szCs w:val="24"/>
        </w:rPr>
      </w:pPr>
    </w:p>
    <w:p w:rsidR="00705533" w:rsidRDefault="00705533" w:rsidP="00E03819">
      <w:pPr>
        <w:spacing w:line="360" w:lineRule="auto"/>
        <w:jc w:val="both"/>
        <w:rPr>
          <w:rFonts w:ascii="Times New Roman" w:hAnsi="Times New Roman" w:cs="Times New Roman"/>
          <w:b/>
          <w:bCs/>
          <w:sz w:val="24"/>
          <w:szCs w:val="24"/>
        </w:rPr>
      </w:pPr>
    </w:p>
    <w:p w:rsidR="00705533" w:rsidRDefault="00705533" w:rsidP="00E03819">
      <w:pPr>
        <w:spacing w:line="360" w:lineRule="auto"/>
        <w:jc w:val="both"/>
        <w:rPr>
          <w:rFonts w:ascii="Times New Roman" w:hAnsi="Times New Roman" w:cs="Times New Roman"/>
          <w:b/>
          <w:bCs/>
          <w:sz w:val="24"/>
          <w:szCs w:val="24"/>
        </w:rPr>
      </w:pPr>
    </w:p>
    <w:p w:rsidR="00705533" w:rsidRDefault="00705533" w:rsidP="00E03819">
      <w:pPr>
        <w:spacing w:line="360" w:lineRule="auto"/>
        <w:jc w:val="both"/>
        <w:rPr>
          <w:rFonts w:ascii="Times New Roman" w:hAnsi="Times New Roman" w:cs="Times New Roman"/>
          <w:b/>
          <w:bCs/>
          <w:sz w:val="24"/>
          <w:szCs w:val="24"/>
        </w:rPr>
      </w:pPr>
    </w:p>
    <w:p w:rsidR="00705533" w:rsidRDefault="00705533" w:rsidP="00E03819">
      <w:pPr>
        <w:spacing w:line="360" w:lineRule="auto"/>
        <w:jc w:val="both"/>
        <w:rPr>
          <w:rFonts w:ascii="Times New Roman" w:hAnsi="Times New Roman" w:cs="Times New Roman"/>
          <w:b/>
          <w:bCs/>
          <w:sz w:val="24"/>
          <w:szCs w:val="24"/>
        </w:rPr>
      </w:pPr>
    </w:p>
    <w:p w:rsidR="00705533" w:rsidRDefault="00705533" w:rsidP="00E03819">
      <w:pPr>
        <w:spacing w:line="360" w:lineRule="auto"/>
        <w:jc w:val="both"/>
        <w:rPr>
          <w:rFonts w:ascii="Times New Roman" w:hAnsi="Times New Roman" w:cs="Times New Roman"/>
          <w:b/>
          <w:bCs/>
          <w:sz w:val="24"/>
          <w:szCs w:val="24"/>
        </w:rPr>
      </w:pPr>
    </w:p>
    <w:p w:rsidR="00705533" w:rsidRDefault="00705533" w:rsidP="00E03819">
      <w:pPr>
        <w:spacing w:line="360" w:lineRule="auto"/>
        <w:jc w:val="both"/>
        <w:rPr>
          <w:rFonts w:ascii="Times New Roman" w:hAnsi="Times New Roman" w:cs="Times New Roman"/>
          <w:b/>
          <w:bCs/>
          <w:sz w:val="24"/>
          <w:szCs w:val="24"/>
        </w:rPr>
      </w:pPr>
    </w:p>
    <w:p w:rsidR="00705533" w:rsidRDefault="00213ED5" w:rsidP="00E0381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Revue de littérature méthodologique</w:t>
      </w:r>
    </w:p>
    <w:p w:rsidR="00213ED5" w:rsidRDefault="006051AE"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Cette sous-section vise à présenter dans un premier temps le fondement théorique de l’analyse causale puis de faire un tour d’horizon des principales méthodes d’évaluation d’impact utilisées</w:t>
      </w:r>
      <w:r w:rsidR="00B86EFA">
        <w:rPr>
          <w:rFonts w:ascii="Times New Roman" w:hAnsi="Times New Roman" w:cs="Times New Roman"/>
          <w:sz w:val="24"/>
          <w:szCs w:val="24"/>
        </w:rPr>
        <w:t xml:space="preserve"> principalement en économétrie</w:t>
      </w:r>
      <w:r>
        <w:rPr>
          <w:rFonts w:ascii="Times New Roman" w:hAnsi="Times New Roman" w:cs="Times New Roman"/>
          <w:sz w:val="24"/>
          <w:szCs w:val="24"/>
        </w:rPr>
        <w:t>.</w:t>
      </w:r>
    </w:p>
    <w:p w:rsidR="006051AE" w:rsidRPr="006A3278" w:rsidRDefault="006051AE" w:rsidP="006051AE">
      <w:pPr>
        <w:pStyle w:val="Paragraphedeliste"/>
        <w:numPr>
          <w:ilvl w:val="0"/>
          <w:numId w:val="2"/>
        </w:numPr>
        <w:spacing w:line="360" w:lineRule="auto"/>
        <w:jc w:val="both"/>
        <w:rPr>
          <w:rFonts w:ascii="Times New Roman" w:hAnsi="Times New Roman" w:cs="Times New Roman"/>
          <w:b/>
          <w:bCs/>
          <w:sz w:val="24"/>
          <w:szCs w:val="24"/>
        </w:rPr>
      </w:pPr>
      <w:r w:rsidRPr="006A3278">
        <w:rPr>
          <w:rFonts w:ascii="Times New Roman" w:hAnsi="Times New Roman" w:cs="Times New Roman"/>
          <w:b/>
          <w:bCs/>
          <w:sz w:val="24"/>
          <w:szCs w:val="24"/>
        </w:rPr>
        <w:t>Fondement théorique de l’analyse causale</w:t>
      </w:r>
    </w:p>
    <w:p w:rsidR="006051AE" w:rsidRPr="003D3B12" w:rsidRDefault="003D3B12" w:rsidP="006051AE">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L’esprit de l’homme ne peut concevoir un effet sans cause, de telle sorte que la vue d’un phénomène éveille toujours en lui une idée de causalité. Toute la connaissance humaine se borne à remonter des effets observés à leur cause. » Claude Bernard, </w:t>
      </w:r>
      <w:r w:rsidRPr="003D3B12">
        <w:rPr>
          <w:rFonts w:ascii="Times New Roman" w:hAnsi="Times New Roman" w:cs="Times New Roman"/>
          <w:i/>
          <w:iCs/>
          <w:sz w:val="24"/>
          <w:szCs w:val="24"/>
        </w:rPr>
        <w:t>Introduction à l’étude de la médecine expérimentale</w:t>
      </w:r>
    </w:p>
    <w:p w:rsidR="00A036EC" w:rsidRDefault="00B86EFA"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La recherche des causes des effets est une activité à laquelle tout homme et scientifique en particulier s’adonnent en vue de comprendre son milieu ou sa discipline. De ce fait l’empiriste David Hume (1748)</w:t>
      </w:r>
      <w:r w:rsidR="006A3278">
        <w:rPr>
          <w:rFonts w:ascii="Times New Roman" w:hAnsi="Times New Roman" w:cs="Times New Roman"/>
          <w:sz w:val="24"/>
          <w:szCs w:val="24"/>
        </w:rPr>
        <w:t xml:space="preserve"> </w:t>
      </w:r>
      <w:r>
        <w:rPr>
          <w:rFonts w:ascii="Times New Roman" w:hAnsi="Times New Roman" w:cs="Times New Roman"/>
          <w:sz w:val="24"/>
          <w:szCs w:val="24"/>
        </w:rPr>
        <w:t>décrit la relation causale</w:t>
      </w:r>
      <w:r w:rsidR="006A3278">
        <w:rPr>
          <w:rFonts w:ascii="Times New Roman" w:hAnsi="Times New Roman" w:cs="Times New Roman"/>
          <w:sz w:val="24"/>
          <w:szCs w:val="24"/>
        </w:rPr>
        <w:t xml:space="preserve"> est liée à la notion de la régularité. Le lien causal n’est donc point un concept théorique mais une déduction sur la base des régularités observées entre la cause et l’effet. De ce fait, il existe une relation de causalité lorsque les évènements sont contigus,</w:t>
      </w:r>
      <w:r w:rsidR="00775F35">
        <w:rPr>
          <w:rFonts w:ascii="Times New Roman" w:hAnsi="Times New Roman" w:cs="Times New Roman"/>
          <w:sz w:val="24"/>
          <w:szCs w:val="24"/>
        </w:rPr>
        <w:t xml:space="preserve"> en constante conjonction et l’existence d’une relation d’antériorité (la cause précède l’effet). Pour mettre en pratique cette approche basée sur la régularité</w:t>
      </w:r>
      <w:r w:rsidR="002F48E5">
        <w:rPr>
          <w:rFonts w:ascii="Times New Roman" w:hAnsi="Times New Roman" w:cs="Times New Roman"/>
          <w:sz w:val="24"/>
          <w:szCs w:val="24"/>
        </w:rPr>
        <w:t xml:space="preserve">, John Mill (1843) va proposer la méthode de </w:t>
      </w:r>
      <w:r w:rsidR="002F48E5" w:rsidRPr="002F48E5">
        <w:rPr>
          <w:rFonts w:ascii="Times New Roman" w:hAnsi="Times New Roman" w:cs="Times New Roman"/>
          <w:b/>
          <w:bCs/>
          <w:sz w:val="24"/>
          <w:szCs w:val="24"/>
        </w:rPr>
        <w:t>« différence »</w:t>
      </w:r>
      <w:r w:rsidR="002F48E5">
        <w:rPr>
          <w:rFonts w:ascii="Times New Roman" w:hAnsi="Times New Roman" w:cs="Times New Roman"/>
          <w:b/>
          <w:bCs/>
          <w:sz w:val="24"/>
          <w:szCs w:val="24"/>
        </w:rPr>
        <w:t xml:space="preserve">. </w:t>
      </w:r>
      <w:r w:rsidR="002F48E5">
        <w:rPr>
          <w:rFonts w:ascii="Times New Roman" w:hAnsi="Times New Roman" w:cs="Times New Roman"/>
          <w:sz w:val="24"/>
          <w:szCs w:val="24"/>
        </w:rPr>
        <w:t>La méthode de différence consiste à comparer deux cas identiques, des personnes avec les mêmes attributs</w:t>
      </w:r>
      <w:r w:rsidR="00A036EC">
        <w:rPr>
          <w:rFonts w:ascii="Times New Roman" w:hAnsi="Times New Roman" w:cs="Times New Roman"/>
          <w:sz w:val="24"/>
          <w:szCs w:val="24"/>
        </w:rPr>
        <w:t xml:space="preserve">, qui ne se distinguent que par la présence de la cause dans chez l’un et l’absence de la cause chez l’autre. </w:t>
      </w:r>
    </w:p>
    <w:p w:rsidR="00705533" w:rsidRDefault="00A036EC"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Au vu des contraintes qu’impose la méthode de différence</w:t>
      </w:r>
      <w:r w:rsidR="00406172">
        <w:rPr>
          <w:rFonts w:ascii="Times New Roman" w:hAnsi="Times New Roman" w:cs="Times New Roman"/>
          <w:sz w:val="24"/>
          <w:szCs w:val="24"/>
        </w:rPr>
        <w:t xml:space="preserve">, Lewis (1973) invitera à concevoir la causalité comme un exercice théorique et non empirique qui consistera à comparer le monde réel à un monde </w:t>
      </w:r>
      <w:r w:rsidR="001073E1">
        <w:rPr>
          <w:rFonts w:ascii="Times New Roman" w:hAnsi="Times New Roman" w:cs="Times New Roman"/>
          <w:sz w:val="24"/>
          <w:szCs w:val="24"/>
        </w:rPr>
        <w:t>hypothétique (</w:t>
      </w:r>
      <w:r w:rsidR="00D45D08">
        <w:rPr>
          <w:rFonts w:ascii="Times New Roman" w:hAnsi="Times New Roman" w:cs="Times New Roman"/>
          <w:sz w:val="24"/>
          <w:szCs w:val="24"/>
        </w:rPr>
        <w:t>contrefactuel</w:t>
      </w:r>
      <w:r w:rsidR="001073E1">
        <w:rPr>
          <w:rFonts w:ascii="Times New Roman" w:hAnsi="Times New Roman" w:cs="Times New Roman"/>
          <w:sz w:val="24"/>
          <w:szCs w:val="24"/>
        </w:rPr>
        <w:t>), « ce qui est » à « ce qui serait » (résultats potentiels). La causalité résulterait donc de la différence entre ces deux mondes.</w:t>
      </w:r>
    </w:p>
    <w:p w:rsidR="00A036EC" w:rsidRDefault="001073E1"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Dans la mise en œuvre pratique en économétrie, cette approche fondée sur la régularité de différence, donnera lieu à l’approche expérimentale et la seconde approche (</w:t>
      </w:r>
      <w:r w:rsidR="0003594A">
        <w:rPr>
          <w:rFonts w:ascii="Times New Roman" w:hAnsi="Times New Roman" w:cs="Times New Roman"/>
          <w:sz w:val="24"/>
          <w:szCs w:val="24"/>
        </w:rPr>
        <w:t>contrefactuelle</w:t>
      </w:r>
      <w:r>
        <w:rPr>
          <w:rFonts w:ascii="Times New Roman" w:hAnsi="Times New Roman" w:cs="Times New Roman"/>
          <w:sz w:val="24"/>
          <w:szCs w:val="24"/>
        </w:rPr>
        <w:t>) donnera lieu aux approches dites quasi-expérimentales.</w:t>
      </w:r>
    </w:p>
    <w:p w:rsidR="00A036EC" w:rsidRPr="00A036EC" w:rsidRDefault="00A036EC" w:rsidP="00A036EC">
      <w:pPr>
        <w:pStyle w:val="Paragraphedeliste"/>
        <w:numPr>
          <w:ilvl w:val="0"/>
          <w:numId w:val="2"/>
        </w:numPr>
        <w:spacing w:line="360" w:lineRule="auto"/>
        <w:jc w:val="both"/>
        <w:rPr>
          <w:rFonts w:ascii="Times New Roman" w:hAnsi="Times New Roman" w:cs="Times New Roman"/>
          <w:b/>
          <w:bCs/>
          <w:sz w:val="24"/>
          <w:szCs w:val="24"/>
        </w:rPr>
      </w:pPr>
      <w:r w:rsidRPr="00A036EC">
        <w:rPr>
          <w:rFonts w:ascii="Times New Roman" w:hAnsi="Times New Roman" w:cs="Times New Roman"/>
          <w:b/>
          <w:bCs/>
          <w:sz w:val="24"/>
          <w:szCs w:val="24"/>
        </w:rPr>
        <w:t>Méthode expérimentale et méthodes quasi-expérimentales</w:t>
      </w:r>
    </w:p>
    <w:p w:rsidR="00705533" w:rsidRDefault="0003594A" w:rsidP="0003594A">
      <w:pPr>
        <w:spacing w:line="360" w:lineRule="auto"/>
        <w:jc w:val="both"/>
        <w:rPr>
          <w:rFonts w:ascii="Times New Roman" w:hAnsi="Times New Roman" w:cs="Times New Roman"/>
          <w:sz w:val="24"/>
          <w:szCs w:val="24"/>
        </w:rPr>
      </w:pPr>
      <w:r>
        <w:rPr>
          <w:rFonts w:ascii="Times New Roman" w:hAnsi="Times New Roman" w:cs="Times New Roman"/>
          <w:sz w:val="24"/>
          <w:szCs w:val="24"/>
        </w:rPr>
        <w:t>La méthode expérimentale</w:t>
      </w:r>
      <w:r w:rsidR="009D4D9D">
        <w:rPr>
          <w:rFonts w:ascii="Times New Roman" w:hAnsi="Times New Roman" w:cs="Times New Roman"/>
          <w:sz w:val="24"/>
          <w:szCs w:val="24"/>
        </w:rPr>
        <w:t xml:space="preserve"> utilisée dans le processus d’évaluation d’impact est le Randomised Control</w:t>
      </w:r>
      <w:r w:rsidR="009B1D24">
        <w:rPr>
          <w:rFonts w:ascii="Times New Roman" w:hAnsi="Times New Roman" w:cs="Times New Roman"/>
          <w:sz w:val="24"/>
          <w:szCs w:val="24"/>
        </w:rPr>
        <w:t>led</w:t>
      </w:r>
      <w:r w:rsidR="009D4D9D">
        <w:rPr>
          <w:rFonts w:ascii="Times New Roman" w:hAnsi="Times New Roman" w:cs="Times New Roman"/>
          <w:sz w:val="24"/>
          <w:szCs w:val="24"/>
        </w:rPr>
        <w:t xml:space="preserve"> Trials (RCT) ou méthode des essais randomisés contrôlés.</w:t>
      </w:r>
      <w:r w:rsidR="00B83B13">
        <w:rPr>
          <w:rFonts w:ascii="Times New Roman" w:hAnsi="Times New Roman" w:cs="Times New Roman"/>
          <w:sz w:val="24"/>
          <w:szCs w:val="24"/>
        </w:rPr>
        <w:t xml:space="preserve"> C’est une méthode qui se fonde sur une sélection aléatoire des membres de la population qui bénéficieront de </w:t>
      </w:r>
      <w:r w:rsidR="00B83B13">
        <w:rPr>
          <w:rFonts w:ascii="Times New Roman" w:hAnsi="Times New Roman" w:cs="Times New Roman"/>
          <w:sz w:val="24"/>
          <w:szCs w:val="24"/>
        </w:rPr>
        <w:lastRenderedPageBreak/>
        <w:t>l’intervention ou traitement.</w:t>
      </w:r>
      <w:r w:rsidR="00AD191B">
        <w:rPr>
          <w:rFonts w:ascii="Times New Roman" w:hAnsi="Times New Roman" w:cs="Times New Roman"/>
          <w:sz w:val="24"/>
          <w:szCs w:val="24"/>
        </w:rPr>
        <w:t xml:space="preserve"> En pratique, l’on construira deux groupes, aléatoirement, un groupe test qui subira l’intervention et un groupe de contrôle ou témoin ne subissant pas d’intervention.</w:t>
      </w:r>
      <w:r w:rsidR="005C764C">
        <w:rPr>
          <w:rFonts w:ascii="Times New Roman" w:hAnsi="Times New Roman" w:cs="Times New Roman"/>
          <w:sz w:val="24"/>
          <w:szCs w:val="24"/>
        </w:rPr>
        <w:t xml:space="preserve"> Au vu du mode de sélection aléatoire, l’on amoindrit tout risque de biais de sélection, la différence entre ces deux groupes peut de ce fait donc être imputée à l’impact du programme. </w:t>
      </w:r>
      <w:r w:rsidR="005C764C" w:rsidRPr="000A7193">
        <w:rPr>
          <w:rFonts w:ascii="Times New Roman" w:hAnsi="Times New Roman" w:cs="Times New Roman"/>
          <w:sz w:val="24"/>
          <w:szCs w:val="24"/>
          <w:highlight w:val="yellow"/>
        </w:rPr>
        <w:t>Cette méthode a l’avantage de réduire significativement les facteurs de confusion (placebo, contamination</w:t>
      </w:r>
      <w:r w:rsidR="008010E3">
        <w:rPr>
          <w:rFonts w:ascii="Times New Roman" w:hAnsi="Times New Roman" w:cs="Times New Roman"/>
          <w:sz w:val="24"/>
          <w:szCs w:val="24"/>
          <w:highlight w:val="yellow"/>
        </w:rPr>
        <w:t>, l’hétérogénéité des sous-populations</w:t>
      </w:r>
      <w:r w:rsidR="000A7193" w:rsidRPr="000A7193">
        <w:rPr>
          <w:rFonts w:ascii="Times New Roman" w:hAnsi="Times New Roman" w:cs="Times New Roman"/>
          <w:sz w:val="24"/>
          <w:szCs w:val="24"/>
          <w:highlight w:val="yellow"/>
        </w:rPr>
        <w:t>)</w:t>
      </w:r>
    </w:p>
    <w:p w:rsidR="005C764C" w:rsidRPr="0003594A" w:rsidRDefault="000A7193" w:rsidP="0003594A">
      <w:pPr>
        <w:spacing w:line="360" w:lineRule="auto"/>
        <w:jc w:val="both"/>
        <w:rPr>
          <w:rFonts w:ascii="Times New Roman" w:hAnsi="Times New Roman" w:cs="Times New Roman"/>
          <w:sz w:val="24"/>
          <w:szCs w:val="24"/>
        </w:rPr>
      </w:pPr>
      <w:r>
        <w:rPr>
          <w:rFonts w:ascii="Times New Roman" w:hAnsi="Times New Roman" w:cs="Times New Roman"/>
          <w:sz w:val="24"/>
          <w:szCs w:val="24"/>
        </w:rPr>
        <w:t>La méthode des essais randomisés, malgré ses nombreux avantages, est assez coûteuse financièrement</w:t>
      </w:r>
      <w:r w:rsidR="008010E3">
        <w:rPr>
          <w:rFonts w:ascii="Times New Roman" w:hAnsi="Times New Roman" w:cs="Times New Roman"/>
          <w:sz w:val="24"/>
          <w:szCs w:val="24"/>
        </w:rPr>
        <w:t xml:space="preserve"> et nécessite un échantillon de grande taille. C’est cette situation qui conduit à se tourner vers les méthodes dites quasi-expérimentales.</w:t>
      </w:r>
    </w:p>
    <w:p w:rsidR="00213ED5" w:rsidRPr="00BB29C3" w:rsidRDefault="00BB29C3" w:rsidP="00BB29C3">
      <w:pPr>
        <w:pStyle w:val="Paragraphedeliste"/>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Les méthodes quasi-expérimentales</w:t>
      </w:r>
    </w:p>
    <w:p w:rsidR="005C764C" w:rsidRPr="004E181C" w:rsidRDefault="004E181C"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Les méthodes quasi-expérimentales sont des méthodes qui s’effectuent lorsque nous sommes dans l’impossibilité de faire des essais randomisés, considérés comme étalon-or au vu de leur efficacité et la correction des biais de sélection.</w:t>
      </w:r>
      <w:r w:rsidR="001C4A9E">
        <w:rPr>
          <w:rFonts w:ascii="Times New Roman" w:hAnsi="Times New Roman" w:cs="Times New Roman"/>
          <w:sz w:val="24"/>
          <w:szCs w:val="24"/>
        </w:rPr>
        <w:t xml:space="preserve"> C’est une méthodologie d’analyse d’impact ex-post qui se fonde sur les statistiques pour tenter de « reproduire » le cadre expérimental randomisé en se bas</w:t>
      </w:r>
      <w:bookmarkStart w:id="0" w:name="_GoBack"/>
      <w:bookmarkEnd w:id="0"/>
    </w:p>
    <w:p w:rsidR="005C764C" w:rsidRDefault="00BB29C3" w:rsidP="00BB29C3">
      <w:pPr>
        <w:pStyle w:val="Paragraphedeliste"/>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La méthode des variables expérimentales</w:t>
      </w:r>
    </w:p>
    <w:p w:rsidR="00BB29C3" w:rsidRDefault="00BB29C3" w:rsidP="00BB29C3">
      <w:pPr>
        <w:pStyle w:val="Paragraphedeliste"/>
        <w:spacing w:line="360" w:lineRule="auto"/>
        <w:jc w:val="both"/>
        <w:rPr>
          <w:rFonts w:ascii="Times New Roman" w:hAnsi="Times New Roman" w:cs="Times New Roman"/>
          <w:b/>
          <w:bCs/>
          <w:sz w:val="24"/>
          <w:szCs w:val="24"/>
        </w:rPr>
      </w:pPr>
    </w:p>
    <w:p w:rsidR="00BB29C3" w:rsidRDefault="00BB29C3" w:rsidP="00BB29C3">
      <w:pPr>
        <w:pStyle w:val="Paragraphedeliste"/>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Les méthodes d’appariement d’échantillons (Matching)</w:t>
      </w:r>
    </w:p>
    <w:p w:rsidR="00BB29C3" w:rsidRPr="00BB29C3" w:rsidRDefault="00BB29C3" w:rsidP="00BB29C3">
      <w:pPr>
        <w:pStyle w:val="Paragraphedeliste"/>
        <w:rPr>
          <w:rFonts w:ascii="Times New Roman" w:hAnsi="Times New Roman" w:cs="Times New Roman"/>
          <w:b/>
          <w:bCs/>
          <w:sz w:val="24"/>
          <w:szCs w:val="24"/>
        </w:rPr>
      </w:pPr>
    </w:p>
    <w:p w:rsidR="00BB29C3" w:rsidRDefault="00BB29C3" w:rsidP="00BB29C3">
      <w:pPr>
        <w:pStyle w:val="Paragraphedeliste"/>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La méthode de double différence (Difference in Difference)</w:t>
      </w:r>
    </w:p>
    <w:p w:rsidR="00BB29C3" w:rsidRPr="00BB29C3" w:rsidRDefault="00BB29C3" w:rsidP="00BB29C3">
      <w:pPr>
        <w:pStyle w:val="Paragraphedeliste"/>
        <w:rPr>
          <w:rFonts w:ascii="Times New Roman" w:hAnsi="Times New Roman" w:cs="Times New Roman"/>
          <w:b/>
          <w:bCs/>
          <w:sz w:val="24"/>
          <w:szCs w:val="24"/>
        </w:rPr>
      </w:pPr>
    </w:p>
    <w:p w:rsidR="00BB29C3" w:rsidRPr="00BB29C3" w:rsidRDefault="00BB29C3" w:rsidP="00BB29C3">
      <w:pPr>
        <w:pStyle w:val="Paragraphedeliste"/>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La méthode de régression en discontinuité</w:t>
      </w:r>
    </w:p>
    <w:p w:rsidR="005C764C" w:rsidRDefault="005C764C" w:rsidP="00E03819">
      <w:pPr>
        <w:spacing w:line="360" w:lineRule="auto"/>
        <w:jc w:val="both"/>
        <w:rPr>
          <w:rFonts w:ascii="Times New Roman" w:hAnsi="Times New Roman" w:cs="Times New Roman"/>
          <w:b/>
          <w:bCs/>
          <w:sz w:val="24"/>
          <w:szCs w:val="24"/>
        </w:rPr>
      </w:pPr>
    </w:p>
    <w:p w:rsidR="005C764C" w:rsidRDefault="005C764C" w:rsidP="00E03819">
      <w:pPr>
        <w:spacing w:line="360" w:lineRule="auto"/>
        <w:jc w:val="both"/>
        <w:rPr>
          <w:rFonts w:ascii="Times New Roman" w:hAnsi="Times New Roman" w:cs="Times New Roman"/>
          <w:b/>
          <w:bCs/>
          <w:sz w:val="24"/>
          <w:szCs w:val="24"/>
        </w:rPr>
      </w:pPr>
    </w:p>
    <w:p w:rsidR="000A7193" w:rsidRDefault="000A7193" w:rsidP="00E03819">
      <w:pPr>
        <w:spacing w:line="360" w:lineRule="auto"/>
        <w:jc w:val="both"/>
        <w:rPr>
          <w:rFonts w:ascii="Times New Roman" w:hAnsi="Times New Roman" w:cs="Times New Roman"/>
          <w:b/>
          <w:bCs/>
          <w:sz w:val="24"/>
          <w:szCs w:val="24"/>
        </w:rPr>
      </w:pPr>
    </w:p>
    <w:p w:rsidR="000A7193" w:rsidRDefault="000A7193" w:rsidP="00E03819">
      <w:pPr>
        <w:spacing w:line="360" w:lineRule="auto"/>
        <w:jc w:val="both"/>
        <w:rPr>
          <w:rFonts w:ascii="Times New Roman" w:hAnsi="Times New Roman" w:cs="Times New Roman"/>
          <w:b/>
          <w:bCs/>
          <w:sz w:val="24"/>
          <w:szCs w:val="24"/>
        </w:rPr>
      </w:pPr>
    </w:p>
    <w:p w:rsidR="000A7193" w:rsidRDefault="000A7193" w:rsidP="00E03819">
      <w:pPr>
        <w:spacing w:line="360" w:lineRule="auto"/>
        <w:jc w:val="both"/>
        <w:rPr>
          <w:rFonts w:ascii="Times New Roman" w:hAnsi="Times New Roman" w:cs="Times New Roman"/>
          <w:b/>
          <w:bCs/>
          <w:sz w:val="24"/>
          <w:szCs w:val="24"/>
        </w:rPr>
      </w:pPr>
    </w:p>
    <w:p w:rsidR="006A3278" w:rsidRDefault="006A3278" w:rsidP="00E03819">
      <w:pPr>
        <w:spacing w:line="360" w:lineRule="auto"/>
        <w:jc w:val="both"/>
        <w:rPr>
          <w:rFonts w:ascii="Times New Roman" w:hAnsi="Times New Roman" w:cs="Times New Roman"/>
          <w:b/>
          <w:bCs/>
          <w:sz w:val="24"/>
          <w:szCs w:val="24"/>
        </w:rPr>
      </w:pPr>
    </w:p>
    <w:p w:rsidR="001073E1" w:rsidRDefault="001073E1" w:rsidP="00E03819">
      <w:pPr>
        <w:spacing w:line="360" w:lineRule="auto"/>
        <w:jc w:val="both"/>
        <w:rPr>
          <w:rFonts w:ascii="Times New Roman" w:hAnsi="Times New Roman" w:cs="Times New Roman"/>
          <w:b/>
          <w:bCs/>
          <w:sz w:val="24"/>
          <w:szCs w:val="24"/>
        </w:rPr>
      </w:pPr>
    </w:p>
    <w:p w:rsidR="00BB29C3" w:rsidRDefault="00BB29C3" w:rsidP="00E03819">
      <w:pPr>
        <w:spacing w:line="360" w:lineRule="auto"/>
        <w:jc w:val="both"/>
        <w:rPr>
          <w:rFonts w:ascii="Times New Roman" w:hAnsi="Times New Roman" w:cs="Times New Roman"/>
          <w:b/>
          <w:bCs/>
          <w:sz w:val="24"/>
          <w:szCs w:val="24"/>
        </w:rPr>
      </w:pPr>
    </w:p>
    <w:p w:rsidR="00A32AB2" w:rsidRDefault="002B2190" w:rsidP="00E03819">
      <w:pPr>
        <w:spacing w:line="360" w:lineRule="auto"/>
        <w:jc w:val="both"/>
        <w:rPr>
          <w:rFonts w:ascii="Times New Roman" w:hAnsi="Times New Roman" w:cs="Times New Roman"/>
          <w:b/>
          <w:bCs/>
          <w:sz w:val="24"/>
          <w:szCs w:val="24"/>
        </w:rPr>
      </w:pPr>
      <w:r w:rsidRPr="002576B7">
        <w:rPr>
          <w:rFonts w:ascii="Times New Roman" w:hAnsi="Times New Roman" w:cs="Times New Roman"/>
          <w:b/>
          <w:bCs/>
          <w:sz w:val="24"/>
          <w:szCs w:val="24"/>
        </w:rPr>
        <w:lastRenderedPageBreak/>
        <w:t>Bibliographie</w:t>
      </w:r>
    </w:p>
    <w:p w:rsidR="0050287F" w:rsidRDefault="0050287F" w:rsidP="00E03819">
      <w:pPr>
        <w:spacing w:line="360" w:lineRule="auto"/>
        <w:jc w:val="both"/>
        <w:rPr>
          <w:rFonts w:ascii="Times New Roman" w:hAnsi="Times New Roman" w:cs="Times New Roman"/>
          <w:sz w:val="24"/>
          <w:szCs w:val="24"/>
        </w:rPr>
      </w:pPr>
      <w:r w:rsidRPr="0050287F">
        <w:rPr>
          <w:rFonts w:ascii="Times New Roman" w:hAnsi="Times New Roman" w:cs="Times New Roman"/>
          <w:sz w:val="24"/>
          <w:szCs w:val="24"/>
        </w:rPr>
        <w:t xml:space="preserve">Catherine </w:t>
      </w:r>
      <w:proofErr w:type="spellStart"/>
      <w:r w:rsidRPr="0050287F">
        <w:rPr>
          <w:rFonts w:ascii="Times New Roman" w:hAnsi="Times New Roman" w:cs="Times New Roman"/>
          <w:sz w:val="24"/>
          <w:szCs w:val="24"/>
        </w:rPr>
        <w:t>rodríguez</w:t>
      </w:r>
      <w:proofErr w:type="spellEnd"/>
      <w:r w:rsidRPr="0050287F">
        <w:rPr>
          <w:rFonts w:ascii="Times New Roman" w:hAnsi="Times New Roman" w:cs="Times New Roman"/>
          <w:sz w:val="24"/>
          <w:szCs w:val="24"/>
        </w:rPr>
        <w:t xml:space="preserve"> &amp; </w:t>
      </w:r>
      <w:proofErr w:type="spellStart"/>
      <w:r w:rsidRPr="0050287F">
        <w:rPr>
          <w:rFonts w:ascii="Times New Roman" w:hAnsi="Times New Roman" w:cs="Times New Roman"/>
          <w:sz w:val="24"/>
          <w:szCs w:val="24"/>
        </w:rPr>
        <w:t>fabio</w:t>
      </w:r>
      <w:proofErr w:type="spellEnd"/>
      <w:r w:rsidRPr="0050287F">
        <w:rPr>
          <w:rFonts w:ascii="Times New Roman" w:hAnsi="Times New Roman" w:cs="Times New Roman"/>
          <w:sz w:val="24"/>
          <w:szCs w:val="24"/>
        </w:rPr>
        <w:t xml:space="preserve"> </w:t>
      </w:r>
      <w:proofErr w:type="spellStart"/>
      <w:r w:rsidRPr="0050287F">
        <w:rPr>
          <w:rFonts w:ascii="Times New Roman" w:hAnsi="Times New Roman" w:cs="Times New Roman"/>
          <w:sz w:val="24"/>
          <w:szCs w:val="24"/>
        </w:rPr>
        <w:t>sánchez</w:t>
      </w:r>
      <w:proofErr w:type="spellEnd"/>
      <w:r w:rsidRPr="0050287F">
        <w:rPr>
          <w:rFonts w:ascii="Times New Roman" w:hAnsi="Times New Roman" w:cs="Times New Roman"/>
          <w:sz w:val="24"/>
          <w:szCs w:val="24"/>
        </w:rPr>
        <w:t> (2012) </w:t>
      </w:r>
      <w:proofErr w:type="spellStart"/>
      <w:r w:rsidRPr="0050287F">
        <w:rPr>
          <w:rFonts w:ascii="Times New Roman" w:hAnsi="Times New Roman" w:cs="Times New Roman"/>
          <w:sz w:val="24"/>
          <w:szCs w:val="24"/>
        </w:rPr>
        <w:t>Armed</w:t>
      </w:r>
      <w:proofErr w:type="spellEnd"/>
      <w:r w:rsidRPr="0050287F">
        <w:rPr>
          <w:rFonts w:ascii="Times New Roman" w:hAnsi="Times New Roman" w:cs="Times New Roman"/>
          <w:sz w:val="24"/>
          <w:szCs w:val="24"/>
        </w:rPr>
        <w:t xml:space="preserve"> </w:t>
      </w:r>
      <w:proofErr w:type="spellStart"/>
      <w:r w:rsidRPr="0050287F">
        <w:rPr>
          <w:rFonts w:ascii="Times New Roman" w:hAnsi="Times New Roman" w:cs="Times New Roman"/>
          <w:sz w:val="24"/>
          <w:szCs w:val="24"/>
        </w:rPr>
        <w:t>Conflict</w:t>
      </w:r>
      <w:proofErr w:type="spellEnd"/>
      <w:r w:rsidRPr="0050287F">
        <w:rPr>
          <w:rFonts w:ascii="Times New Roman" w:hAnsi="Times New Roman" w:cs="Times New Roman"/>
          <w:sz w:val="24"/>
          <w:szCs w:val="24"/>
        </w:rPr>
        <w:t xml:space="preserve"> </w:t>
      </w:r>
      <w:proofErr w:type="spellStart"/>
      <w:r w:rsidRPr="0050287F">
        <w:rPr>
          <w:rFonts w:ascii="Times New Roman" w:hAnsi="Times New Roman" w:cs="Times New Roman"/>
          <w:sz w:val="24"/>
          <w:szCs w:val="24"/>
        </w:rPr>
        <w:t>Exposure</w:t>
      </w:r>
      <w:proofErr w:type="spellEnd"/>
      <w:r w:rsidRPr="0050287F">
        <w:rPr>
          <w:rFonts w:ascii="Times New Roman" w:hAnsi="Times New Roman" w:cs="Times New Roman"/>
          <w:sz w:val="24"/>
          <w:szCs w:val="24"/>
        </w:rPr>
        <w:t xml:space="preserve">, Human Capital Investments, And Child </w:t>
      </w:r>
      <w:proofErr w:type="gramStart"/>
      <w:r w:rsidRPr="0050287F">
        <w:rPr>
          <w:rFonts w:ascii="Times New Roman" w:hAnsi="Times New Roman" w:cs="Times New Roman"/>
          <w:sz w:val="24"/>
          <w:szCs w:val="24"/>
        </w:rPr>
        <w:t>Labor:</w:t>
      </w:r>
      <w:proofErr w:type="gramEnd"/>
      <w:r w:rsidRPr="0050287F">
        <w:rPr>
          <w:rFonts w:ascii="Times New Roman" w:hAnsi="Times New Roman" w:cs="Times New Roman"/>
          <w:sz w:val="24"/>
          <w:szCs w:val="24"/>
        </w:rPr>
        <w:t xml:space="preserve"> Evidence </w:t>
      </w:r>
      <w:proofErr w:type="spellStart"/>
      <w:r w:rsidRPr="0050287F">
        <w:rPr>
          <w:rFonts w:ascii="Times New Roman" w:hAnsi="Times New Roman" w:cs="Times New Roman"/>
          <w:sz w:val="24"/>
          <w:szCs w:val="24"/>
        </w:rPr>
        <w:t>From</w:t>
      </w:r>
      <w:proofErr w:type="spellEnd"/>
      <w:r w:rsidRPr="0050287F">
        <w:rPr>
          <w:rFonts w:ascii="Times New Roman" w:hAnsi="Times New Roman" w:cs="Times New Roman"/>
          <w:sz w:val="24"/>
          <w:szCs w:val="24"/>
        </w:rPr>
        <w:t xml:space="preserve"> Colombia, </w:t>
      </w:r>
      <w:proofErr w:type="spellStart"/>
      <w:r w:rsidRPr="0050287F">
        <w:rPr>
          <w:rFonts w:ascii="Times New Roman" w:hAnsi="Times New Roman" w:cs="Times New Roman"/>
          <w:sz w:val="24"/>
          <w:szCs w:val="24"/>
        </w:rPr>
        <w:t>Defence</w:t>
      </w:r>
      <w:proofErr w:type="spellEnd"/>
      <w:r w:rsidRPr="0050287F">
        <w:rPr>
          <w:rFonts w:ascii="Times New Roman" w:hAnsi="Times New Roman" w:cs="Times New Roman"/>
          <w:sz w:val="24"/>
          <w:szCs w:val="24"/>
        </w:rPr>
        <w:t xml:space="preserve"> and </w:t>
      </w:r>
      <w:proofErr w:type="spellStart"/>
      <w:r w:rsidRPr="0050287F">
        <w:rPr>
          <w:rFonts w:ascii="Times New Roman" w:hAnsi="Times New Roman" w:cs="Times New Roman"/>
          <w:sz w:val="24"/>
          <w:szCs w:val="24"/>
        </w:rPr>
        <w:t>Peace</w:t>
      </w:r>
      <w:proofErr w:type="spellEnd"/>
      <w:r w:rsidRPr="0050287F">
        <w:rPr>
          <w:rFonts w:ascii="Times New Roman" w:hAnsi="Times New Roman" w:cs="Times New Roman"/>
          <w:sz w:val="24"/>
          <w:szCs w:val="24"/>
        </w:rPr>
        <w:t xml:space="preserve"> </w:t>
      </w:r>
      <w:proofErr w:type="spellStart"/>
      <w:r w:rsidRPr="0050287F">
        <w:rPr>
          <w:rFonts w:ascii="Times New Roman" w:hAnsi="Times New Roman" w:cs="Times New Roman"/>
          <w:sz w:val="24"/>
          <w:szCs w:val="24"/>
        </w:rPr>
        <w:t>Economics</w:t>
      </w:r>
      <w:proofErr w:type="spellEnd"/>
      <w:r w:rsidRPr="0050287F">
        <w:rPr>
          <w:rFonts w:ascii="Times New Roman" w:hAnsi="Times New Roman" w:cs="Times New Roman"/>
          <w:sz w:val="24"/>
          <w:szCs w:val="24"/>
        </w:rPr>
        <w:t>, 23:2, 161-184, DOI: </w:t>
      </w:r>
      <w:hyperlink r:id="rId8" w:history="1">
        <w:r w:rsidRPr="0050287F">
          <w:rPr>
            <w:rFonts w:ascii="Times New Roman" w:hAnsi="Times New Roman" w:cs="Times New Roman"/>
            <w:sz w:val="24"/>
            <w:szCs w:val="24"/>
          </w:rPr>
          <w:t>10.1080/10242694.2011.597239</w:t>
        </w:r>
      </w:hyperlink>
    </w:p>
    <w:p w:rsidR="0050287F" w:rsidRPr="0050287F" w:rsidRDefault="0050287F" w:rsidP="00E03819">
      <w:pPr>
        <w:spacing w:line="360" w:lineRule="auto"/>
        <w:jc w:val="both"/>
        <w:rPr>
          <w:rFonts w:ascii="Times New Roman" w:hAnsi="Times New Roman" w:cs="Times New Roman"/>
          <w:sz w:val="24"/>
          <w:szCs w:val="24"/>
        </w:rPr>
      </w:pPr>
    </w:p>
    <w:sectPr w:rsidR="0050287F" w:rsidRPr="0050287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E1867" w:rsidRDefault="002E1867" w:rsidP="0095673E">
      <w:pPr>
        <w:spacing w:after="0" w:line="240" w:lineRule="auto"/>
      </w:pPr>
      <w:r>
        <w:separator/>
      </w:r>
    </w:p>
  </w:endnote>
  <w:endnote w:type="continuationSeparator" w:id="0">
    <w:p w:rsidR="002E1867" w:rsidRDefault="002E1867" w:rsidP="0095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12BD" w:rsidRDefault="003C12BD">
    <w:pPr>
      <w:pStyle w:val="Pieddepage"/>
    </w:pPr>
  </w:p>
  <w:p w:rsidR="003C12BD" w:rsidRDefault="003C12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E1867" w:rsidRDefault="002E1867" w:rsidP="0095673E">
      <w:pPr>
        <w:spacing w:after="0" w:line="240" w:lineRule="auto"/>
      </w:pPr>
      <w:r>
        <w:separator/>
      </w:r>
    </w:p>
  </w:footnote>
  <w:footnote w:type="continuationSeparator" w:id="0">
    <w:p w:rsidR="002E1867" w:rsidRDefault="002E1867" w:rsidP="0095673E">
      <w:pPr>
        <w:spacing w:after="0" w:line="240" w:lineRule="auto"/>
      </w:pPr>
      <w:r>
        <w:continuationSeparator/>
      </w:r>
    </w:p>
  </w:footnote>
  <w:footnote w:id="1">
    <w:p w:rsidR="003C12BD" w:rsidRPr="00D30ABF" w:rsidRDefault="003C12BD" w:rsidP="00D30ABF">
      <w:pPr>
        <w:spacing w:line="360" w:lineRule="auto"/>
        <w:jc w:val="both"/>
        <w:rPr>
          <w:rFonts w:ascii="Times New Roman" w:hAnsi="Times New Roman" w:cs="Times New Roman"/>
          <w:b/>
          <w:bCs/>
          <w:sz w:val="24"/>
          <w:szCs w:val="24"/>
        </w:rPr>
      </w:pPr>
      <w:r>
        <w:rPr>
          <w:rStyle w:val="Appelnotedebasdep"/>
        </w:rPr>
        <w:footnoteRef/>
      </w:r>
      <w:r>
        <w:t xml:space="preserve"> </w:t>
      </w:r>
      <w:hyperlink r:id="rId1" w:history="1">
        <w:r w:rsidRPr="002A7763">
          <w:rPr>
            <w:rStyle w:val="Lienhypertexte"/>
            <w:rFonts w:ascii="Times New Roman" w:hAnsi="Times New Roman" w:cs="Times New Roman"/>
            <w:b/>
            <w:bCs/>
            <w:sz w:val="24"/>
            <w:szCs w:val="24"/>
          </w:rPr>
          <w:t>https://countrymeters.info/fr/Mali</w:t>
        </w:r>
      </w:hyperlink>
      <w:r>
        <w:rPr>
          <w:rFonts w:ascii="Times New Roman" w:hAnsi="Times New Roman" w:cs="Times New Roman"/>
          <w:b/>
          <w:bCs/>
          <w:sz w:val="24"/>
          <w:szCs w:val="24"/>
        </w:rPr>
        <w:t xml:space="preserve"> </w:t>
      </w:r>
    </w:p>
  </w:footnote>
  <w:footnote w:id="2">
    <w:p w:rsidR="003C12BD" w:rsidRDefault="003C12BD">
      <w:pPr>
        <w:pStyle w:val="Notedebasdepage"/>
      </w:pPr>
      <w:r>
        <w:rPr>
          <w:rStyle w:val="Appelnotedebasdep"/>
        </w:rPr>
        <w:footnoteRef/>
      </w:r>
      <w:r>
        <w:t xml:space="preserve"> Les données sont issues de la base WDI (2020). Les données du chômage sont celles des estimations de ILOSTAT et non de l’Institut National de Statistique du Mali.</w:t>
      </w:r>
    </w:p>
  </w:footnote>
  <w:footnote w:id="3">
    <w:p w:rsidR="003C12BD" w:rsidRDefault="003C12BD">
      <w:pPr>
        <w:pStyle w:val="Notedebasdepage"/>
      </w:pPr>
      <w:r>
        <w:rPr>
          <w:rStyle w:val="Appelnotedebasdep"/>
        </w:rPr>
        <w:footnoteRef/>
      </w:r>
      <w:r>
        <w:t xml:space="preserve"> Patrick Gonin, Nathalie </w:t>
      </w:r>
      <w:proofErr w:type="spellStart"/>
      <w:r>
        <w:t>Kotlok</w:t>
      </w:r>
      <w:proofErr w:type="spellEnd"/>
      <w:r>
        <w:t xml:space="preserve"> et Marc-Antoine Pérouse de </w:t>
      </w:r>
      <w:proofErr w:type="spellStart"/>
      <w:r>
        <w:t>Montclos</w:t>
      </w:r>
      <w:proofErr w:type="spellEnd"/>
      <w:r>
        <w:t xml:space="preserve">, </w:t>
      </w:r>
      <w:r w:rsidRPr="002D027E">
        <w:rPr>
          <w:b/>
          <w:bCs/>
          <w:i/>
          <w:iCs/>
        </w:rPr>
        <w:t>la tragédie malienne</w:t>
      </w:r>
      <w:r>
        <w:t>, Vendémiaire Editions, 2013, pages 57-77</w:t>
      </w:r>
    </w:p>
    <w:p w:rsidR="003C12BD" w:rsidRDefault="003C12BD">
      <w:pPr>
        <w:pStyle w:val="Notedebasdepage"/>
      </w:pPr>
    </w:p>
  </w:footnote>
  <w:footnote w:id="4">
    <w:p w:rsidR="00FF6E69" w:rsidRDefault="00FF6E69">
      <w:pPr>
        <w:pStyle w:val="Notedebasdepage"/>
      </w:pPr>
      <w:r>
        <w:rPr>
          <w:rStyle w:val="Appelnotedebasdep"/>
        </w:rPr>
        <w:footnoteRef/>
      </w:r>
      <w:r>
        <w:t xml:space="preserve"> Tessit est une localité située dans le nord-Est du Mali, dans la région dite des trois frontières (</w:t>
      </w:r>
      <w:r w:rsidR="00250B7C">
        <w:t>Burkina-Faso</w:t>
      </w:r>
      <w:r>
        <w:t xml:space="preserve">, Niger), </w:t>
      </w:r>
      <w:r w:rsidR="00250B7C">
        <w:t>théâtre</w:t>
      </w:r>
      <w:r>
        <w:t xml:space="preserve"> de nombreuses attaques djihadistes. Les autorités maliennes enregistrent la perte de 42 soldats au 11 A</w:t>
      </w:r>
      <w:r w:rsidR="00500474">
        <w:t>oût 2022.</w:t>
      </w:r>
    </w:p>
  </w:footnote>
  <w:footnote w:id="5">
    <w:p w:rsidR="00B77864" w:rsidRPr="0050287F" w:rsidRDefault="00B77864" w:rsidP="00B77864">
      <w:pPr>
        <w:spacing w:line="360" w:lineRule="auto"/>
        <w:jc w:val="both"/>
        <w:rPr>
          <w:rFonts w:ascii="Times New Roman" w:hAnsi="Times New Roman" w:cs="Times New Roman"/>
          <w:sz w:val="24"/>
          <w:szCs w:val="24"/>
        </w:rPr>
      </w:pPr>
      <w:r>
        <w:rPr>
          <w:rStyle w:val="Appelnotedebasdep"/>
        </w:rPr>
        <w:footnoteRef/>
      </w:r>
      <w:r>
        <w:t xml:space="preserve"> </w:t>
      </w:r>
      <w:hyperlink r:id="rId2" w:history="1">
        <w:r w:rsidRPr="00BD50C7">
          <w:rPr>
            <w:rStyle w:val="Lienhypertexte"/>
            <w:rFonts w:ascii="Times New Roman" w:hAnsi="Times New Roman" w:cs="Times New Roman"/>
            <w:sz w:val="24"/>
            <w:szCs w:val="24"/>
          </w:rPr>
          <w:t>https://www.bbc.com/afrique/region-53833109</w:t>
        </w:r>
      </w:hyperlink>
      <w:r>
        <w:rPr>
          <w:rFonts w:ascii="Times New Roman" w:hAnsi="Times New Roman" w:cs="Times New Roman"/>
          <w:sz w:val="24"/>
          <w:szCs w:val="24"/>
        </w:rPr>
        <w:t xml:space="preserve"> (consulté le 17/08/2023, 13h24)</w:t>
      </w:r>
    </w:p>
    <w:p w:rsidR="00B77864" w:rsidRDefault="00B77864">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02B85"/>
    <w:multiLevelType w:val="hybridMultilevel"/>
    <w:tmpl w:val="4B1E27D6"/>
    <w:lvl w:ilvl="0" w:tplc="446095C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5593639"/>
    <w:multiLevelType w:val="hybridMultilevel"/>
    <w:tmpl w:val="2180A232"/>
    <w:lvl w:ilvl="0" w:tplc="442A7DF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526238"/>
    <w:multiLevelType w:val="hybridMultilevel"/>
    <w:tmpl w:val="33AA47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19"/>
    <w:rsid w:val="000030F6"/>
    <w:rsid w:val="0001234A"/>
    <w:rsid w:val="00033F59"/>
    <w:rsid w:val="0003594A"/>
    <w:rsid w:val="000703C6"/>
    <w:rsid w:val="000719F9"/>
    <w:rsid w:val="000A0F98"/>
    <w:rsid w:val="000A7193"/>
    <w:rsid w:val="000B6A65"/>
    <w:rsid w:val="000C424F"/>
    <w:rsid w:val="000D379F"/>
    <w:rsid w:val="000E31F1"/>
    <w:rsid w:val="000E5F8B"/>
    <w:rsid w:val="001073E1"/>
    <w:rsid w:val="00127189"/>
    <w:rsid w:val="00136616"/>
    <w:rsid w:val="00143691"/>
    <w:rsid w:val="001533A1"/>
    <w:rsid w:val="00161F2F"/>
    <w:rsid w:val="00176E82"/>
    <w:rsid w:val="001B08B5"/>
    <w:rsid w:val="001C4A9E"/>
    <w:rsid w:val="001E0283"/>
    <w:rsid w:val="001E02EC"/>
    <w:rsid w:val="001E0849"/>
    <w:rsid w:val="001F5636"/>
    <w:rsid w:val="00201E5A"/>
    <w:rsid w:val="002043CE"/>
    <w:rsid w:val="00213ED5"/>
    <w:rsid w:val="002420C1"/>
    <w:rsid w:val="00250B7C"/>
    <w:rsid w:val="00256B15"/>
    <w:rsid w:val="002576B7"/>
    <w:rsid w:val="00260B80"/>
    <w:rsid w:val="00266278"/>
    <w:rsid w:val="00272758"/>
    <w:rsid w:val="00280C08"/>
    <w:rsid w:val="002B11A8"/>
    <w:rsid w:val="002B2190"/>
    <w:rsid w:val="002C29B6"/>
    <w:rsid w:val="002C71E7"/>
    <w:rsid w:val="002D027E"/>
    <w:rsid w:val="002E1867"/>
    <w:rsid w:val="002F48E5"/>
    <w:rsid w:val="003010C8"/>
    <w:rsid w:val="00332C95"/>
    <w:rsid w:val="00347ECD"/>
    <w:rsid w:val="003622A2"/>
    <w:rsid w:val="003651A8"/>
    <w:rsid w:val="003701B0"/>
    <w:rsid w:val="00384E6F"/>
    <w:rsid w:val="00394ED6"/>
    <w:rsid w:val="00394FCD"/>
    <w:rsid w:val="00396C6A"/>
    <w:rsid w:val="003B4917"/>
    <w:rsid w:val="003C08BF"/>
    <w:rsid w:val="003C12B4"/>
    <w:rsid w:val="003C12BD"/>
    <w:rsid w:val="003C6F8E"/>
    <w:rsid w:val="003D3A57"/>
    <w:rsid w:val="003D3B12"/>
    <w:rsid w:val="003E2DB4"/>
    <w:rsid w:val="00405513"/>
    <w:rsid w:val="00406172"/>
    <w:rsid w:val="004121FB"/>
    <w:rsid w:val="0041611F"/>
    <w:rsid w:val="004174FD"/>
    <w:rsid w:val="00435024"/>
    <w:rsid w:val="004478E5"/>
    <w:rsid w:val="004640DE"/>
    <w:rsid w:val="004A16A2"/>
    <w:rsid w:val="004A75A8"/>
    <w:rsid w:val="004E0F90"/>
    <w:rsid w:val="004E181C"/>
    <w:rsid w:val="004E3B61"/>
    <w:rsid w:val="004F3431"/>
    <w:rsid w:val="00500474"/>
    <w:rsid w:val="0050287F"/>
    <w:rsid w:val="00545B9D"/>
    <w:rsid w:val="00547BCF"/>
    <w:rsid w:val="00552BE9"/>
    <w:rsid w:val="00557425"/>
    <w:rsid w:val="00574CEE"/>
    <w:rsid w:val="00586A5E"/>
    <w:rsid w:val="00593D9E"/>
    <w:rsid w:val="005A6DF0"/>
    <w:rsid w:val="005B15FC"/>
    <w:rsid w:val="005C1B32"/>
    <w:rsid w:val="005C3A7E"/>
    <w:rsid w:val="005C764C"/>
    <w:rsid w:val="005D68CE"/>
    <w:rsid w:val="005E1347"/>
    <w:rsid w:val="005F435C"/>
    <w:rsid w:val="006051AE"/>
    <w:rsid w:val="006117D7"/>
    <w:rsid w:val="00622EF9"/>
    <w:rsid w:val="00642123"/>
    <w:rsid w:val="0064593C"/>
    <w:rsid w:val="006471CF"/>
    <w:rsid w:val="00661205"/>
    <w:rsid w:val="00684900"/>
    <w:rsid w:val="0069668A"/>
    <w:rsid w:val="006A3278"/>
    <w:rsid w:val="006B191F"/>
    <w:rsid w:val="0070060B"/>
    <w:rsid w:val="00705533"/>
    <w:rsid w:val="00721229"/>
    <w:rsid w:val="00737D2B"/>
    <w:rsid w:val="00747575"/>
    <w:rsid w:val="00775F35"/>
    <w:rsid w:val="00777B00"/>
    <w:rsid w:val="00780D79"/>
    <w:rsid w:val="007926ED"/>
    <w:rsid w:val="00797488"/>
    <w:rsid w:val="007A2FB2"/>
    <w:rsid w:val="007A449A"/>
    <w:rsid w:val="007D3024"/>
    <w:rsid w:val="0080057E"/>
    <w:rsid w:val="008010E3"/>
    <w:rsid w:val="00805730"/>
    <w:rsid w:val="0081131E"/>
    <w:rsid w:val="008356D1"/>
    <w:rsid w:val="00855AAC"/>
    <w:rsid w:val="0085784A"/>
    <w:rsid w:val="008700E7"/>
    <w:rsid w:val="00872987"/>
    <w:rsid w:val="008B0E57"/>
    <w:rsid w:val="008B1BBB"/>
    <w:rsid w:val="008C0E91"/>
    <w:rsid w:val="008C3150"/>
    <w:rsid w:val="008F2D64"/>
    <w:rsid w:val="008F3A1D"/>
    <w:rsid w:val="008F4A4C"/>
    <w:rsid w:val="00902740"/>
    <w:rsid w:val="009047CD"/>
    <w:rsid w:val="00907D81"/>
    <w:rsid w:val="009115AB"/>
    <w:rsid w:val="0091740F"/>
    <w:rsid w:val="00930FB2"/>
    <w:rsid w:val="0094042B"/>
    <w:rsid w:val="00947D76"/>
    <w:rsid w:val="0095673E"/>
    <w:rsid w:val="00982D2F"/>
    <w:rsid w:val="009861D3"/>
    <w:rsid w:val="009A06B6"/>
    <w:rsid w:val="009B1D24"/>
    <w:rsid w:val="009D4D9D"/>
    <w:rsid w:val="009D5D22"/>
    <w:rsid w:val="009E3526"/>
    <w:rsid w:val="00A01293"/>
    <w:rsid w:val="00A01747"/>
    <w:rsid w:val="00A036EC"/>
    <w:rsid w:val="00A06228"/>
    <w:rsid w:val="00A166D6"/>
    <w:rsid w:val="00A3119D"/>
    <w:rsid w:val="00A32AB2"/>
    <w:rsid w:val="00A42EDE"/>
    <w:rsid w:val="00A50B45"/>
    <w:rsid w:val="00A55AA2"/>
    <w:rsid w:val="00A56729"/>
    <w:rsid w:val="00A57EA0"/>
    <w:rsid w:val="00A67787"/>
    <w:rsid w:val="00A67977"/>
    <w:rsid w:val="00A7518E"/>
    <w:rsid w:val="00A837D2"/>
    <w:rsid w:val="00AC3C17"/>
    <w:rsid w:val="00AD191B"/>
    <w:rsid w:val="00B06D46"/>
    <w:rsid w:val="00B107F1"/>
    <w:rsid w:val="00B27BA8"/>
    <w:rsid w:val="00B3752E"/>
    <w:rsid w:val="00B57690"/>
    <w:rsid w:val="00B77864"/>
    <w:rsid w:val="00B837E9"/>
    <w:rsid w:val="00B83B13"/>
    <w:rsid w:val="00B86EFA"/>
    <w:rsid w:val="00BB29C3"/>
    <w:rsid w:val="00BC2D1F"/>
    <w:rsid w:val="00BC6B12"/>
    <w:rsid w:val="00C0215C"/>
    <w:rsid w:val="00C075A5"/>
    <w:rsid w:val="00C128EF"/>
    <w:rsid w:val="00C17B63"/>
    <w:rsid w:val="00C24C6C"/>
    <w:rsid w:val="00C26E55"/>
    <w:rsid w:val="00C33042"/>
    <w:rsid w:val="00C45663"/>
    <w:rsid w:val="00C76A65"/>
    <w:rsid w:val="00C81D89"/>
    <w:rsid w:val="00CA717A"/>
    <w:rsid w:val="00CD298A"/>
    <w:rsid w:val="00D00E4B"/>
    <w:rsid w:val="00D14E6F"/>
    <w:rsid w:val="00D23ECA"/>
    <w:rsid w:val="00D24824"/>
    <w:rsid w:val="00D26A90"/>
    <w:rsid w:val="00D30ABF"/>
    <w:rsid w:val="00D3168D"/>
    <w:rsid w:val="00D45D08"/>
    <w:rsid w:val="00D46251"/>
    <w:rsid w:val="00D46BEF"/>
    <w:rsid w:val="00D47FFD"/>
    <w:rsid w:val="00D71871"/>
    <w:rsid w:val="00D84A9D"/>
    <w:rsid w:val="00D86143"/>
    <w:rsid w:val="00DA3FE8"/>
    <w:rsid w:val="00DB6FF5"/>
    <w:rsid w:val="00DD0A9D"/>
    <w:rsid w:val="00E03819"/>
    <w:rsid w:val="00E16BD0"/>
    <w:rsid w:val="00E21C5A"/>
    <w:rsid w:val="00E24BCD"/>
    <w:rsid w:val="00E46108"/>
    <w:rsid w:val="00E57F7C"/>
    <w:rsid w:val="00E66D4E"/>
    <w:rsid w:val="00E75057"/>
    <w:rsid w:val="00E90675"/>
    <w:rsid w:val="00E91634"/>
    <w:rsid w:val="00E9496A"/>
    <w:rsid w:val="00E96E5E"/>
    <w:rsid w:val="00EC7551"/>
    <w:rsid w:val="00EE52B7"/>
    <w:rsid w:val="00EE78F9"/>
    <w:rsid w:val="00EF255D"/>
    <w:rsid w:val="00F0165E"/>
    <w:rsid w:val="00F0681F"/>
    <w:rsid w:val="00F16145"/>
    <w:rsid w:val="00F56AF4"/>
    <w:rsid w:val="00F95427"/>
    <w:rsid w:val="00FA191E"/>
    <w:rsid w:val="00FA2FEA"/>
    <w:rsid w:val="00FB33B1"/>
    <w:rsid w:val="00FB4673"/>
    <w:rsid w:val="00FC1381"/>
    <w:rsid w:val="00FC1E8F"/>
    <w:rsid w:val="00FC3928"/>
    <w:rsid w:val="00FC5434"/>
    <w:rsid w:val="00FD2D7E"/>
    <w:rsid w:val="00FF5CB8"/>
    <w:rsid w:val="00FF6E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B176"/>
  <w15:chartTrackingRefBased/>
  <w15:docId w15:val="{8AA5B192-3DCB-480B-AC07-6998F553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81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A42EDE"/>
    <w:rPr>
      <w:rFonts w:ascii="CMR10" w:hAnsi="CMR10" w:hint="default"/>
      <w:b w:val="0"/>
      <w:bCs w:val="0"/>
      <w:i w:val="0"/>
      <w:iCs w:val="0"/>
      <w:color w:val="000000"/>
      <w:sz w:val="20"/>
      <w:szCs w:val="20"/>
    </w:rPr>
  </w:style>
  <w:style w:type="character" w:styleId="Lienhypertexte">
    <w:name w:val="Hyperlink"/>
    <w:basedOn w:val="Policepardfaut"/>
    <w:uiPriority w:val="99"/>
    <w:unhideWhenUsed/>
    <w:rsid w:val="005C1B32"/>
    <w:rPr>
      <w:color w:val="0000FF"/>
      <w:u w:val="single"/>
    </w:rPr>
  </w:style>
  <w:style w:type="paragraph" w:styleId="En-tte">
    <w:name w:val="header"/>
    <w:basedOn w:val="Normal"/>
    <w:link w:val="En-tteCar"/>
    <w:uiPriority w:val="99"/>
    <w:unhideWhenUsed/>
    <w:rsid w:val="0095673E"/>
    <w:pPr>
      <w:tabs>
        <w:tab w:val="center" w:pos="4536"/>
        <w:tab w:val="right" w:pos="9072"/>
      </w:tabs>
      <w:spacing w:after="0" w:line="240" w:lineRule="auto"/>
    </w:pPr>
  </w:style>
  <w:style w:type="character" w:customStyle="1" w:styleId="En-tteCar">
    <w:name w:val="En-tête Car"/>
    <w:basedOn w:val="Policepardfaut"/>
    <w:link w:val="En-tte"/>
    <w:uiPriority w:val="99"/>
    <w:rsid w:val="0095673E"/>
  </w:style>
  <w:style w:type="paragraph" w:styleId="Pieddepage">
    <w:name w:val="footer"/>
    <w:basedOn w:val="Normal"/>
    <w:link w:val="PieddepageCar"/>
    <w:uiPriority w:val="99"/>
    <w:unhideWhenUsed/>
    <w:rsid w:val="009567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673E"/>
  </w:style>
  <w:style w:type="character" w:customStyle="1" w:styleId="authors">
    <w:name w:val="authors"/>
    <w:basedOn w:val="Policepardfaut"/>
    <w:rsid w:val="0050287F"/>
  </w:style>
  <w:style w:type="character" w:customStyle="1" w:styleId="Date1">
    <w:name w:val="Date1"/>
    <w:basedOn w:val="Policepardfaut"/>
    <w:rsid w:val="0050287F"/>
  </w:style>
  <w:style w:type="character" w:customStyle="1" w:styleId="arttitle">
    <w:name w:val="art_title"/>
    <w:basedOn w:val="Policepardfaut"/>
    <w:rsid w:val="0050287F"/>
  </w:style>
  <w:style w:type="character" w:customStyle="1" w:styleId="serialtitle">
    <w:name w:val="serial_title"/>
    <w:basedOn w:val="Policepardfaut"/>
    <w:rsid w:val="0050287F"/>
  </w:style>
  <w:style w:type="character" w:customStyle="1" w:styleId="volumeissue">
    <w:name w:val="volume_issue"/>
    <w:basedOn w:val="Policepardfaut"/>
    <w:rsid w:val="0050287F"/>
  </w:style>
  <w:style w:type="character" w:customStyle="1" w:styleId="pagerange">
    <w:name w:val="page_range"/>
    <w:basedOn w:val="Policepardfaut"/>
    <w:rsid w:val="0050287F"/>
  </w:style>
  <w:style w:type="character" w:customStyle="1" w:styleId="doilink">
    <w:name w:val="doi_link"/>
    <w:basedOn w:val="Policepardfaut"/>
    <w:rsid w:val="0050287F"/>
  </w:style>
  <w:style w:type="character" w:styleId="Mentionnonrsolue">
    <w:name w:val="Unresolved Mention"/>
    <w:basedOn w:val="Policepardfaut"/>
    <w:uiPriority w:val="99"/>
    <w:semiHidden/>
    <w:unhideWhenUsed/>
    <w:rsid w:val="000E5F8B"/>
    <w:rPr>
      <w:color w:val="605E5C"/>
      <w:shd w:val="clear" w:color="auto" w:fill="E1DFDD"/>
    </w:rPr>
  </w:style>
  <w:style w:type="paragraph" w:styleId="Notedebasdepage">
    <w:name w:val="footnote text"/>
    <w:basedOn w:val="Normal"/>
    <w:link w:val="NotedebasdepageCar"/>
    <w:uiPriority w:val="99"/>
    <w:semiHidden/>
    <w:unhideWhenUsed/>
    <w:rsid w:val="00347EC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47ECD"/>
    <w:rPr>
      <w:sz w:val="20"/>
      <w:szCs w:val="20"/>
    </w:rPr>
  </w:style>
  <w:style w:type="character" w:styleId="Appelnotedebasdep">
    <w:name w:val="footnote reference"/>
    <w:basedOn w:val="Policepardfaut"/>
    <w:uiPriority w:val="99"/>
    <w:semiHidden/>
    <w:unhideWhenUsed/>
    <w:rsid w:val="00347ECD"/>
    <w:rPr>
      <w:vertAlign w:val="superscript"/>
    </w:rPr>
  </w:style>
  <w:style w:type="paragraph" w:styleId="Paragraphedeliste">
    <w:name w:val="List Paragraph"/>
    <w:basedOn w:val="Normal"/>
    <w:uiPriority w:val="34"/>
    <w:qFormat/>
    <w:rsid w:val="003D3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0242694.2011.59723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bbc.com/afrique/region-53833109" TargetMode="External"/><Relationship Id="rId1" Type="http://schemas.openxmlformats.org/officeDocument/2006/relationships/hyperlink" Target="https://countrymeters.info/fr/Mal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F3CBD-6D0C-434B-B902-5A4DF3EFE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15875</TotalTime>
  <Pages>12</Pages>
  <Words>3678</Words>
  <Characters>20234</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Josias SADIA</dc:creator>
  <cp:keywords/>
  <dc:description/>
  <cp:lastModifiedBy>Emmanuel Josias SADIA</cp:lastModifiedBy>
  <cp:revision>53</cp:revision>
  <dcterms:created xsi:type="dcterms:W3CDTF">2023-07-13T19:27:00Z</dcterms:created>
  <dcterms:modified xsi:type="dcterms:W3CDTF">2023-08-25T00:10:00Z</dcterms:modified>
</cp:coreProperties>
</file>