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  <w:lang w:val="fr-FR"/>
        </w:rPr>
        <w:t xml:space="preserve">Note sur la dimension Emploi</w:t>
      </w:r>
      <w:r>
        <w:br/>
      </w:r>
      <w:r>
        <w:rPr>
          <w:b/>
          <w:bCs/>
          <w:lang w:val="fr-FR"/>
        </w:rPr>
        <w:t xml:space="preserve">Ce que mesure l’indicateur de chômage, et ce qu’il laisse de côté</w:t>
      </w:r>
    </w:p>
    <w:p>
      <w:pPr>
        <w:pStyle w:val="Author"/>
      </w:pPr>
      <w:r>
        <w:rPr>
          <w:lang w:val="fr-FR"/>
        </w:rPr>
        <w:t xml:space="preserve">Pipeline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PythonIPM</w:t>
      </w:r>
      <w:r>
        <w:rPr>
          <w:lang w:val="fr-FR"/>
        </w:rPr>
        <w:t xml:space="preserve"> </w:t>
      </w:r>
      <w:r>
        <w:rPr>
          <w:lang w:val="fr-FR"/>
        </w:rPr>
        <w:t xml:space="preserve">— IPM Côte d’Ivoire, EHCVM 2021</w:t>
      </w:r>
    </w:p>
    <w:p>
      <w:pPr>
        <w:pStyle w:val="Date"/>
      </w:pPr>
      <w:r>
        <w:rPr>
          <w:lang w:val="fr-FR"/>
        </w:rPr>
        <w:t xml:space="preserve">Septembre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rPr>
          <w:lang w:val="fr-FR"/>
        </w:rPr>
        <w:t xml:space="preserve">La dimension Emploi de l’IPM ivoirien repose sur deux indicateurs de poids égal, dont</w:t>
      </w:r>
      <w:r>
        <w:rPr>
          <w:lang w:val="fr-FR"/>
        </w:rPr>
        <w:t xml:space="preserve"> </w:t>
      </w:r>
      <w:r>
        <w:rPr>
          <w:lang w:val="fr-FR"/>
        </w:rPr>
        <w:t xml:space="preserve">l’un — le chômage — ne prive que 6,5 % de la population et n’apporte que 1,6 % de l’M_</w:t>
      </w:r>
      <w:r>
        <w:rPr>
          <w:lang w:val="fr-FR"/>
        </w:rPr>
        <w:t xml:space="preserve">0</w:t>
      </w:r>
      <w:r>
        <w:rPr>
          <w:lang w:val="fr-FR"/>
        </w:rPr>
        <w:t xml:space="preserve">.</w:t>
      </w:r>
      <w:r>
        <w:rPr>
          <w:lang w:val="fr-FR"/>
        </w:rPr>
        <w:t xml:space="preserve"> </w:t>
      </w:r>
      <w:r>
        <w:rPr>
          <w:lang w:val="fr-FR"/>
        </w:rPr>
        <w:t xml:space="preserve">Cette note documente précisément ce que recouvre la formule « au chômage au sens du BIT » telle</w:t>
      </w:r>
      <w:r>
        <w:rPr>
          <w:lang w:val="fr-FR"/>
        </w:rPr>
        <w:t xml:space="preserve"> </w:t>
      </w:r>
      <w:r>
        <w:rPr>
          <w:lang w:val="fr-FR"/>
        </w:rPr>
        <w:t xml:space="preserve">qu’elle est implémentée, met au jour cinq décisions que l’énoncé ne mentionne pas, puis distingue</w:t>
      </w:r>
      <w:r>
        <w:rPr>
          <w:lang w:val="fr-FR"/>
        </w:rPr>
        <w:t xml:space="preserve"> </w:t>
      </w:r>
      <w:r>
        <w:rPr>
          <w:lang w:val="fr-FR"/>
        </w:rPr>
        <w:t xml:space="preserve">les trois notions que l’on confond couramment — le chômage BIT, la sous-utilisation de la</w:t>
      </w:r>
      <w:r>
        <w:rPr>
          <w:lang w:val="fr-FR"/>
        </w:rPr>
        <w:t xml:space="preserve"> </w:t>
      </w:r>
      <w:r>
        <w:rPr>
          <w:lang w:val="fr-FR"/>
        </w:rPr>
        <w:t xml:space="preserve">main-d’œuvre (SU1 à SU4) et le NEET. Elle chiffre chacune sur l’EHCVM et conclut sur les</w:t>
      </w:r>
      <w:r>
        <w:rPr>
          <w:lang w:val="fr-FR"/>
        </w:rPr>
        <w:t xml:space="preserve"> </w:t>
      </w:r>
      <w:r>
        <w:rPr>
          <w:lang w:val="fr-FR"/>
        </w:rPr>
        <w:t xml:space="preserve">arbitrages ouverts.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fr-FR"/>
            </w:rP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le-point-de-départ"/>
    <w:p>
      <w:pPr>
        <w:pStyle w:val="Heading1"/>
      </w:pPr>
      <w:r>
        <w:rPr>
          <w:lang w:val="fr-FR"/>
        </w:rPr>
        <w:t xml:space="preserve">Le point de départ</w:t>
      </w:r>
    </w:p>
    <w:p>
      <w:pPr>
        <w:pStyle w:val="FirstParagraph"/>
      </w:pPr>
      <w:r>
        <w:rPr>
          <w:lang w:val="fr-FR"/>
        </w:rPr>
        <w:t xml:space="preserve">Le tableau de référence national place dans la dimension Emploi deux indicateurs, à</w:t>
      </w:r>
      <w:r>
        <w:rPr>
          <w:lang w:val="fr-FR"/>
        </w:rPr>
        <w:t xml:space="preserve"> </w:t>
      </w:r>
      <w:r>
        <w:rPr>
          <w:lang w:val="fr-FR"/>
        </w:rPr>
        <w:t xml:space="preserve">0,125 chacun :</w:t>
      </w:r>
    </w:p>
    <w:p>
      <w:pPr>
        <w:pStyle w:val="DefinitionTerm"/>
      </w:pPr>
      <w:r>
        <w:rPr>
          <w:lang w:val="fr-FR"/>
        </w:rPr>
        <w:t xml:space="preserve">Chômage</w:t>
      </w:r>
    </w:p>
    <w:p>
      <w:pPr>
        <w:pStyle w:val="Definition"/>
      </w:pPr>
      <w:r>
        <w:rPr>
          <w:lang w:val="fr-FR"/>
        </w:rPr>
        <w:t xml:space="preserve">« Un membre du ménage âgé de 17-40 ans est au chômage » — au sens du BIT.</w:t>
      </w:r>
    </w:p>
    <w:p>
      <w:pPr>
        <w:pStyle w:val="DefinitionTerm"/>
      </w:pPr>
      <w:r>
        <w:rPr>
          <w:lang w:val="fr-FR"/>
        </w:rPr>
        <w:t xml:space="preserve">Emploi agricole de subsistance</w:t>
      </w:r>
    </w:p>
    <w:p>
      <w:pPr>
        <w:pStyle w:val="Definition"/>
      </w:pPr>
      <w:r>
        <w:rPr>
          <w:lang w:val="fr-FR"/>
        </w:rPr>
        <w:t xml:space="preserve">« Le chef de ménage est occupé mais son activité se</w:t>
      </w:r>
      <w:r>
        <w:rPr>
          <w:lang w:val="fr-FR"/>
        </w:rPr>
        <w:t xml:space="preserve"> </w:t>
      </w:r>
      <w:r>
        <w:rPr>
          <w:lang w:val="fr-FR"/>
        </w:rPr>
        <w:t xml:space="preserve">limite à l’agriculture sur son propre champ, sans salariat, apprentissage ni commerce ».</w:t>
      </w:r>
    </w:p>
    <w:p>
      <w:pPr>
        <w:pStyle w:val="FirstParagraph"/>
      </w:pPr>
      <w:r>
        <w:rPr>
          <w:lang w:val="fr-FR"/>
        </w:rPr>
        <w:t xml:space="preserve">Leurs rendements sont sans commune mesure. À poids identique, l’emploi de subsistance prive</w:t>
      </w:r>
      <w:r>
        <w:rPr>
          <w:lang w:val="fr-FR"/>
        </w:rPr>
        <w:t xml:space="preserve"> </w:t>
      </w:r>
      <w:r>
        <w:rPr>
          <w:lang w:val="fr-FR"/>
        </w:rPr>
        <w:t xml:space="preserve">40,5 % de la population et apporte 16,9 % de l’M_</w:t>
      </w:r>
      <w:r>
        <w:rPr>
          <w:lang w:val="fr-FR"/>
        </w:rPr>
        <w:t xml:space="preserve">0</w:t>
      </w:r>
      <w:r>
        <w:rPr>
          <w:lang w:val="fr-FR"/>
        </w:rPr>
        <w:t xml:space="preserve"> </w:t>
      </w:r>
      <w:r>
        <w:rPr>
          <w:lang w:val="fr-FR"/>
        </w:rPr>
        <w:t xml:space="preserve">; le chômage prive 6,5 % et</w:t>
      </w:r>
      <w:r>
        <w:rPr>
          <w:lang w:val="fr-FR"/>
        </w:rPr>
        <w:t xml:space="preserve"> </w:t>
      </w:r>
      <w:r>
        <w:rPr>
          <w:lang w:val="fr-FR"/>
        </w:rPr>
        <w:t xml:space="preserve">apporte 1,6 %. Le second indicateur porte à lui seul 91 % de la dimension. Cette note</w:t>
      </w:r>
      <w:r>
        <w:rPr>
          <w:lang w:val="fr-FR"/>
        </w:rPr>
        <w:t xml:space="preserve"> </w:t>
      </w:r>
      <w:r>
        <w:rPr>
          <w:lang w:val="fr-FR"/>
        </w:rPr>
        <w:t xml:space="preserve">explique pourquoi.</w:t>
      </w:r>
    </w:p>
    <w:bookmarkEnd w:id="9"/>
    <w:bookmarkStart w:id="12" w:name="X27d2767ddef22f656fab5cefb76452415f0aea8"/>
    <w:p>
      <w:pPr>
        <w:pStyle w:val="Heading1"/>
      </w:pPr>
      <w:r>
        <w:rPr>
          <w:lang w:val="fr-FR"/>
        </w:rPr>
        <w:t xml:space="preserve">Ce que « chômage au sens du BIT » recouvre exactement</w:t>
      </w:r>
    </w:p>
    <w:p>
      <w:pPr>
        <w:pStyle w:val="FirstParagraph"/>
      </w:pPr>
      <w:r>
        <w:rPr>
          <w:lang w:val="fr-FR"/>
        </w:rPr>
        <w:t xml:space="preserve">La construction se fait en trois temps : un test individuel à trois critères, un filtre d’âge,</w:t>
      </w:r>
      <w:r>
        <w:rPr>
          <w:lang w:val="fr-FR"/>
        </w:rPr>
        <w:t xml:space="preserve"> </w:t>
      </w:r>
      <w:r>
        <w:rPr>
          <w:lang w:val="fr-FR"/>
        </w:rPr>
        <w:t xml:space="preserve">puis une règle d’agrégation au ménage.</w:t>
      </w:r>
    </w:p>
    <w:bookmarkStart w:id="10" w:name="le-test-individuel"/>
    <w:p>
      <w:pPr>
        <w:pStyle w:val="Heading2"/>
      </w:pPr>
      <w:r>
        <w:rPr>
          <w:lang w:val="fr-FR"/>
        </w:rPr>
        <w:t xml:space="preserve">Le test individuel</w:t>
      </w:r>
    </w:p>
    <w:p>
      <w:pPr>
        <w:pStyle w:val="FirstParagraph"/>
      </w:pPr>
      <w:r>
        <w:rPr>
          <w:lang w:val="fr-FR"/>
        </w:rPr>
        <w:t xml:space="preserve">Au niveau de chaque membre du ménage, dans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01_preconstruction_matrice_situationnelle.py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Critère BIT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Questions EHCVM mobilisées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Sans emploi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4.10 « a travaillé</w:t>
            </w:r>
            <w:r>
              <w:rPr>
                <w:lang w:val="fr-FR"/>
              </w:rPr>
              <w:t xml:space="preserve"> </w:t>
            </w:r>
            <m:oMath>
              <m:r>
                <m:rPr>
                  <m:sty m:val="p"/>
                </m:rPr>
                <m:t>≥</m:t>
              </m:r>
            </m:oMath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1 h les 7 derniers jours » (qui résume 4.06 champ,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4.07 commerce, 4.08 salariat, 4.09 apprentissage) et 4.11 « possède un emploi mais en était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absent 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ni l’un ni l’autre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En recherche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4.15 ou 4.17 « a cherché un emploi rémunéré au cours des 30 derniers jours 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oui explicite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Disponible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4.20 « quand sera-t-il disponible »</w:t>
            </w:r>
            <w:r>
              <w:rPr>
                <w:lang w:val="fr-FR"/>
              </w:rPr>
              <w:t xml:space="preserve"> </w:t>
            </w:r>
            <m:oMath>
              <m:r>
                <m:rPr>
                  <m:sty m:val="p"/>
                </m:rPr>
                <m:t>∈</m:t>
              </m:r>
            </m:oMath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{immédiatement ; dans 15 jours ;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entre 15 jours et un mois} ou 4.19 « est néanmoins disponible tout de suite 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oui explicite</w:t>
            </w:r>
          </w:p>
        </w:tc>
      </w:tr>
    </w:tbl>
    <w:p>
      <w:pPr>
        <w:pStyle w:val="BodyText"/>
      </w:pPr>
      <w:r>
        <w:rPr>
          <w:lang w:val="fr-FR"/>
        </w:rPr>
        <w:t xml:space="preserve">Les trois conditions sont cumulatives. L’entonnoir, sur les 64 491 individus de</w:t>
      </w:r>
      <w:r>
        <w:rPr>
          <w:lang w:val="fr-FR"/>
        </w:rPr>
        <w:t xml:space="preserve"> </w:t>
      </w:r>
      <w:r>
        <w:rPr>
          <w:lang w:val="fr-FR"/>
        </w:rPr>
        <w:t xml:space="preserve">l’enquête : 45 808 sans emploi (71,0 %), dont 999 en recherche (2,2 %), dont</w:t>
      </w:r>
      <w:r>
        <w:rPr>
          <w:lang w:val="fr-FR"/>
        </w:rPr>
        <w:t xml:space="preserve"> </w:t>
      </w:r>
      <w:r>
        <w:rPr>
          <w:lang w:val="fr-FR"/>
        </w:rPr>
        <w:t xml:space="preserve">740 disponibles (74,1 %).</w:t>
      </w:r>
    </w:p>
    <w:bookmarkEnd w:id="10"/>
    <w:bookmarkStart w:id="11" w:name="le-filtre-dâge-et-lagrégation"/>
    <w:p>
      <w:pPr>
        <w:pStyle w:val="Heading2"/>
      </w:pPr>
      <w:r>
        <w:rPr>
          <w:lang w:val="fr-FR"/>
        </w:rPr>
        <w:t xml:space="preserve">Le filtre d’âge et l’agrégation</w:t>
      </w:r>
    </w:p>
    <w:p>
      <w:pPr>
        <w:pStyle w:val="FirstParagraph"/>
      </w:pPr>
      <w:r>
        <w:rPr>
          <w:lang w:val="fr-FR"/>
        </w:rPr>
        <w:t xml:space="preserve">La tranche retenue est 17-40 ans. L’âge est l’âge déclaré (question 1.04a, renseigné pour</w:t>
      </w:r>
      <w:r>
        <w:rPr>
          <w:lang w:val="fr-FR"/>
        </w:rPr>
        <w:t xml:space="preserve"> </w:t>
      </w:r>
      <w:r>
        <w:rPr>
          <w:lang w:val="fr-FR"/>
        </w:rPr>
        <w:t xml:space="preserve">6 % des membres), à défaut l’année d’enquête moins l’année de naissance. Il reste</w:t>
      </w:r>
      <w:r>
        <w:rPr>
          <w:lang w:val="fr-FR"/>
        </w:rPr>
        <w:t xml:space="preserve"> </w:t>
      </w:r>
      <w:r>
        <w:rPr>
          <w:lang w:val="fr-FR"/>
        </w:rPr>
        <w:t xml:space="preserve">561 chômeurs BIT sur 19 814 personnes de 17-40 ans, soit 2,8 %.</w:t>
      </w:r>
    </w:p>
    <w:p>
      <w:pPr>
        <w:pStyle w:val="BodyText"/>
      </w:pPr>
      <w:r>
        <w:rPr>
          <w:lang w:val="fr-FR"/>
        </w:rPr>
        <w:t xml:space="preserve">Le ménage est déclaré privé si au moins un de ses membres de 17-40 ans est chômeur BIT :</w:t>
      </w:r>
      <w:r>
        <w:rPr>
          <w:lang w:val="fr-FR"/>
        </w:rPr>
        <w:t xml:space="preserve"> </w:t>
      </w:r>
      <w:r>
        <w:rPr>
          <w:lang w:val="fr-FR"/>
        </w:rPr>
        <w:t xml:space="preserve">476 ménages sur 12 965, soit 3,7 % des ménages et 6,5 % de la population</w:t>
      </w:r>
      <w:r>
        <w:rPr>
          <w:lang w:val="fr-FR"/>
        </w:rPr>
        <w:t xml:space="preserve"> </w:t>
      </w:r>
      <w:r>
        <w:rPr>
          <w:lang w:val="fr-FR"/>
        </w:rPr>
        <w:t xml:space="preserve">— l’écart entre les deux tient à ce que les ménages concernés sont plus grands que la moyenne.</w:t>
      </w:r>
    </w:p>
    <w:p>
      <w:pPr>
        <w:pStyle w:val="BlockText"/>
      </w:pPr>
      <w:r>
        <w:rPr>
          <w:b/>
          <w:bCs/>
          <w:lang w:val="fr-FR"/>
        </w:rPr>
        <w:t xml:space="preserve">La chaîne complète en une phrase</w:t>
      </w:r>
    </w:p>
    <w:p>
      <w:pPr>
        <w:pStyle w:val="BlockText"/>
      </w:pPr>
      <w:r>
        <w:rPr>
          <w:lang w:val="fr-FR"/>
        </w:rPr>
        <w:t xml:space="preserve">Est privé le ménage qui compte au moins une personne de 17 à 40 ans qui n’a pas travaillé une</w:t>
      </w:r>
      <w:r>
        <w:rPr>
          <w:lang w:val="fr-FR"/>
        </w:rPr>
        <w:t xml:space="preserve"> </w:t>
      </w:r>
      <w:r>
        <w:rPr>
          <w:lang w:val="fr-FR"/>
        </w:rPr>
        <w:t xml:space="preserve">seule heure la semaine passée, et a fait une démarche de recherche dans les 30 derniers</w:t>
      </w:r>
      <w:r>
        <w:rPr>
          <w:lang w:val="fr-FR"/>
        </w:rPr>
        <w:t xml:space="preserve"> </w:t>
      </w:r>
      <w:r>
        <w:rPr>
          <w:lang w:val="fr-FR"/>
        </w:rPr>
        <w:t xml:space="preserve">jours, et se déclare disponible sous un mois.</w:t>
      </w:r>
    </w:p>
    <w:bookmarkEnd w:id="11"/>
    <w:bookmarkEnd w:id="12"/>
    <w:bookmarkStart w:id="13" w:name="Xec383df5881f0668441f777b9e0c42b47abf91c"/>
    <w:p>
      <w:pPr>
        <w:pStyle w:val="Heading1"/>
      </w:pPr>
      <w:r>
        <w:rPr>
          <w:lang w:val="fr-FR"/>
        </w:rPr>
        <w:t xml:space="preserve">Cinq décisions que l’énoncé ne mentionne pas</w:t>
      </w:r>
    </w:p>
    <w:p>
      <w:pPr>
        <w:pStyle w:val="DefinitionTerm"/>
      </w:pPr>
      <w:r>
        <w:rPr>
          <w:lang w:val="fr-FR"/>
        </w:rPr>
        <w:t xml:space="preserve">Un ménage sur cinq ne peut structurellement pas être privé.</w:t>
      </w:r>
    </w:p>
    <w:p>
      <w:pPr>
        <w:pStyle w:val="Definition"/>
      </w:pPr>
      <w:r>
        <w:rPr>
          <w:lang w:val="fr-FR"/>
        </w:rPr>
        <w:t xml:space="preserve">2 397 ménages</w:t>
      </w:r>
      <w:r>
        <w:rPr>
          <w:lang w:val="fr-FR"/>
        </w:rPr>
        <w:t xml:space="preserve"> </w:t>
      </w:r>
      <w:r>
        <w:rPr>
          <w:lang w:val="fr-FR"/>
        </w:rPr>
        <w:t xml:space="preserve">(18,5 %) n’ont aucun membre de 17-40 ans. Ils sont classés non privés, en application de</w:t>
      </w:r>
      <w:r>
        <w:rPr>
          <w:lang w:val="fr-FR"/>
        </w:rPr>
        <w:t xml:space="preserve"> </w:t>
      </w:r>
      <w:r>
        <w:rPr>
          <w:lang w:val="fr-FR"/>
        </w:rPr>
        <w:t xml:space="preserve">la convention générale du pipeline (« un ménage non concerné n’est pas privé »). C’est un choix</w:t>
      </w:r>
      <w:r>
        <w:rPr>
          <w:lang w:val="fr-FR"/>
        </w:rPr>
        <w:t xml:space="preserve"> </w:t>
      </w:r>
      <w:r>
        <w:rPr>
          <w:lang w:val="fr-FR"/>
        </w:rPr>
        <w:t xml:space="preserve">cohérent, mais pas neutre : un ménage de personnes âgées est hors d’atteinte de cet indicateur.</w:t>
      </w:r>
      <w:r>
        <w:rPr>
          <w:lang w:val="fr-FR"/>
        </w:rPr>
        <w:t xml:space="preserve"> </w:t>
      </w:r>
      <w:r>
        <w:rPr>
          <w:lang w:val="fr-FR"/>
        </w:rPr>
        <w:t xml:space="preserve">À noter que le champ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eligibilite = membres_17_40</w:t>
      </w:r>
      <w:r>
        <w:rPr>
          <w:lang w:val="fr-FR"/>
        </w:rPr>
        <w:t xml:space="preserve">, déclaré dans la définition de</w:t>
      </w:r>
      <w:r>
        <w:rPr>
          <w:lang w:val="fr-FR"/>
        </w:rPr>
        <w:t xml:space="preserve"> </w:t>
      </w:r>
      <w:r>
        <w:rPr>
          <w:lang w:val="fr-FR"/>
        </w:rPr>
        <w:t xml:space="preserve">l’indicateur, n’est jamais utilisé dans le calcul — il ne figure que dans les</w:t>
      </w:r>
      <w:r>
        <w:rPr>
          <w:lang w:val="fr-FR"/>
        </w:rPr>
        <w:t xml:space="preserve"> </w:t>
      </w:r>
      <w:r>
        <w:rPr>
          <w:lang w:val="fr-FR"/>
        </w:rPr>
        <w:t xml:space="preserve">journaux. Il documente une intention qui n’est pas implémentée.</w:t>
      </w:r>
    </w:p>
    <w:p>
      <w:pPr>
        <w:pStyle w:val="DefinitionTerm"/>
      </w:pPr>
      <w:r>
        <w:rPr>
          <w:lang w:val="fr-FR"/>
        </w:rPr>
        <w:t xml:space="preserve">Le traitement des valeurs manquantes est asymétrique.</w:t>
      </w:r>
    </w:p>
    <w:p>
      <w:pPr>
        <w:pStyle w:val="Definition"/>
      </w:pPr>
      <w:r>
        <w:rPr>
          <w:lang w:val="fr-FR"/>
        </w:rPr>
        <w:t xml:space="preserve">Le critère « sans emploi » s’écrit</w:t>
      </w:r>
      <w:r>
        <w:rPr>
          <w:lang w:val="fr-FR"/>
        </w:rPr>
        <w:t xml:space="preserve"> </w:t>
      </w:r>
      <w:r>
        <w:rPr>
          <w:lang w:val="fr-FR"/>
        </w:rPr>
        <w:t xml:space="preserve">en négation (</w:t>
      </w:r>
      <w:r>
        <w:rPr>
          <w:rStyle w:val="VerbatimChar"/>
          <w:lang w:val="fr-FR"/>
        </w:rPr>
        <w:t xml:space="preserve">!= 1</w:t>
      </w:r>
      <w:r>
        <w:rPr>
          <w:lang w:val="fr-FR"/>
        </w:rPr>
        <w:t xml:space="preserve">), de sorte qu’une valeur manquante y est comptée comme un « oui » :</w:t>
      </w:r>
      <w:r>
        <w:rPr>
          <w:lang w:val="fr-FR"/>
        </w:rPr>
        <w:t xml:space="preserve"> </w:t>
      </w:r>
      <w:r>
        <w:rPr>
          <w:lang w:val="fr-FR"/>
        </w:rPr>
        <w:t xml:space="preserve">9 575 individus sont réputés sans emploi alors que 4.10 ou 4.11 n’est pas renseigné</w:t>
      </w:r>
      <w:r>
        <w:rPr>
          <w:lang w:val="fr-FR"/>
        </w:rPr>
        <w:t xml:space="preserve"> </w:t>
      </w:r>
      <w:r>
        <w:rPr>
          <w:lang w:val="fr-FR"/>
        </w:rPr>
        <w:t xml:space="preserve">chez eux. Les critères de recherche et de disponibilité, eux, exigent un « oui » explicite. Les</w:t>
      </w:r>
      <w:r>
        <w:rPr>
          <w:lang w:val="fr-FR"/>
        </w:rPr>
        <w:t xml:space="preserve"> </w:t>
      </w:r>
      <w:r>
        <w:rPr>
          <w:lang w:val="fr-FR"/>
        </w:rPr>
        <w:t xml:space="preserve">trois conditions étant cumulatives, la permissivité du premier est intégralement neutralisée par</w:t>
      </w:r>
      <w:r>
        <w:rPr>
          <w:lang w:val="fr-FR"/>
        </w:rPr>
        <w:t xml:space="preserve"> </w:t>
      </w:r>
      <w:r>
        <w:rPr>
          <w:lang w:val="fr-FR"/>
        </w:rPr>
        <w:t xml:space="preserve">la sévérité des deux autres et le résultat final est juste — mais l’équilibre tient à</w:t>
      </w:r>
      <w:r>
        <w:rPr>
          <w:lang w:val="fr-FR"/>
        </w:rPr>
        <w:t xml:space="preserve"> </w:t>
      </w:r>
      <w:r>
        <w:rPr>
          <w:lang w:val="fr-FR"/>
        </w:rPr>
        <w:t xml:space="preserve">l’enchaînement, non à une décision explicite.</w:t>
      </w:r>
    </w:p>
    <w:p>
      <w:pPr>
        <w:pStyle w:val="DefinitionTerm"/>
      </w:pPr>
      <w:r>
        <w:rPr>
          <w:lang w:val="fr-FR"/>
        </w:rPr>
        <w:t xml:space="preserve">La disponibilité retenue est plus large que le standard BIT.</w:t>
      </w:r>
    </w:p>
    <w:p>
      <w:pPr>
        <w:pStyle w:val="Definition"/>
      </w:pPr>
      <w:r>
        <w:rPr>
          <w:lang w:val="fr-FR"/>
        </w:rPr>
        <w:t xml:space="preserve">Le BIT demande une</w:t>
      </w:r>
      <w:r>
        <w:rPr>
          <w:lang w:val="fr-FR"/>
        </w:rPr>
        <w:t xml:space="preserve"> </w:t>
      </w:r>
      <w:r>
        <w:rPr>
          <w:lang w:val="fr-FR"/>
        </w:rPr>
        <w:t xml:space="preserve">disponibilité sous deux semaines. Le code accepte aussi la modalité 3 de la question 4.20,</w:t>
      </w:r>
      <w:r>
        <w:rPr>
          <w:lang w:val="fr-FR"/>
        </w:rPr>
        <w:t xml:space="preserve"> </w:t>
      </w:r>
      <w:r>
        <w:rPr>
          <w:lang w:val="fr-FR"/>
        </w:rPr>
        <w:t xml:space="preserve">« entre 15 jours et un mois ».</w:t>
      </w:r>
    </w:p>
    <w:p>
      <w:pPr>
        <w:pStyle w:val="DefinitionTerm"/>
      </w:pPr>
      <w:r>
        <w:rPr>
          <w:lang w:val="fr-FR"/>
        </w:rPr>
        <w:t xml:space="preserve">Un chercheur sur quatre est écarté sur la disponibilité</w:t>
      </w:r>
    </w:p>
    <w:p>
      <w:pPr>
        <w:pStyle w:val="Definition"/>
      </w:pPr>
      <w:r>
        <w:rPr>
          <w:lang w:val="fr-FR"/>
        </w:rPr>
        <w:t xml:space="preserve">(999</w:t>
      </w:r>
      <w:r>
        <w:rPr>
          <w:lang w:val="fr-FR"/>
        </w:rPr>
        <w:t xml:space="preserve"> </w:t>
      </w:r>
      <m:oMath>
        <m:r>
          <m:rPr>
            <m:sty m:val="p"/>
          </m:rPr>
          <m:t>→</m:t>
        </m:r>
      </m:oMath>
      <w:r>
        <w:rPr>
          <w:lang w:val="fr-FR"/>
        </w:rPr>
        <w:t xml:space="preserve"> </w:t>
      </w:r>
      <w:r>
        <w:rPr>
          <w:lang w:val="fr-FR"/>
        </w:rPr>
        <w:t xml:space="preserve">740). Pour qui</w:t>
      </w:r>
      <w:r>
        <w:rPr>
          <w:lang w:val="fr-FR"/>
        </w:rPr>
        <w:t xml:space="preserve"> </w:t>
      </w:r>
      <w:r>
        <w:rPr>
          <w:lang w:val="fr-FR"/>
        </w:rPr>
        <w:t xml:space="preserve">a répondu oui à 4.15 ou 4.17, la disponibilité ne peut être établie que par 4.20, la question</w:t>
      </w:r>
      <w:r>
        <w:rPr>
          <w:lang w:val="fr-FR"/>
        </w:rPr>
        <w:t xml:space="preserve"> </w:t>
      </w:r>
      <w:r>
        <w:rPr>
          <w:lang w:val="fr-FR"/>
        </w:rPr>
        <w:t xml:space="preserve">4.19 n’étant posée qu’aux non-chercheurs. Une non-réponse à 4.20 fait sortir la personne du</w:t>
      </w:r>
      <w:r>
        <w:rPr>
          <w:lang w:val="fr-FR"/>
        </w:rPr>
        <w:t xml:space="preserve"> </w:t>
      </w:r>
      <w:r>
        <w:rPr>
          <w:lang w:val="fr-FR"/>
        </w:rPr>
        <w:t xml:space="preserve">chômage. C’est le point où la mesure est la plus restrictive.</w:t>
      </w:r>
    </w:p>
    <w:p>
      <w:pPr>
        <w:pStyle w:val="DefinitionTerm"/>
      </w:pPr>
      <w:r>
        <w:rPr>
          <w:lang w:val="fr-FR"/>
        </w:rPr>
        <w:t xml:space="preserve">La borne de 40 ans</w:t>
      </w:r>
    </w:p>
    <w:p>
      <w:pPr>
        <w:pStyle w:val="Definition"/>
      </w:pPr>
      <w:r>
        <w:rPr>
          <w:lang w:val="fr-FR"/>
        </w:rPr>
        <w:t xml:space="preserve">exclut par construction tout chômeur de 41 ans et plus.</w:t>
      </w:r>
    </w:p>
    <w:bookmarkEnd w:id="13"/>
    <w:bookmarkStart w:id="19" w:name="X9707ca732af637cbb351902e0256e20a5f46102"/>
    <w:p>
      <w:pPr>
        <w:pStyle w:val="Heading1"/>
      </w:pPr>
      <w:r>
        <w:rPr>
          <w:lang w:val="fr-FR"/>
        </w:rPr>
        <w:t xml:space="preserve">Trois notions distinctes, trois dénominateurs</w:t>
      </w:r>
    </w:p>
    <w:p>
      <w:pPr>
        <w:pStyle w:val="FirstParagraph"/>
      </w:pPr>
      <w:r>
        <w:rPr>
          <w:lang w:val="fr-FR"/>
        </w:rPr>
        <w:t xml:space="preserve">On parle couramment de « trois définitions du chômage ». Il n’y en a qu’une. Autour d’elle</w:t>
      </w:r>
      <w:r>
        <w:rPr>
          <w:lang w:val="fr-FR"/>
        </w:rPr>
        <w:t xml:space="preserve"> </w:t>
      </w:r>
      <w:r>
        <w:rPr>
          <w:lang w:val="fr-FR"/>
        </w:rPr>
        <w:t xml:space="preserve">gravitent une famille de mesures de sous-utilisation de la main-d’œuvre, et un</w:t>
      </w:r>
      <w:r>
        <w:rPr>
          <w:lang w:val="fr-FR"/>
        </w:rPr>
        <w:t xml:space="preserve"> </w:t>
      </w:r>
      <w:r>
        <w:rPr>
          <w:lang w:val="fr-FR"/>
        </w:rPr>
        <w:t xml:space="preserve">indicateur de jeunesse qui ne relève pas du marché du travail. Ce qui les sépare n’est pas le</w:t>
      </w:r>
      <w:r>
        <w:rPr>
          <w:lang w:val="fr-FR"/>
        </w:rPr>
        <w:t xml:space="preserve"> </w:t>
      </w:r>
      <w:r>
        <w:rPr>
          <w:lang w:val="fr-FR"/>
        </w:rPr>
        <w:t xml:space="preserve">numérateur, c’est le dénominateur.</w:t>
      </w:r>
    </w:p>
    <w:bookmarkStart w:id="14" w:name="le-cadre-cinq-blocs"/>
    <w:p>
      <w:pPr>
        <w:pStyle w:val="Heading2"/>
      </w:pPr>
      <w:r>
        <w:rPr>
          <w:lang w:val="fr-FR"/>
        </w:rPr>
        <w:t xml:space="preserve">Le cadre : cinq blocs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Bloc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Effectif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Part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Occupés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18 468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51,9 %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Chômeurs BIT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674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1,9 %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1-3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= main-d’œuvre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19 142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53,7 %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Cherche mais n’est pas disponible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0,7 %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Est disponible mais ne cherche pas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572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1,6 %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1-3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= main-d’œuvre potentielle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818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2,3 %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Autres inactifs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15 655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44,0 %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Population de 15 ans et plus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35 615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100 %</w:t>
            </w:r>
          </w:p>
        </w:tc>
      </w:tr>
    </w:tbl>
    <w:bookmarkEnd w:id="14"/>
    <w:bookmarkStart w:id="15" w:name="su1-le-taux-de-chômage"/>
    <w:p>
      <w:pPr>
        <w:pStyle w:val="Heading2"/>
      </w:pPr>
      <w:r>
        <w:rPr>
          <w:lang w:val="fr-FR"/>
        </w:rPr>
        <w:t xml:space="preserve">SU1 — le taux de chômage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U</m:t>
          </m:r>
          <m:r>
            <m:rPr>
              <m:sty m:val="p"/>
            </m:rP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chômeurs</m:t>
              </m:r>
            </m:num>
            <m:den>
              <m:r>
                <m:rPr>
                  <m:nor/>
                  <m:sty m:val="p"/>
                </m:rPr>
                <m:t>occupés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chômeurs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674</m:t>
              </m:r>
            </m:num>
            <m:den>
              <m:r>
                <m:t>19</m:t>
              </m:r>
              <m:r>
                <m:t> </m:t>
              </m:r>
              <m:r>
                <m:t>142</m:t>
              </m:r>
            </m:den>
          </m:f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5</m:t>
          </m:r>
          <m:r>
            <m:t> 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lang w:val="fr-FR"/>
        </w:rPr>
        <w:t xml:space="preserve">Il répond à la question :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parmi ceux qui sont sur le marché du travail, combien n’y trouvent</w:t>
      </w:r>
      <w:r>
        <w:rPr>
          <w:i/>
          <w:iCs/>
          <w:lang w:val="fr-FR"/>
        </w:rPr>
        <w:t xml:space="preserve"> </w:t>
      </w:r>
      <w:r>
        <w:rPr>
          <w:i/>
          <w:iCs/>
          <w:lang w:val="fr-FR"/>
        </w:rPr>
        <w:t xml:space="preserve">pas de place ?</w:t>
      </w:r>
      <w:r>
        <w:rPr>
          <w:lang w:val="fr-FR"/>
        </w:rPr>
        <w:t xml:space="preserve"> </w:t>
      </w:r>
      <w:r>
        <w:rPr>
          <w:lang w:val="fr-FR"/>
        </w:rPr>
        <w:t xml:space="preserve">Deux mécanismes le tirent vers le bas dans une économie comme celle de la Côte</w:t>
      </w:r>
      <w:r>
        <w:rPr>
          <w:lang w:val="fr-FR"/>
        </w:rPr>
        <w:t xml:space="preserve"> </w:t>
      </w:r>
      <w:r>
        <w:rPr>
          <w:lang w:val="fr-FR"/>
        </w:rPr>
        <w:t xml:space="preserve">d’Ivoire, l’un au numérateur, l’autre au dénominateur.</w:t>
      </w:r>
    </w:p>
    <w:p>
      <w:pPr>
        <w:pStyle w:val="BodyText"/>
      </w:pPr>
      <w:r>
        <w:rPr>
          <w:lang w:val="fr-FR"/>
        </w:rPr>
        <w:t xml:space="preserve">Au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numérateur</w:t>
      </w:r>
      <w:r>
        <w:rPr>
          <w:lang w:val="fr-FR"/>
        </w:rPr>
        <w:t xml:space="preserve">, le critère de recherche active : renoncer, c’est sortir du chômage. Là où</w:t>
      </w:r>
      <w:r>
        <w:rPr>
          <w:lang w:val="fr-FR"/>
        </w:rPr>
        <w:t xml:space="preserve"> </w:t>
      </w:r>
      <w:r>
        <w:rPr>
          <w:lang w:val="fr-FR"/>
        </w:rPr>
        <w:t xml:space="preserve">chercher coûte du transport et où l’offre institutionnelle est peu accessible, l’abandon fait</w:t>
      </w:r>
      <w:r>
        <w:rPr>
          <w:lang w:val="fr-FR"/>
        </w:rPr>
        <w:t xml:space="preserve"> </w:t>
      </w:r>
      <w:r>
        <w:rPr>
          <w:lang w:val="fr-FR"/>
        </w:rPr>
        <w:t xml:space="preserve">disparaître statistiquement le problème.</w:t>
      </w:r>
    </w:p>
    <w:p>
      <w:pPr>
        <w:pStyle w:val="BodyText"/>
      </w:pPr>
      <w:r>
        <w:rPr>
          <w:lang w:val="fr-FR"/>
        </w:rPr>
        <w:t xml:space="preserve">Au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dénominateur</w:t>
      </w:r>
      <w:r>
        <w:rPr>
          <w:lang w:val="fr-FR"/>
        </w:rPr>
        <w:t xml:space="preserve">, et c’est le plus lourd, le critère d’</w:t>
      </w:r>
      <w:r>
        <w:rPr>
          <w:i/>
          <w:iCs/>
          <w:lang w:val="fr-FR"/>
        </w:rPr>
        <w:t xml:space="preserve">une heure</w:t>
      </w:r>
      <w:r>
        <w:rPr>
          <w:lang w:val="fr-FR"/>
        </w:rPr>
        <w:t xml:space="preserve"> </w:t>
      </w:r>
      <w:r>
        <w:rPr>
          <w:lang w:val="fr-FR"/>
        </w:rPr>
        <w:t xml:space="preserve">: est occupé</w:t>
      </w:r>
      <w:r>
        <w:rPr>
          <w:lang w:val="fr-FR"/>
        </w:rPr>
        <w:t xml:space="preserve"> </w:t>
      </w:r>
      <w:r>
        <w:rPr>
          <w:lang w:val="fr-FR"/>
        </w:rPr>
        <w:t xml:space="preserve">quiconque a travaillé au moins une heure dans la semaine, y compris sur son propre champ et sans</w:t>
      </w:r>
      <w:r>
        <w:rPr>
          <w:lang w:val="fr-FR"/>
        </w:rPr>
        <w:t xml:space="preserve"> </w:t>
      </w:r>
      <w:r>
        <w:rPr>
          <w:lang w:val="fr-FR"/>
        </w:rPr>
        <w:t xml:space="preserve">rémunération. Sur l’EHCVM,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8 135 personnes — 44,0 % des occupés — n’ont fait que du</w:t>
      </w:r>
      <w:r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 xml:space="preserve">champ</w:t>
      </w:r>
      <w:r>
        <w:rPr>
          <w:lang w:val="fr-FR"/>
        </w:rPr>
        <w:t xml:space="preserve">, rien d’autre.</w:t>
      </w:r>
    </w:p>
    <w:p>
      <w:pPr>
        <w:pStyle w:val="BlockText"/>
      </w:pPr>
      <w:r>
        <w:rPr>
          <w:b/>
          <w:bCs/>
          <w:lang w:val="fr-FR"/>
        </w:rPr>
        <w:t xml:space="preserve">Ce que SU1 dit et ne dit pas</w:t>
      </w:r>
    </w:p>
    <w:p>
      <w:pPr>
        <w:pStyle w:val="BlockText"/>
      </w:pPr>
      <w:r>
        <w:rPr>
          <w:lang w:val="fr-FR"/>
        </w:rPr>
        <w:t xml:space="preserve">Un SU1 de 3,5 % ne signifie pas que le marché du travail se porte bien. Il signifie que peu de</w:t>
      </w:r>
      <w:r>
        <w:rPr>
          <w:lang w:val="fr-FR"/>
        </w:rPr>
        <w:t xml:space="preserve"> </w:t>
      </w:r>
      <w:r>
        <w:rPr>
          <w:lang w:val="fr-FR"/>
        </w:rPr>
        <w:t xml:space="preserve">personnes se trouvent dans la configuration précise « sans aucune activité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et</w:t>
      </w:r>
      <w:r>
        <w:rPr>
          <w:lang w:val="fr-FR"/>
        </w:rPr>
        <w:t xml:space="preserve"> </w:t>
      </w:r>
      <w:r>
        <w:rPr>
          <w:lang w:val="fr-FR"/>
        </w:rPr>
        <w:t xml:space="preserve">en recherche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et</w:t>
      </w:r>
      <w:r>
        <w:rPr>
          <w:lang w:val="fr-FR"/>
        </w:rPr>
        <w:t xml:space="preserve"> </w:t>
      </w:r>
      <w:r>
        <w:rPr>
          <w:lang w:val="fr-FR"/>
        </w:rPr>
        <w:t xml:space="preserve">disponible ». Dans une économie à dominante agricole et informelle, cette configuration</w:t>
      </w:r>
      <w:r>
        <w:rPr>
          <w:lang w:val="fr-FR"/>
        </w:rPr>
        <w:t xml:space="preserve"> </w:t>
      </w:r>
      <w:r>
        <w:rPr>
          <w:lang w:val="fr-FR"/>
        </w:rPr>
        <w:t xml:space="preserve">est rare par construction.</w:t>
      </w:r>
    </w:p>
    <w:bookmarkEnd w:id="15"/>
    <w:bookmarkStart w:id="16" w:name="su3-chômage-et-main-dœuvre-potentielle"/>
    <w:p>
      <w:pPr>
        <w:pStyle w:val="Heading2"/>
      </w:pPr>
      <w:r>
        <w:rPr>
          <w:lang w:val="fr-FR"/>
        </w:rPr>
        <w:t xml:space="preserve">SU3 — chômage et main-d’œuvre potentielle</w:t>
      </w:r>
    </w:p>
    <w:p>
      <w:pPr>
        <w:pStyle w:val="FirstParagraph"/>
      </w:pPr>
      <w:r>
        <w:rPr>
          <w:lang w:val="fr-FR"/>
        </w:rPr>
        <w:t xml:space="preserve">Le BIT (19</w:t>
      </w:r>
      <w:r>
        <w:rPr>
          <w:vertAlign w:val="superscript"/>
          <w:lang w:val="fr-FR"/>
        </w:rPr>
        <w:t xml:space="preserve">e</w:t>
      </w:r>
      <w:r>
        <w:rPr>
          <w:lang w:val="fr-FR"/>
        </w:rPr>
        <w:t xml:space="preserve"> </w:t>
      </w:r>
      <w:r>
        <w:rPr>
          <w:lang w:val="fr-FR"/>
        </w:rPr>
        <w:t xml:space="preserve">CIST, 2013) définit quatre mesures de sous-utilisation, SU1 à SU4</w:t>
      </w:r>
      <w:r>
        <w:rPr>
          <w:lang w:val="fr-FR"/>
        </w:rPr>
        <w:t xml:space="preserve"> </w:t>
      </w:r>
      <w:r>
        <w:rPr>
          <w:lang w:val="fr-FR"/>
        </w:rPr>
        <w:t xml:space="preserve">(LU1 à LU4 en anglais), en cercles concentriques : SU1 le chômage ; SU2 y ajoute le sous-emploi</w:t>
      </w:r>
      <w:r>
        <w:rPr>
          <w:lang w:val="fr-FR"/>
        </w:rPr>
        <w:t xml:space="preserve"> </w:t>
      </w:r>
      <w:r>
        <w:rPr>
          <w:lang w:val="fr-FR"/>
        </w:rPr>
        <w:t xml:space="preserve">lié au temps ; SU3 y ajoute la main-d’œuvre potentielle ; SU4 réunit les trois.</w:t>
      </w:r>
    </w:p>
    <w:p>
      <w:pPr>
        <w:pStyle w:val="BodyText"/>
      </w:pPr>
      <w:r>
        <w:rPr>
          <w:lang w:val="fr-FR"/>
        </w:rPr>
        <w:t xml:space="preserve">La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main-d’œuvre potentielle</w:t>
      </w:r>
      <w:r>
        <w:rPr>
          <w:lang w:val="fr-FR"/>
        </w:rPr>
        <w:t xml:space="preserve"> </w:t>
      </w:r>
      <w:r>
        <w:rPr>
          <w:lang w:val="fr-FR"/>
        </w:rPr>
        <w:t xml:space="preserve">rassemble ceux qui veulent travailler sans réunir les trois</w:t>
      </w:r>
      <w:r>
        <w:rPr>
          <w:lang w:val="fr-FR"/>
        </w:rPr>
        <w:t xml:space="preserve"> </w:t>
      </w:r>
      <w:r>
        <w:rPr>
          <w:lang w:val="fr-FR"/>
        </w:rPr>
        <w:t xml:space="preserve">critères, en deux branches symétriques : ceux qui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cherchent sans être disponibles</w:t>
      </w:r>
      <w:r>
        <w:rPr>
          <w:lang w:val="fr-FR"/>
        </w:rPr>
        <w:t xml:space="preserve"> </w:t>
      </w:r>
      <w:r>
        <w:rPr>
          <w:lang w:val="fr-FR"/>
        </w:rPr>
        <w:t xml:space="preserve">(246) et</w:t>
      </w:r>
      <w:r>
        <w:rPr>
          <w:lang w:val="fr-FR"/>
        </w:rPr>
        <w:t xml:space="preserve"> </w:t>
      </w:r>
      <w:r>
        <w:rPr>
          <w:lang w:val="fr-FR"/>
        </w:rPr>
        <w:t xml:space="preserve">ceux qui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sont disponibles sans chercher</w:t>
      </w:r>
      <w:r>
        <w:rPr>
          <w:lang w:val="fr-FR"/>
        </w:rPr>
        <w:t xml:space="preserve"> </w:t>
      </w:r>
      <w:r>
        <w:rPr>
          <w:lang w:val="fr-FR"/>
        </w:rPr>
        <w:t xml:space="preserve">(572) — c’est là que loge le découragement.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U</m:t>
          </m:r>
          <m:r>
            <m:rPr>
              <m:sty m:val="p"/>
            </m:rPr>
            <m:t>3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chômeurs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main-d’œuvre potentielle</m:t>
              </m:r>
            </m:num>
            <m:den>
              <m:r>
                <m:rPr>
                  <m:nor/>
                  <m:sty m:val="p"/>
                </m:rPr>
                <m:t>main-d’œuvre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main-d’œuvre potentielle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674</m:t>
              </m:r>
              <m:r>
                <m:rPr>
                  <m:sty m:val="p"/>
                </m:rPr>
                <m:t>+</m:t>
              </m:r>
              <m:r>
                <m:t>818</m:t>
              </m:r>
            </m:num>
            <m:den>
              <m:r>
                <m:t>19</m:t>
              </m:r>
              <m:r>
                <m:t> </m:t>
              </m:r>
              <m:r>
                <m:t>142</m:t>
              </m:r>
              <m:r>
                <m:rPr>
                  <m:sty m:val="p"/>
                </m:rPr>
                <m:t>+</m:t>
              </m:r>
              <m:r>
                <m:t>818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t> </m:t>
              </m:r>
              <m:r>
                <m:t>492</m:t>
              </m:r>
            </m:num>
            <m:den>
              <m:r>
                <m:t>19</m:t>
              </m:r>
              <m:r>
                <m:t> </m:t>
              </m:r>
              <m:r>
                <m:t>960</m:t>
              </m:r>
            </m:den>
          </m:f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5</m:t>
          </m:r>
          <m:r>
            <m:t> 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lang w:val="fr-FR"/>
        </w:rPr>
        <w:t xml:space="preserve">Le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dénominateur change lui aussi</w:t>
      </w:r>
      <w:r>
        <w:rPr>
          <w:lang w:val="fr-FR"/>
        </w:rPr>
        <w:t xml:space="preserve"> </w:t>
      </w:r>
      <w:r>
        <w:rPr>
          <w:lang w:val="fr-FR"/>
        </w:rPr>
        <w:t xml:space="preserve">: SU3 n’est pas SU1 avec un numérateur élargi, mais une</w:t>
      </w:r>
      <w:r>
        <w:rPr>
          <w:lang w:val="fr-FR"/>
        </w:rPr>
        <w:t xml:space="preserve"> </w:t>
      </w:r>
      <w:r>
        <w:rPr>
          <w:lang w:val="fr-FR"/>
        </w:rPr>
        <w:t xml:space="preserve">reconstruction des deux termes. On ne passe donc pas de l’un à l’autre par une règle de trois.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Champ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SU1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SU3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Rapport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15 ans et plus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3,5 %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7,5 %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×</m:t>
              </m:r>
            </m:oMath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2,1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17-40 ans (bande de l’IPM)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5,5 %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11,3 %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×</m:t>
              </m:r>
            </m:oMath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2,0</w:t>
            </w:r>
          </w:p>
        </w:tc>
      </w:tr>
    </w:tbl>
    <w:bookmarkEnd w:id="16"/>
    <w:bookmarkStart w:id="17" w:name="qui-compose-la-main-dœuvre-potentielle"/>
    <w:p>
      <w:pPr>
        <w:pStyle w:val="Heading2"/>
      </w:pPr>
      <w:r>
        <w:rPr>
          <w:lang w:val="fr-FR"/>
        </w:rPr>
        <w:t xml:space="preserve">Qui compose la main-d’œuvre potentielle</w:t>
      </w:r>
    </w:p>
    <w:p>
      <w:pPr>
        <w:pStyle w:val="FirstParagraph"/>
      </w:pPr>
      <w:r>
        <w:rPr>
          <w:lang w:val="fr-FR"/>
        </w:rPr>
        <w:t xml:space="preserve">La question 4.18 (raison principale de non-recherche) identifie les 572 personnes de la seconde</w:t>
      </w:r>
      <w:r>
        <w:rPr>
          <w:lang w:val="fr-FR"/>
        </w:rPr>
        <w:t xml:space="preserve"> </w:t>
      </w:r>
      <w:r>
        <w:rPr>
          <w:lang w:val="fr-FR"/>
        </w:rPr>
        <w:t xml:space="preserve">branche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Raison de non-recherche (4.18)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Effectif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Part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Ménagère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32,3 %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Manque d’emploi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17,8 %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Attend le démarrage de sa propre entreprise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14,2 %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Ne sait pas comment chercher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10,7 %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Étudiant / Élève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9,8 %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Attend la réponse à une demande d’emploi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8,7 %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Ne veut pas travailler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3,7 %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Autres (maladie, âge, retraite, handicap)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2,8 %</w:t>
            </w:r>
          </w:p>
        </w:tc>
      </w:tr>
    </w:tbl>
    <w:p>
      <w:pPr>
        <w:pStyle w:val="BodyText"/>
      </w:pPr>
      <w:r>
        <w:rPr>
          <w:lang w:val="fr-FR"/>
        </w:rPr>
        <w:t xml:space="preserve">Les deux lignes en gras — 163 personnes, 28 % de la branche — constituent le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découragement au sens propre</w:t>
      </w:r>
      <w:r>
        <w:rPr>
          <w:lang w:val="fr-FR"/>
        </w:rPr>
        <w:t xml:space="preserve"> </w:t>
      </w:r>
      <w:r>
        <w:rPr>
          <w:lang w:val="fr-FR"/>
        </w:rPr>
        <w:t xml:space="preserve">: disponibles, mais convaincus qu’il n’y a rien à trouver ou</w:t>
      </w:r>
      <w:r>
        <w:rPr>
          <w:lang w:val="fr-FR"/>
        </w:rPr>
        <w:t xml:space="preserve"> </w:t>
      </w:r>
      <w:r>
        <w:rPr>
          <w:lang w:val="fr-FR"/>
        </w:rPr>
        <w:t xml:space="preserve">ne sachant pas s’y prendre. SU1 les classe parmi les inactifs, au même titre qu’un rentier.</w:t>
      </w:r>
    </w:p>
    <w:p>
      <w:pPr>
        <w:pStyle w:val="BodyText"/>
      </w:pPr>
      <w:r>
        <w:rPr>
          <w:lang w:val="fr-FR"/>
        </w:rPr>
        <w:t xml:space="preserve">Deux réserves sur cette liste. Les ménagères et les étudiants y figurent parce qu’ils ont déclaré</w:t>
      </w:r>
      <w:r>
        <w:rPr>
          <w:lang w:val="fr-FR"/>
        </w:rPr>
        <w:t xml:space="preserve"> </w:t>
      </w:r>
      <w:r>
        <w:rPr>
          <w:lang w:val="fr-FR"/>
        </w:rPr>
        <w:t xml:space="preserve">être disponibles — ce qui est conforme au BIT, qui n’exclut personne sur le statut, mais pèse</w:t>
      </w:r>
      <w:r>
        <w:rPr>
          <w:lang w:val="fr-FR"/>
        </w:rPr>
        <w:t xml:space="preserve"> </w:t>
      </w:r>
      <w:r>
        <w:rPr>
          <w:lang w:val="fr-FR"/>
        </w:rPr>
        <w:t xml:space="preserve">42 % de la branche. Et les 21 « ne veut pas travailler » sont en contradiction avec leur propre</w:t>
      </w:r>
      <w:r>
        <w:rPr>
          <w:lang w:val="fr-FR"/>
        </w:rPr>
        <w:t xml:space="preserve"> </w:t>
      </w:r>
      <w:r>
        <w:rPr>
          <w:lang w:val="fr-FR"/>
        </w:rPr>
        <w:t xml:space="preserve">déclaration de disponibilité : ils seraient à retirer lors de la construction.</w:t>
      </w:r>
    </w:p>
    <w:bookmarkEnd w:id="17"/>
    <w:bookmarkStart w:id="18" w:name="neet-un-objet-différent"/>
    <w:p>
      <w:pPr>
        <w:pStyle w:val="Heading2"/>
      </w:pPr>
      <w:r>
        <w:rPr>
          <w:lang w:val="fr-FR"/>
        </w:rPr>
        <w:t xml:space="preserve">NEET — un objet différent</w:t>
      </w:r>
    </w:p>
    <w:p>
      <w:pPr>
        <w:pStyle w:val="FirstParagraph"/>
      </w:pPr>
      <w:r>
        <w:rPr>
          <w:i/>
          <w:iCs/>
          <w:lang w:val="fr-FR"/>
        </w:rPr>
        <w:t xml:space="preserve">Not in Employment, Education or Training</w:t>
      </w:r>
      <w:r>
        <w:rPr>
          <w:lang w:val="fr-FR"/>
        </w:rPr>
        <w:t xml:space="preserve"> </w:t>
      </w:r>
      <w:r>
        <w:rPr>
          <w:lang w:val="fr-FR"/>
        </w:rPr>
        <w:t xml:space="preserve">: les 15-24 ans qui ne sont ni en emploi, ni en</w:t>
      </w:r>
      <w:r>
        <w:rPr>
          <w:lang w:val="fr-FR"/>
        </w:rPr>
        <w:t xml:space="preserve"> </w:t>
      </w:r>
      <w:r>
        <w:rPr>
          <w:lang w:val="fr-FR"/>
        </w:rPr>
        <w:t xml:space="preserve">études, ni en formation. C’est l’indicateur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ODD 8.6.1</w:t>
      </w:r>
      <w:r>
        <w:rPr>
          <w:lang w:val="fr-FR"/>
        </w:rPr>
        <w:t xml:space="preserve">. Son dénominateur n’est pas la</w:t>
      </w:r>
      <w:r>
        <w:rPr>
          <w:lang w:val="fr-FR"/>
        </w:rPr>
        <w:t xml:space="preserve"> </w:t>
      </w:r>
      <w:r>
        <w:rPr>
          <w:lang w:val="fr-FR"/>
        </w:rPr>
        <w:t xml:space="preserve">population active mais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l’ensemble des jeunes</w:t>
      </w:r>
      <w:r>
        <w:rPr>
          <w:lang w:val="fr-FR"/>
        </w:rPr>
        <w:t xml:space="preserve">. Un NEET peut être chômeur, découragé,</w:t>
      </w:r>
      <w:r>
        <w:rPr>
          <w:lang w:val="fr-FR"/>
        </w:rPr>
        <w:t xml:space="preserve"> </w:t>
      </w:r>
      <w:r>
        <w:rPr>
          <w:lang w:val="fr-FR"/>
        </w:rPr>
        <w:t xml:space="preserve">femme au foyer ou malade : l’indicateur ne mesure pas une offre de travail non satisfaite, il</w:t>
      </w:r>
      <w:r>
        <w:rPr>
          <w:lang w:val="fr-FR"/>
        </w:rPr>
        <w:t xml:space="preserve"> </w:t>
      </w:r>
      <w:r>
        <w:rPr>
          <w:lang w:val="fr-FR"/>
        </w:rPr>
        <w:t xml:space="preserve">mesure une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déconnexion</w:t>
      </w:r>
      <w:r>
        <w:rPr>
          <w:lang w:val="fr-FR"/>
        </w:rPr>
        <w:t xml:space="preserve"> </w:t>
      </w:r>
      <w:r>
        <w:rPr>
          <w:lang w:val="fr-FR"/>
        </w:rPr>
        <w:t xml:space="preserve">— des jeunes qui n’accumulent de capital humain ni par l’école</w:t>
      </w:r>
      <w:r>
        <w:rPr>
          <w:lang w:val="fr-FR"/>
        </w:rPr>
        <w:t xml:space="preserve"> </w:t>
      </w:r>
      <w:r>
        <w:rPr>
          <w:lang w:val="fr-FR"/>
        </w:rPr>
        <w:t xml:space="preserve">ni par l’emploi.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Question posée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Dénominateur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EHCVM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SU1 / BIT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Qui, sur le marché, n’y trouve pas de place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main-d’œuvre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3,5 %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SU3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Qui veut travailler sans y parvenir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+ main-d’œuvre potentielle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7,5 %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NEET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Quels jeunes ne construisent rien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population des 15-24 ans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≈</m:t>
              </m:r>
            </m:oMath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40 %</w:t>
            </w:r>
          </w:p>
        </w:tc>
      </w:tr>
    </w:tbl>
    <w:bookmarkEnd w:id="18"/>
    <w:bookmarkEnd w:id="19"/>
    <w:bookmarkStart w:id="23" w:name="ce-qui-est-constructible-sur-lehcvm"/>
    <w:p>
      <w:pPr>
        <w:pStyle w:val="Heading1"/>
      </w:pPr>
      <w:r>
        <w:rPr>
          <w:lang w:val="fr-FR"/>
        </w:rPr>
        <w:t xml:space="preserve">Ce qui est constructible sur l’EHCVM</w:t>
      </w:r>
    </w:p>
    <w:bookmarkStart w:id="20" w:name="su3-oui-intégralement"/>
    <w:p>
      <w:pPr>
        <w:pStyle w:val="Heading2"/>
      </w:pPr>
      <w:r>
        <w:rPr>
          <w:lang w:val="fr-FR"/>
        </w:rPr>
        <w:t xml:space="preserve">SU3 : oui, intégralement</w:t>
      </w:r>
    </w:p>
    <w:p>
      <w:pPr>
        <w:pStyle w:val="FirstParagraph"/>
      </w:pPr>
      <w:r>
        <w:rPr>
          <w:lang w:val="fr-FR"/>
        </w:rPr>
        <w:t xml:space="preserve">Toutes les composantes sont présentes. Les taux de réponse apparemment faibles de 4.15 (24 %),</w:t>
      </w:r>
      <w:r>
        <w:rPr>
          <w:lang w:val="fr-FR"/>
        </w:rPr>
        <w:t xml:space="preserve"> </w:t>
      </w:r>
      <w:r>
        <w:rPr>
          <w:lang w:val="fr-FR"/>
        </w:rPr>
        <w:t xml:space="preserve">4.19 (52 %) et 4.18 (57 %) chez les 15-24 ans relèvent du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routage du questionnaire</w:t>
      </w:r>
      <w:r>
        <w:rPr>
          <w:lang w:val="fr-FR"/>
        </w:rPr>
        <w:t xml:space="preserve"> </w:t>
      </w:r>
      <w:r>
        <w:rPr>
          <w:lang w:val="fr-FR"/>
        </w:rPr>
        <w:t xml:space="preserve">et</w:t>
      </w:r>
      <w:r>
        <w:rPr>
          <w:lang w:val="fr-FR"/>
        </w:rPr>
        <w:t xml:space="preserve"> </w:t>
      </w:r>
      <w:r>
        <w:rPr>
          <w:lang w:val="fr-FR"/>
        </w:rPr>
        <w:t xml:space="preserve">non de la non-réponse : 4.19 n’est posée qu’aux non-chercheurs, par construction. Les deux</w:t>
      </w:r>
      <w:r>
        <w:rPr>
          <w:lang w:val="fr-FR"/>
        </w:rPr>
        <w:t xml:space="preserve"> </w:t>
      </w:r>
      <w:r>
        <w:rPr>
          <w:lang w:val="fr-FR"/>
        </w:rPr>
        <w:t xml:space="preserve">branches de la main-d’œuvre potentielle se reconstituent sans approximation, et 4.18 permet</w:t>
      </w:r>
      <w:r>
        <w:rPr>
          <w:lang w:val="fr-FR"/>
        </w:rPr>
        <w:t xml:space="preserve"> </w:t>
      </w:r>
      <w:r>
        <w:rPr>
          <w:lang w:val="fr-FR"/>
        </w:rPr>
        <w:t xml:space="preserve">d’isoler proprement les découragés.</w:t>
      </w:r>
    </w:p>
    <w:bookmarkEnd w:id="20"/>
    <w:bookmarkStart w:id="21" w:name="su2-et-su4-non"/>
    <w:p>
      <w:pPr>
        <w:pStyle w:val="Heading2"/>
      </w:pPr>
      <w:r>
        <w:rPr>
          <w:lang w:val="fr-FR"/>
        </w:rPr>
        <w:t xml:space="preserve">SU2 et SU4 : non</w:t>
      </w:r>
    </w:p>
    <w:p>
      <w:pPr>
        <w:pStyle w:val="FirstParagraph"/>
      </w:pPr>
      <w:r>
        <w:rPr>
          <w:lang w:val="fr-FR"/>
        </w:rPr>
        <w:t xml:space="preserve">Le sous-emploi lié au temps demande, outre les heures travaillées — disponibles via 4.36</w:t>
      </w:r>
      <w:r>
        <w:rPr>
          <w:lang w:val="fr-FR"/>
        </w:rPr>
        <w:t xml:space="preserve"> </w:t>
      </w:r>
      <w:r>
        <w:rPr>
          <w:lang w:val="fr-FR"/>
        </w:rPr>
        <w:t xml:space="preserve">(jours par mois) et 4.37 (heures par jour) —, la question « souhaitiez-vous travailler</w:t>
      </w:r>
      <w:r>
        <w:rPr>
          <w:lang w:val="fr-FR"/>
        </w:rPr>
        <w:t xml:space="preserve"> </w:t>
      </w:r>
      <w:r>
        <w:rPr>
          <w:lang w:val="fr-FR"/>
        </w:rPr>
        <w:t xml:space="preserve">davantage ? ». Elle ne figure pas dans le questionnaire. SU2 et SU4 sont donc hors de portée.</w:t>
      </w:r>
    </w:p>
    <w:bookmarkEnd w:id="21"/>
    <w:bookmarkStart w:id="22" w:name="neet-partiellement"/>
    <w:p>
      <w:pPr>
        <w:pStyle w:val="Heading2"/>
      </w:pPr>
      <w:r>
        <w:rPr>
          <w:lang w:val="fr-FR"/>
        </w:rPr>
        <w:t xml:space="preserve">NEET : partiellement</w:t>
      </w:r>
    </w:p>
    <w:p>
      <w:pPr>
        <w:pStyle w:val="DefinitionTerm"/>
      </w:pPr>
      <w:r>
        <w:rPr>
          <w:lang w:val="fr-FR"/>
        </w:rPr>
        <w:t xml:space="preserve">L’emploi</w:t>
      </w:r>
    </w:p>
    <w:p>
      <w:pPr>
        <w:pStyle w:val="Definition"/>
      </w:pPr>
      <w:r>
        <w:rPr>
          <w:lang w:val="fr-FR"/>
        </w:rPr>
        <w:t xml:space="preserve">est renseigné à 100 % par 4.10.</w:t>
      </w:r>
    </w:p>
    <w:p>
      <w:pPr>
        <w:pStyle w:val="DefinitionTerm"/>
      </w:pPr>
      <w:r>
        <w:rPr>
          <w:lang w:val="fr-FR"/>
        </w:rPr>
        <w:t xml:space="preserve">L’éducation</w:t>
      </w:r>
    </w:p>
    <w:p>
      <w:pPr>
        <w:pStyle w:val="Definition"/>
      </w:pPr>
      <w:r>
        <w:rPr>
          <w:lang w:val="fr-FR"/>
        </w:rPr>
        <w:t xml:space="preserve">pose une difficulté de vague. La question 2.08a (scolarisé en 2021/22)</w:t>
      </w:r>
      <w:r>
        <w:rPr>
          <w:lang w:val="fr-FR"/>
        </w:rPr>
        <w:t xml:space="preserve"> </w:t>
      </w:r>
      <w:r>
        <w:rPr>
          <w:lang w:val="fr-FR"/>
        </w:rPr>
        <w:t xml:space="preserve">n’existe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qu’en vague 2</w:t>
      </w:r>
      <w:r>
        <w:rPr>
          <w:lang w:val="fr-FR"/>
        </w:rPr>
        <w:t xml:space="preserve"> </w:t>
      </w:r>
      <w:r>
        <w:rPr>
          <w:lang w:val="fr-FR"/>
        </w:rPr>
        <w:t xml:space="preserve">— 0 % de réponses en vague 1. Il faut passer par 2.12</w:t>
      </w:r>
      <w:r>
        <w:rPr>
          <w:lang w:val="fr-FR"/>
        </w:rPr>
        <w:t xml:space="preserve"> </w:t>
      </w:r>
      <w:r>
        <w:rPr>
          <w:lang w:val="fr-FR"/>
        </w:rPr>
        <w:t xml:space="preserve">(scolarisé en 2020/21), présente dans les deux vagues à 66 %. Vérification faite, les valeurs</w:t>
      </w:r>
      <w:r>
        <w:rPr>
          <w:lang w:val="fr-FR"/>
        </w:rPr>
        <w:t xml:space="preserve"> </w:t>
      </w:r>
      <w:r>
        <w:rPr>
          <w:lang w:val="fr-FR"/>
        </w:rPr>
        <w:t xml:space="preserve">manquantes de 2.12 correspondent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exactement</w:t>
      </w:r>
      <w:r>
        <w:rPr>
          <w:lang w:val="fr-FR"/>
        </w:rPr>
        <w:t xml:space="preserve"> </w:t>
      </w:r>
      <w:r>
        <w:rPr>
          <w:lang w:val="fr-FR"/>
        </w:rPr>
        <w:t xml:space="preserve">aux 3 320 jeunes n’ayant jamais fréquenté</w:t>
      </w:r>
      <w:r>
        <w:rPr>
          <w:lang w:val="fr-FR"/>
        </w:rPr>
        <w:t xml:space="preserve"> </w:t>
      </w:r>
      <w:r>
        <w:rPr>
          <w:lang w:val="fr-FR"/>
        </w:rPr>
        <w:t xml:space="preserve">l’école (question 2.03), à 17 cas résiduels près : ils sont donc non scolarisés par déduction,</w:t>
      </w:r>
      <w:r>
        <w:rPr>
          <w:lang w:val="fr-FR"/>
        </w:rPr>
        <w:t xml:space="preserve"> </w:t>
      </w:r>
      <w:r>
        <w:rPr>
          <w:lang w:val="fr-FR"/>
        </w:rPr>
        <w:t xml:space="preserve">et la couverture est en réalité complète. Le décalage d’une année scolaire, lui, demeure.</w:t>
      </w:r>
    </w:p>
    <w:p>
      <w:pPr>
        <w:pStyle w:val="DefinitionTerm"/>
      </w:pPr>
      <w:r>
        <w:rPr>
          <w:lang w:val="fr-FR"/>
        </w:rPr>
        <w:t xml:space="preserve">La formation</w:t>
      </w:r>
    </w:p>
    <w:p>
      <w:pPr>
        <w:pStyle w:val="Definition"/>
      </w:pPr>
      <w:r>
        <w:rPr>
          <w:lang w:val="fr-FR"/>
        </w:rPr>
        <w:t xml:space="preserve">n’est pas mesurée. Les questions 2.05 et 2.06 identifient bien une</w:t>
      </w:r>
      <w:r>
        <w:rPr>
          <w:lang w:val="fr-FR"/>
        </w:rPr>
        <w:t xml:space="preserve"> </w:t>
      </w:r>
      <w:r>
        <w:rPr>
          <w:lang w:val="fr-FR"/>
        </w:rPr>
        <w:t xml:space="preserve">« formation professionnelle » non formelle, mais au passé et sans période de référence : c’est</w:t>
      </w:r>
      <w:r>
        <w:rPr>
          <w:lang w:val="fr-FR"/>
        </w:rPr>
        <w:t xml:space="preserve"> </w:t>
      </w:r>
      <w:r>
        <w:rPr>
          <w:lang w:val="fr-FR"/>
        </w:rPr>
        <w:t xml:space="preserve">un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a déjà suivi</w:t>
      </w:r>
      <w:r>
        <w:rPr>
          <w:lang w:val="fr-FR"/>
        </w:rPr>
        <w:t xml:space="preserve">, non un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suit actuellement</w:t>
      </w:r>
      <w:r>
        <w:rPr>
          <w:lang w:val="fr-FR"/>
        </w:rPr>
        <w:t xml:space="preserve">. Et l’apprentissage (4.09) est déjà</w:t>
      </w:r>
      <w:r>
        <w:rPr>
          <w:lang w:val="fr-FR"/>
        </w:rPr>
        <w:t xml:space="preserve"> </w:t>
      </w:r>
      <w:r>
        <w:rPr>
          <w:lang w:val="fr-FR"/>
        </w:rPr>
        <w:t xml:space="preserve">compté comme un emploi.</w:t>
      </w:r>
    </w:p>
    <w:p>
      <w:pPr>
        <w:pStyle w:val="BlockText"/>
      </w:pPr>
      <w:r>
        <w:rPr>
          <w:b/>
          <w:bCs/>
          <w:lang w:val="fr-FR"/>
        </w:rPr>
        <w:t xml:space="preserve">Attention — Un NEET EHCVM serait en réalité un « NEE »</w:t>
      </w:r>
    </w:p>
    <w:p>
      <w:pPr>
        <w:pStyle w:val="BlockText"/>
      </w:pPr>
      <w:r>
        <w:rPr>
          <w:lang w:val="fr-FR"/>
        </w:rPr>
        <w:t xml:space="preserve">Ni en emploi, ni en études — sans le volet formation. Sur cette base approchée, 4 079 jeunes</w:t>
      </w:r>
      <w:r>
        <w:rPr>
          <w:lang w:val="fr-FR"/>
        </w:rPr>
        <w:t xml:space="preserve"> </w:t>
      </w:r>
      <w:r>
        <w:rPr>
          <w:lang w:val="fr-FR"/>
        </w:rPr>
        <w:t xml:space="preserve">sur 10 078 sont concernés, soit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40,5 % des 15-24 ans</w:t>
      </w:r>
      <w:r>
        <w:rPr>
          <w:lang w:val="fr-FR"/>
        </w:rPr>
        <w:t xml:space="preserve">. Le chiffre surestime le NEET</w:t>
      </w:r>
      <w:r>
        <w:rPr>
          <w:lang w:val="fr-FR"/>
        </w:rPr>
        <w:t xml:space="preserve"> </w:t>
      </w:r>
      <w:r>
        <w:rPr>
          <w:lang w:val="fr-FR"/>
        </w:rPr>
        <w:t xml:space="preserve">d’autant que des jeunes sont en formation professionnelle en cours ; les questions 2.05 et 2.06</w:t>
      </w:r>
      <w:r>
        <w:rPr>
          <w:lang w:val="fr-FR"/>
        </w:rPr>
        <w:t xml:space="preserve"> </w:t>
      </w:r>
      <w:r>
        <w:rPr>
          <w:lang w:val="fr-FR"/>
        </w:rPr>
        <w:t xml:space="preserve">permettent d’en majorer le biais, à défaut de le corriger.</w:t>
      </w:r>
    </w:p>
    <w:bookmarkEnd w:id="22"/>
    <w:bookmarkEnd w:id="23"/>
    <w:bookmarkStart w:id="24" w:name="les-arbitrages-ouverts"/>
    <w:p>
      <w:pPr>
        <w:pStyle w:val="Heading1"/>
      </w:pPr>
      <w:r>
        <w:rPr>
          <w:lang w:val="fr-FR"/>
        </w:rPr>
        <w:t xml:space="preserve">Les arbitrages ouverts</w:t>
      </w:r>
    </w:p>
    <w:p>
      <w:pPr>
        <w:numPr>
          <w:ilvl w:val="0"/>
          <w:numId w:val="1001"/>
        </w:numPr>
      </w:pPr>
      <w:r>
        <w:rPr>
          <w:b/>
          <w:bCs/>
          <w:lang w:val="fr-FR"/>
        </w:rPr>
        <w:t xml:space="preserve">Remplacer SU1 par SU3 dans l’indicateur de chômage.</w:t>
      </w:r>
      <w:r>
        <w:rPr>
          <w:lang w:val="fr-FR"/>
        </w:rPr>
        <w:t xml:space="preserve"> </w:t>
      </w:r>
      <w:r>
        <w:rPr>
          <w:lang w:val="fr-FR"/>
        </w:rPr>
        <w:t xml:space="preserve">Le périmètre passerait de</w:t>
      </w:r>
      <w:r>
        <w:rPr>
          <w:lang w:val="fr-FR"/>
        </w:rPr>
        <w:t xml:space="preserve"> </w:t>
      </w:r>
      <w:r>
        <w:rPr>
          <w:lang w:val="fr-FR"/>
        </w:rPr>
        <w:t xml:space="preserve">561 à 1 219 personnes concernées sur la bande 17-40, et l’effet sur l’indicateur ménage</w:t>
      </w:r>
      <w:r>
        <w:rPr>
          <w:lang w:val="fr-FR"/>
        </w:rPr>
        <w:t xml:space="preserve"> </w:t>
      </w:r>
      <w:r>
        <w:rPr>
          <w:lang w:val="fr-FR"/>
        </w:rPr>
        <w:t xml:space="preserve">« au moins un » sera mécaniquement plus fort encore. C’est la piste la plus directe pour rendre</w:t>
      </w:r>
      <w:r>
        <w:rPr>
          <w:lang w:val="fr-FR"/>
        </w:rPr>
        <w:t xml:space="preserve"> </w:t>
      </w:r>
      <w:r>
        <w:rPr>
          <w:lang w:val="fr-FR"/>
        </w:rPr>
        <w:t xml:space="preserve">à la dimension un équilibre entre ses deux jambes.</w:t>
      </w:r>
    </w:p>
    <w:p>
      <w:pPr>
        <w:numPr>
          <w:ilvl w:val="0"/>
          <w:numId w:val="1001"/>
        </w:numPr>
      </w:pPr>
      <w:r>
        <w:rPr>
          <w:b/>
          <w:bCs/>
          <w:lang w:val="fr-FR"/>
        </w:rPr>
        <w:t xml:space="preserve">Réexaminer la borne de 40 ans et le seuil de disponibilité.</w:t>
      </w:r>
      <w:r>
        <w:rPr>
          <w:lang w:val="fr-FR"/>
        </w:rPr>
        <w:t xml:space="preserve"> </w:t>
      </w:r>
      <w:r>
        <w:rPr>
          <w:lang w:val="fr-FR"/>
        </w:rPr>
        <w:t xml:space="preserve">La première exclut</w:t>
      </w:r>
      <w:r>
        <w:rPr>
          <w:lang w:val="fr-FR"/>
        </w:rPr>
        <w:t xml:space="preserve"> </w:t>
      </w:r>
      <w:r>
        <w:rPr>
          <w:lang w:val="fr-FR"/>
        </w:rPr>
        <w:t xml:space="preserve">les chômeurs plus âgés ; le second, en acceptant la modalité « entre 15 jours et un mois »,</w:t>
      </w:r>
      <w:r>
        <w:rPr>
          <w:lang w:val="fr-FR"/>
        </w:rPr>
        <w:t xml:space="preserve"> </w:t>
      </w:r>
      <w:r>
        <w:rPr>
          <w:lang w:val="fr-FR"/>
        </w:rPr>
        <w:t xml:space="preserve">s’écarte déjà du standard BIT — autant le trancher explicitement.</w:t>
      </w:r>
    </w:p>
    <w:p>
      <w:pPr>
        <w:numPr>
          <w:ilvl w:val="0"/>
          <w:numId w:val="1001"/>
        </w:numPr>
      </w:pPr>
      <w:r>
        <w:rPr>
          <w:b/>
          <w:bCs/>
          <w:lang w:val="fr-FR"/>
        </w:rPr>
        <w:t xml:space="preserve">Implémenter le champ d’éligibilité, ou le retirer.</w:t>
      </w:r>
      <w:r>
        <w:rPr>
          <w:lang w:val="fr-FR"/>
        </w:rPr>
        <w:t xml:space="preserve"> </w:t>
      </w:r>
      <w:r>
        <w:rPr>
          <w:lang w:val="fr-FR"/>
        </w:rPr>
        <w:t xml:space="preserve">En l’état, il est déclaré mais</w:t>
      </w:r>
      <w:r>
        <w:rPr>
          <w:lang w:val="fr-FR"/>
        </w:rPr>
        <w:t xml:space="preserve"> </w:t>
      </w:r>
      <w:r>
        <w:rPr>
          <w:lang w:val="fr-FR"/>
        </w:rPr>
        <w:t xml:space="preserve">inopérant. Le conserver sans l’appliquer entretient une ambiguïté sur le traitement des</w:t>
      </w:r>
      <w:r>
        <w:rPr>
          <w:lang w:val="fr-FR"/>
        </w:rPr>
        <w:t xml:space="preserve"> </w:t>
      </w:r>
      <w:r>
        <w:rPr>
          <w:lang w:val="fr-FR"/>
        </w:rPr>
        <w:t xml:space="preserve">18,5 % de ménages sans membre de 17-40 ans.</w:t>
      </w:r>
    </w:p>
    <w:p>
      <w:pPr>
        <w:numPr>
          <w:ilvl w:val="0"/>
          <w:numId w:val="1001"/>
        </w:numPr>
      </w:pPr>
      <w:r>
        <w:rPr>
          <w:b/>
          <w:bCs/>
          <w:lang w:val="fr-FR"/>
        </w:rPr>
        <w:t xml:space="preserve">Ne pas substituer le NEET au chômage.</w:t>
      </w:r>
      <w:r>
        <w:rPr>
          <w:lang w:val="fr-FR"/>
        </w:rPr>
        <w:t xml:space="preserve"> </w:t>
      </w:r>
      <w:r>
        <w:rPr>
          <w:lang w:val="fr-FR"/>
        </w:rPr>
        <w:t xml:space="preserve">Il mesure autre chose — un risque de</w:t>
      </w:r>
      <w:r>
        <w:rPr>
          <w:lang w:val="fr-FR"/>
        </w:rPr>
        <w:t xml:space="preserve"> </w:t>
      </w:r>
      <w:r>
        <w:rPr>
          <w:lang w:val="fr-FR"/>
        </w:rPr>
        <w:t xml:space="preserve">pauvreté future plutôt qu’une privation présente — et resterait incomplet faute du volet</w:t>
      </w:r>
      <w:r>
        <w:rPr>
          <w:lang w:val="fr-FR"/>
        </w:rPr>
        <w:t xml:space="preserve"> </w:t>
      </w:r>
      <w:r>
        <w:rPr>
          <w:lang w:val="fr-FR"/>
        </w:rPr>
        <w:t xml:space="preserve">formation. S’il devait entrer dans l’IPM, ce serait comme indicateur supplémentaire assumé, non</w:t>
      </w:r>
      <w:r>
        <w:rPr>
          <w:lang w:val="fr-FR"/>
        </w:rPr>
        <w:t xml:space="preserve"> </w:t>
      </w:r>
      <w:r>
        <w:rPr>
          <w:lang w:val="fr-FR"/>
        </w:rPr>
        <w:t xml:space="preserve">comme un chômage élargi.</w:t>
      </w:r>
    </w:p>
    <w:p>
      <w:pPr>
        <w:pStyle w:val="BlockText"/>
      </w:pPr>
      <w:r>
        <w:rPr>
          <w:b/>
          <w:bCs/>
          <w:lang w:val="fr-FR"/>
        </w:rPr>
        <w:t xml:space="preserve">SU3 et emploi de subsistance sont complémentaires, pas redondants</w:t>
      </w:r>
    </w:p>
    <w:p>
      <w:pPr>
        <w:pStyle w:val="BlockText"/>
      </w:pPr>
      <w:r>
        <w:rPr>
          <w:lang w:val="fr-FR"/>
        </w:rPr>
        <w:t xml:space="preserve">SU3 corrige le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numérateur</w:t>
      </w:r>
      <w:r>
        <w:rPr>
          <w:lang w:val="fr-FR"/>
        </w:rPr>
        <w:t xml:space="preserve"> </w:t>
      </w:r>
      <w:r>
        <w:rPr>
          <w:lang w:val="fr-FR"/>
        </w:rPr>
        <w:t xml:space="preserve">du chômage : il récupère ceux que le critère de recherche</w:t>
      </w:r>
      <w:r>
        <w:rPr>
          <w:lang w:val="fr-FR"/>
        </w:rPr>
        <w:t xml:space="preserve"> </w:t>
      </w:r>
      <w:r>
        <w:rPr>
          <w:lang w:val="fr-FR"/>
        </w:rPr>
        <w:t xml:space="preserve">écartait. Il ne touche pas au dénominateur — les 8 135 personnes qui ne font que du champ</w:t>
      </w:r>
      <w:r>
        <w:rPr>
          <w:lang w:val="fr-FR"/>
        </w:rPr>
        <w:t xml:space="preserve"> </w:t>
      </w:r>
      <w:r>
        <w:rPr>
          <w:lang w:val="fr-FR"/>
        </w:rPr>
        <w:t xml:space="preserve">restent comptées comme occupées. C’est précisément ce que l’indicateur d’emploi agricole de</w:t>
      </w:r>
      <w:r>
        <w:rPr>
          <w:lang w:val="fr-FR"/>
        </w:rPr>
        <w:t xml:space="preserve"> </w:t>
      </w:r>
      <w:r>
        <w:rPr>
          <w:lang w:val="fr-FR"/>
        </w:rPr>
        <w:t xml:space="preserve">subsistance capte déjà, en tenant lieu du SU2 que l’enquête ne permet pas de construire. Les deux</w:t>
      </w:r>
      <w:r>
        <w:rPr>
          <w:lang w:val="fr-FR"/>
        </w:rPr>
        <w:t xml:space="preserve"> </w:t>
      </w:r>
      <w:r>
        <w:rPr>
          <w:lang w:val="fr-FR"/>
        </w:rPr>
        <w:t xml:space="preserve">indicateurs de la dimension attaquent donc deux bouts opposés du même problème, et le</w:t>
      </w:r>
      <w:r>
        <w:rPr>
          <w:lang w:val="fr-FR"/>
        </w:rPr>
        <w:t xml:space="preserve"> </w:t>
      </w:r>
      <w:r>
        <w:rPr>
          <w:lang w:val="fr-FR"/>
        </w:rPr>
        <w:t xml:space="preserve">renforcement de l’un n’empiète pas sur l’autre.</w:t>
      </w:r>
    </w:p>
    <w:p>
      <w:pPr>
        <w:pStyle w:val="FirstParagraph"/>
      </w:pPr>
      <w:r>
        <w:rPr>
          <w:lang w:val="fr-FR"/>
        </w:rPr>
        <w:t xml:space="preserve">Comme pour la dimension Santé, ces arbitrages relèvent du cadrage et non de la technique : le</w:t>
      </w:r>
      <w:r>
        <w:rPr>
          <w:lang w:val="fr-FR"/>
        </w:rPr>
        <w:t xml:space="preserve"> </w:t>
      </w:r>
      <w:r>
        <w:rPr>
          <w:lang w:val="fr-FR"/>
        </w:rPr>
        <w:t xml:space="preserve">critère de chômage se modifie en quelques lignes dans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pipeline/01_preconstruction_matrice_situationnelle.py</w:t>
      </w:r>
      <w:r>
        <w:rPr>
          <w:lang w:val="fr-FR"/>
        </w:rPr>
        <w:t xml:space="preserve">, et la règle du ménage dans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pipeline/02_construction_matrice_situationnelle.py</w:t>
      </w:r>
      <w:r>
        <w:rPr>
          <w:lang w:val="fr-FR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br/>
      </w:r>
      <w:r>
        <w:rPr>
          <w:lang w:val="fr-FR"/>
        </w:rPr>
        <w:t xml:space="preserve">Documents associés :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Note sur la dimension Santé</w:t>
      </w:r>
      <w:r>
        <w:rPr>
          <w:lang w:val="fr-FR"/>
        </w:rPr>
        <w:t xml:space="preserve">,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Méthodologie de calcul</w:t>
      </w:r>
      <w:r>
        <w:rPr>
          <w:lang w:val="fr-FR"/>
        </w:rPr>
        <w:t xml:space="preserve"> </w:t>
      </w:r>
      <w:r>
        <w:rPr>
          <w:lang w:val="fr-FR"/>
        </w:rPr>
        <w:t xml:space="preserve">et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Dictionnaire des sorties</w:t>
      </w:r>
      <w:r>
        <w:rPr>
          <w:lang w:val="fr-FR"/>
        </w:rPr>
        <w:t xml:space="preserve">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r-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 sur la dimension Emploi Ce que mesure l’indicateur de chômage, et ce qu’il laisse de côté</dc:title>
  <dc:creator>Pipeline PythonIPM — IPM Côte d’Ivoire, EHCVM 2021</dc:creator>
  <cp:keywords/>
  <dcterms:created xsi:type="dcterms:W3CDTF">2026-09-11T17:52:48Z</dcterms:created>
  <dcterms:modified xsi:type="dcterms:W3CDTF">2026-09-11T17:52:48Z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La dimension Emploi de l’IPM ivoirien repose sur deux indicateurs de poids égal, dont l’un — le chômage — ne prive que 6,5 % de la population et n’apporte que 1,6 % de l’M_0. Cette note documente précisément ce que recouvre la formule « au chômage au sens du BIT » telle qu’elle est implémentée, met au jour cinq décisions que l’énoncé ne mentionne pas, puis distingue les trois notions que l’on confond couramment — le chômage BIT, la sous-utilisation de la main-d’œuvre (SU1 à SU4) et le NEET. Elle chiffre chacune sur l’EHCVM et conclut sur les arbitrages ouverts.</vt:lpwstr>
  </property>
  <property fmtid="{D5CDD505-2E9C-101B-9397-08002B2CF9AE}" pid="3" name="date">
    <vt:lpwstr>Septembre 2026</vt:lpwstr>
  </property>
</Properties>
</file>