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  <w:lang w:val="fr-FR"/>
        </w:rPr>
        <w:t xml:space="preserve">EHCVM ou RGPH : quel IPM sert le mieux le PND 2026-2030 ?</w:t>
      </w:r>
      <w:r>
        <w:br/>
      </w:r>
      <w:r>
        <w:rPr>
          <w:b/>
          <w:bCs/>
          <w:lang w:val="fr-FR"/>
        </w:rPr>
        <w:t xml:space="preserve">Analyse comparative et recommandation</w:t>
      </w:r>
    </w:p>
    <w:p>
      <w:pPr>
        <w:pStyle w:val="Author"/>
      </w:pPr>
      <w:r>
        <w:rPr>
          <w:lang w:val="fr-FR"/>
        </w:rPr>
        <w:t xml:space="preserve">Pipeline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PythonIPM</w:t>
      </w:r>
    </w:p>
    <w:p>
      <w:pPr>
        <w:pStyle w:val="Date"/>
      </w:pPr>
      <w:r>
        <w:rPr>
          <w:lang w:val="fr-FR"/>
        </w:rPr>
        <w:t xml:space="preserve">Septembre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lang w:val="fr-FR"/>
        </w:rPr>
        <w:t xml:space="preserve">Deux indices de pauvreté multidimensionnelle ont été calculés pour la Côte d’Ivoire sur</w:t>
      </w:r>
      <w:r>
        <w:rPr>
          <w:lang w:val="fr-FR"/>
        </w:rPr>
        <w:t xml:space="preserve"> </w:t>
      </w:r>
      <w:r>
        <w:rPr>
          <w:lang w:val="fr-FR"/>
        </w:rPr>
        <w:t xml:space="preserve">l’année 2021 : l’un sur l’EHCVM, enquête auprès de 12 965 ménages, l’autre sur le RGPH, recensement</w:t>
      </w:r>
      <w:r>
        <w:rPr>
          <w:lang w:val="fr-FR"/>
        </w:rPr>
        <w:t xml:space="preserve"> </w:t>
      </w:r>
      <w:r>
        <w:rPr>
          <w:lang w:val="fr-FR"/>
        </w:rPr>
        <w:t xml:space="preserve">exhaustif de 5,6 millions de ménages. Ce document les confronte au Plan National de Développement</w:t>
      </w:r>
      <w:r>
        <w:rPr>
          <w:lang w:val="fr-FR"/>
        </w:rPr>
        <w:t xml:space="preserve"> </w:t>
      </w:r>
      <w:r>
        <w:rPr>
          <w:lang w:val="fr-FR"/>
        </w:rPr>
        <w:t xml:space="preserve">2026-2030 et tranche : lequel est le plus aligné, lequel aide le mieux, et comment les employer</w:t>
      </w:r>
      <w:r>
        <w:rPr>
          <w:lang w:val="fr-FR"/>
        </w:rPr>
        <w:t xml:space="preserve"> </w:t>
      </w:r>
      <w:r>
        <w:rPr>
          <w:lang w:val="fr-FR"/>
        </w:rPr>
        <w:t xml:space="preserve">ensemble. Il suppose connus les deux documents d’analyse qui le précèdent, mais peut se lire seul.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fr-FR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  <w:lang w:val="fr-FR"/>
        </w:rPr>
        <w:t xml:space="preserve">La recommandation en une page</w:t>
      </w:r>
    </w:p>
    <w:p>
      <w:pPr>
        <w:pStyle w:val="BlockText"/>
      </w:pPr>
      <w:r>
        <w:rPr>
          <w:b/>
          <w:bCs/>
          <w:lang w:val="fr-FR"/>
        </w:rPr>
        <w:t xml:space="preserve">L’IPM EHCVM est le plus aligné sur le PND</w:t>
      </w:r>
      <w:r>
        <w:rPr>
          <w:lang w:val="fr-FR"/>
        </w:rPr>
        <w:t xml:space="preserve"> </w:t>
      </w:r>
      <w:r>
        <w:rPr>
          <w:lang w:val="fr-FR"/>
        </w:rPr>
        <w:t xml:space="preserve">: il couvre onze des vingt-deux cibles contre</w:t>
      </w:r>
      <w:r>
        <w:rPr>
          <w:lang w:val="fr-FR"/>
        </w:rPr>
        <w:t xml:space="preserve"> </w:t>
      </w:r>
      <w:r>
        <w:rPr>
          <w:lang w:val="fr-FR"/>
        </w:rPr>
        <w:t xml:space="preserve">sept, il est seul à mesurer les quatre cibles santé et nutrition du Pilier 4, seul à porter la</w:t>
      </w:r>
      <w:r>
        <w:rPr>
          <w:lang w:val="fr-FR"/>
        </w:rPr>
        <w:t xml:space="preserve"> </w:t>
      </w:r>
      <w:r>
        <w:rPr>
          <w:lang w:val="fr-FR"/>
        </w:rPr>
        <w:t xml:space="preserve">pauvreté monétaire, et seul à pouvoir être actualisé avant 2030. Si un seul indice devait être</w:t>
      </w:r>
      <w:r>
        <w:rPr>
          <w:lang w:val="fr-FR"/>
        </w:rPr>
        <w:t xml:space="preserve"> </w:t>
      </w:r>
      <w:r>
        <w:rPr>
          <w:lang w:val="fr-FR"/>
        </w:rPr>
        <w:t xml:space="preserve">retenu comme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l’indice du PND</w:t>
      </w:r>
      <w:r>
        <w:rPr>
          <w:lang w:val="fr-FR"/>
        </w:rPr>
        <w:t xml:space="preserve">, c’est celui-là.</w:t>
      </w:r>
    </w:p>
    <w:p>
      <w:pPr>
        <w:pStyle w:val="BlockText"/>
      </w:pPr>
      <w:r>
        <w:rPr>
          <w:b/>
          <w:bCs/>
          <w:lang w:val="fr-FR"/>
        </w:rPr>
        <w:t xml:space="preserve">Mais l’IPM RGPH est celui qui aide le mieux à agir</w:t>
      </w:r>
      <w:r>
        <w:rPr>
          <w:lang w:val="fr-FR"/>
        </w:rPr>
        <w:t xml:space="preserve"> </w:t>
      </w:r>
      <w:r>
        <w:rPr>
          <w:lang w:val="fr-FR"/>
        </w:rPr>
        <w:t xml:space="preserve">: il est seul à rendre opérationnels</w:t>
      </w:r>
      <w:r>
        <w:rPr>
          <w:lang w:val="fr-FR"/>
        </w:rPr>
        <w:t xml:space="preserve"> </w:t>
      </w:r>
      <w:r>
        <w:rPr>
          <w:lang w:val="fr-FR"/>
        </w:rPr>
        <w:t xml:space="preserve">trois instruments centraux du plan — les Pôles Économiques Compétitifs, le registre social unifié</w:t>
      </w:r>
      <w:r>
        <w:rPr>
          <w:lang w:val="fr-FR"/>
        </w:rPr>
        <w:t xml:space="preserve"> </w:t>
      </w:r>
      <w:r>
        <w:rPr>
          <w:lang w:val="fr-FR"/>
        </w:rPr>
        <w:t xml:space="preserve">et le ciblage des 827 000 ménages de filets sociaux — que l’enquête ne peut pas servir du tout.</w:t>
      </w:r>
    </w:p>
    <w:p>
      <w:pPr>
        <w:pStyle w:val="BlockText"/>
      </w:pPr>
      <w:r>
        <w:rPr>
          <w:b/>
          <w:bCs/>
          <w:lang w:val="fr-FR"/>
        </w:rPr>
        <w:t xml:space="preserve">La recommandation n’est donc pas de choisir</w:t>
      </w:r>
      <w:r>
        <w:rPr>
          <w:lang w:val="fr-FR"/>
        </w:rPr>
        <w:t xml:space="preserve">, mais de répartir les rôles :</w:t>
      </w:r>
    </w:p>
    <w:p>
      <w:pPr>
        <w:pStyle w:val="BlockText"/>
        <w:numPr>
          <w:ilvl w:val="0"/>
          <w:numId w:val="1001"/>
        </w:numPr>
      </w:pPr>
      <w:r>
        <w:rPr>
          <w:lang w:val="fr-FR"/>
        </w:rPr>
        <w:t xml:space="preserve">l’</w:t>
      </w:r>
      <w:r>
        <w:rPr>
          <w:b/>
          <w:bCs/>
          <w:lang w:val="fr-FR"/>
        </w:rPr>
        <w:t xml:space="preserve">EHCVM</w:t>
      </w:r>
      <w:r>
        <w:rPr>
          <w:lang w:val="fr-FR"/>
        </w:rPr>
        <w:t xml:space="preserve"> </w:t>
      </w:r>
      <w:r>
        <w:rPr>
          <w:lang w:val="fr-FR"/>
        </w:rPr>
        <w:t xml:space="preserve">tient le cadre de résultats — la valeur 2021, la cible 2030, les points</w:t>
      </w:r>
      <w:r>
        <w:rPr>
          <w:lang w:val="fr-FR"/>
        </w:rPr>
        <w:t xml:space="preserve"> </w:t>
      </w:r>
      <w:r>
        <w:rPr>
          <w:lang w:val="fr-FR"/>
        </w:rPr>
        <w:t xml:space="preserve">d’étape ;</w:t>
      </w:r>
    </w:p>
    <w:p>
      <w:pPr>
        <w:pStyle w:val="BlockText"/>
        <w:numPr>
          <w:ilvl w:val="0"/>
          <w:numId w:val="1001"/>
        </w:numPr>
      </w:pPr>
      <w:r>
        <w:rPr>
          <w:lang w:val="fr-FR"/>
        </w:rPr>
        <w:t xml:space="preserve">le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RGPH</w:t>
      </w:r>
      <w:r>
        <w:rPr>
          <w:lang w:val="fr-FR"/>
        </w:rPr>
        <w:t xml:space="preserve"> </w:t>
      </w:r>
      <w:r>
        <w:rPr>
          <w:lang w:val="fr-FR"/>
        </w:rPr>
        <w:t xml:space="preserve">tient la carte et le registre — où investir, quels ménages servir ;</w:t>
      </w:r>
    </w:p>
    <w:p>
      <w:pPr>
        <w:pStyle w:val="BlockText"/>
        <w:numPr>
          <w:ilvl w:val="0"/>
          <w:numId w:val="1001"/>
        </w:numPr>
      </w:pPr>
      <w:r>
        <w:rPr>
          <w:lang w:val="fr-FR"/>
        </w:rPr>
        <w:t xml:space="preserve">la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variante harmonisée</w:t>
      </w:r>
      <w:r>
        <w:rPr>
          <w:lang w:val="fr-FR"/>
        </w:rPr>
        <w:t xml:space="preserve"> </w:t>
      </w:r>
      <w:r>
        <w:rPr>
          <w:lang w:val="fr-FR"/>
        </w:rPr>
        <w:t xml:space="preserve">fait le pont, et le fait bien : à indicateurs identiques,</w:t>
      </w:r>
      <w:r>
        <w:rPr>
          <w:lang w:val="fr-FR"/>
        </w:rPr>
        <w:t xml:space="preserve"> </w:t>
      </w:r>
      <w:r>
        <w:rPr>
          <w:lang w:val="fr-FR"/>
        </w:rPr>
        <w:t xml:space="preserve">les deux sources donnent</w:t>
      </w:r>
      <w:r>
        <w:rPr>
          <w:lang w:val="fr-FR"/>
        </w:rP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2737</m:t>
        </m:r>
      </m:oMath>
      <w:r>
        <w:rPr>
          <w:lang w:val="fr-FR"/>
        </w:rPr>
        <w:t xml:space="preserve"> </w:t>
      </w:r>
      <w:r>
        <w:rPr>
          <w:lang w:val="fr-FR"/>
        </w:rPr>
        <w:t xml:space="preserve">et</w:t>
      </w:r>
      <w:r>
        <w:rPr>
          <w:lang w:val="fr-FR"/>
        </w:rPr>
        <w:t xml:space="preserve"> </w:t>
      </w:r>
      <m:oMath>
        <m:r>
          <m:t>0</m:t>
        </m:r>
        <m:r>
          <m:rPr>
            <m:sty m:val="p"/>
          </m:rPr>
          <m:t>,</m:t>
        </m:r>
        <m:r>
          <m:t>2680</m:t>
        </m:r>
      </m:oMath>
      <w:r>
        <w:rPr>
          <w:lang w:val="fr-FR"/>
        </w:rPr>
        <w:t xml:space="preserve">, soit 2 % d’écart.</w:t>
      </w:r>
    </w:p>
    <w:bookmarkStart w:id="9" w:name="deux-questions-pas-une"/>
    <w:p>
      <w:pPr>
        <w:pStyle w:val="Heading1"/>
      </w:pPr>
      <w:r>
        <w:rPr>
          <w:lang w:val="fr-FR"/>
        </w:rPr>
        <w:t xml:space="preserve">Deux questions, pas une</w:t>
      </w:r>
    </w:p>
    <w:p>
      <w:pPr>
        <w:pStyle w:val="FirstParagraph"/>
      </w:pPr>
      <w:r>
        <w:rPr>
          <w:lang w:val="fr-FR"/>
        </w:rPr>
        <w:t xml:space="preserve">Le PND 2026-2030 pose au statisticien deux questions de nature différente, et l’essentiel de la</w:t>
      </w:r>
      <w:r>
        <w:rPr>
          <w:lang w:val="fr-FR"/>
        </w:rPr>
        <w:t xml:space="preserve"> </w:t>
      </w:r>
      <w:r>
        <w:rPr>
          <w:lang w:val="fr-FR"/>
        </w:rPr>
        <w:t xml:space="preserve">comparaison tient à ce qu’aucune source ne répond bien aux deux.</w:t>
      </w:r>
    </w:p>
    <w:p>
      <w:pPr>
        <w:pStyle w:val="DefinitionTerm"/>
      </w:pPr>
      <w:r>
        <w:rPr>
          <w:lang w:val="fr-FR"/>
        </w:rPr>
        <w:t xml:space="preserve">Mesurer.</w:t>
      </w:r>
    </w:p>
    <w:p>
      <w:pPr>
        <w:pStyle w:val="Definition"/>
      </w:pPr>
      <w:r>
        <w:rPr>
          <w:i/>
          <w:iCs/>
          <w:lang w:val="fr-FR"/>
        </w:rPr>
        <w:t xml:space="preserve">Où en est-on, et où en sera-t-on en 2030 ?</w:t>
      </w:r>
      <w:r>
        <w:rPr>
          <w:lang w:val="fr-FR"/>
        </w:rPr>
        <w:t xml:space="preserve"> </w:t>
      </w:r>
      <w:r>
        <w:rPr>
          <w:lang w:val="fr-FR"/>
        </w:rPr>
        <w:t xml:space="preserve">Le plan fixe des cibles</w:t>
      </w:r>
      <w:r>
        <w:rPr>
          <w:lang w:val="fr-FR"/>
        </w:rPr>
        <w:t xml:space="preserve"> </w:t>
      </w:r>
      <w:r>
        <w:rPr>
          <w:lang w:val="fr-FR"/>
        </w:rPr>
        <w:t xml:space="preserve">chiffrées, pilier par pilier, avec une valeur de départ et une valeur d’arrivée. Y répondre</w:t>
      </w:r>
      <w:r>
        <w:rPr>
          <w:lang w:val="fr-FR"/>
        </w:rPr>
        <w:t xml:space="preserve"> </w:t>
      </w:r>
      <w:r>
        <w:rPr>
          <w:lang w:val="fr-FR"/>
        </w:rPr>
        <w:t xml:space="preserve">demande un indicateur dont le contenu recoupe ces cibles, et qui puisse être recalculé en cours</w:t>
      </w:r>
      <w:r>
        <w:rPr>
          <w:lang w:val="fr-FR"/>
        </w:rPr>
        <w:t xml:space="preserve"> </w:t>
      </w:r>
      <w:r>
        <w:rPr>
          <w:lang w:val="fr-FR"/>
        </w:rPr>
        <w:t xml:space="preserve">de plan.</w:t>
      </w:r>
    </w:p>
    <w:p>
      <w:pPr>
        <w:pStyle w:val="DefinitionTerm"/>
      </w:pPr>
      <w:r>
        <w:rPr>
          <w:lang w:val="fr-FR"/>
        </w:rPr>
        <w:t xml:space="preserve">Cibler.</w:t>
      </w:r>
    </w:p>
    <w:p>
      <w:pPr>
        <w:pStyle w:val="Definition"/>
      </w:pPr>
      <w:r>
        <w:rPr>
          <w:i/>
          <w:iCs/>
          <w:lang w:val="fr-FR"/>
        </w:rPr>
        <w:t xml:space="preserve">Où faut-il investir, et quels ménages faut-il servir ?</w:t>
      </w:r>
      <w:r>
        <w:rPr>
          <w:lang w:val="fr-FR"/>
        </w:rPr>
        <w:t xml:space="preserve"> </w:t>
      </w:r>
      <w:r>
        <w:rPr>
          <w:lang w:val="fr-FR"/>
        </w:rPr>
        <w:t xml:space="preserve">Le Pilier 5 veut</w:t>
      </w:r>
      <w:r>
        <w:rPr>
          <w:lang w:val="fr-FR"/>
        </w:rPr>
        <w:t xml:space="preserve"> </w:t>
      </w:r>
      <w:r>
        <w:rPr>
          <w:lang w:val="fr-FR"/>
        </w:rPr>
        <w:t xml:space="preserve">une « cartographie fine » pour ses Pôles Économiques Compétitifs, le Pilier 6 un « registre</w:t>
      </w:r>
      <w:r>
        <w:rPr>
          <w:lang w:val="fr-FR"/>
        </w:rPr>
        <w:t xml:space="preserve"> </w:t>
      </w:r>
      <w:r>
        <w:rPr>
          <w:lang w:val="fr-FR"/>
        </w:rPr>
        <w:t xml:space="preserve">social unifié », le Pilier 4 une liste de 827 000 ménages. Y répondre demande une base</w:t>
      </w:r>
      <w:r>
        <w:rPr>
          <w:lang w:val="fr-FR"/>
        </w:rPr>
        <w:t xml:space="preserve"> </w:t>
      </w:r>
      <w:r>
        <w:rPr>
          <w:lang w:val="fr-FR"/>
        </w:rPr>
        <w:t xml:space="preserve">exhaustive, ou au moins une maille territoriale très fine.</w:t>
      </w:r>
    </w:p>
    <w:p>
      <w:pPr>
        <w:pStyle w:val="BlockText"/>
      </w:pPr>
      <w:r>
        <w:rPr>
          <w:b/>
          <w:bCs/>
          <w:lang w:val="fr-FR"/>
        </w:rPr>
        <w:t xml:space="preserve">Le partage naturel</w:t>
      </w:r>
    </w:p>
    <w:p>
      <w:pPr>
        <w:pStyle w:val="BlockText"/>
      </w:pPr>
      <w:r>
        <w:rPr>
          <w:lang w:val="fr-FR"/>
        </w:rPr>
        <w:t xml:space="preserve">Une enquête par sondage est faite pour mesurer : questionnaire long, indicateurs riches, répétée</w:t>
      </w:r>
      <w:r>
        <w:rPr>
          <w:lang w:val="fr-FR"/>
        </w:rPr>
        <w:t xml:space="preserve"> </w:t>
      </w:r>
      <w:r>
        <w:rPr>
          <w:lang w:val="fr-FR"/>
        </w:rPr>
        <w:t xml:space="preserve">dans le temps. Un recensement est fait pour dénombrer : questionnaire court, indicateurs pauvres,</w:t>
      </w:r>
      <w:r>
        <w:rPr>
          <w:lang w:val="fr-FR"/>
        </w:rPr>
        <w:t xml:space="preserve"> </w:t>
      </w:r>
      <w:r>
        <w:rPr>
          <w:lang w:val="fr-FR"/>
        </w:rPr>
        <w:t xml:space="preserve">mais exhaustif et localisé. Le PND a besoin des deux, et la comparaison qui suit ne fait que le</w:t>
      </w:r>
      <w:r>
        <w:rPr>
          <w:lang w:val="fr-FR"/>
        </w:rPr>
        <w:t xml:space="preserve"> </w:t>
      </w:r>
      <w:r>
        <w:rPr>
          <w:lang w:val="fr-FR"/>
        </w:rPr>
        <w:t xml:space="preserve">chiffrer.</w:t>
      </w:r>
    </w:p>
    <w:bookmarkEnd w:id="9"/>
    <w:bookmarkStart w:id="12" w:name="couverture-des-cibles-du-pnd"/>
    <w:p>
      <w:pPr>
        <w:pStyle w:val="Heading1"/>
      </w:pPr>
      <w:r>
        <w:rPr>
          <w:lang w:val="fr-FR"/>
        </w:rPr>
        <w:t xml:space="preserve">Couverture des cibles du PND</w:t>
      </w:r>
    </w:p>
    <w:bookmarkStart w:id="10" w:name="le-décompte"/>
    <w:p>
      <w:pPr>
        <w:pStyle w:val="Heading2"/>
      </w:pPr>
      <w:r>
        <w:rPr>
          <w:lang w:val="fr-FR"/>
        </w:rPr>
        <w:t xml:space="preserve">Le décompte</w:t>
      </w:r>
    </w:p>
    <w:p>
      <w:pPr>
        <w:pStyle w:val="FirstParagraph"/>
      </w:pPr>
      <w:r>
        <w:rPr>
          <w:lang w:val="fr-FR"/>
        </w:rPr>
        <w:t xml:space="preserve">Vingt-deux cibles et orientations du PND peuvent être éclairées par un indice de pauvreté. Le</w:t>
      </w:r>
      <w:r>
        <w:rPr>
          <w:lang w:val="fr-FR"/>
        </w:rPr>
        <w:t xml:space="preserve"> </w:t>
      </w:r>
      <w:r>
        <w:rPr>
          <w:lang w:val="fr-FR"/>
        </w:rPr>
        <w:t xml:space="preserve">tableau ci-dessous en donne la couverture par source.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fr-FR"/>
              </w:rPr>
              <w:t xml:space="preserve">Nature de la prise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EHCVM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RGPH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Directe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Approchée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Indirecte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Partielle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Opérationnelle (ciblage)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Aucune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8</w:t>
            </w:r>
          </w:p>
        </w:tc>
      </w:tr>
    </w:tbl>
    <w:bookmarkEnd w:id="10"/>
    <w:bookmarkStart w:id="11" w:name="les-cibles-que-lune-seule-mesure"/>
    <w:p>
      <w:pPr>
        <w:pStyle w:val="Heading2"/>
      </w:pPr>
      <w:r>
        <w:rPr>
          <w:lang w:val="fr-FR"/>
        </w:rPr>
        <w:t xml:space="preserve">Les cibles que l’une seule mesure</w:t>
      </w:r>
    </w:p>
    <w:p>
      <w:pPr>
        <w:pStyle w:val="FirstParagraph"/>
      </w:pPr>
      <w:r>
        <w:rPr>
          <w:lang w:val="fr-FR"/>
        </w:rPr>
        <w:t xml:space="preserve">C’est là que se joue l’essentiel. Onze cibles sont couvertes par une source et pas par</w:t>
      </w:r>
      <w:r>
        <w:rPr>
          <w:lang w:val="fr-FR"/>
        </w:rPr>
        <w:t xml:space="preserve"> </w:t>
      </w:r>
      <w:r>
        <w:rPr>
          <w:lang w:val="fr-FR"/>
        </w:rPr>
        <w:t xml:space="preserve">l’autre : sept par la seule EHCVM, quatre par le seul RGPH.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fr-FR"/>
              </w:rPr>
              <w:t xml:space="preserve">Cible ou orientation du PND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lang w:val="fr-FR"/>
              </w:rPr>
              <w:t xml:space="preserve">EHCVM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lang w:val="fr-FR"/>
              </w:rPr>
              <w:t xml:space="preserve">RGPH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Enrôlés à la CMU de 20 à 30 millions (P. 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lang w:val="fr-FR"/>
              </w:rP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Protection sociale de 27 à 50 % (P. 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lang w:val="fr-FR"/>
              </w:rP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Population à moins de 5 km d’un centre de santé, 82 à 100 % (P. 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lang w:val="fr-FR"/>
              </w:rP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Retard de croissance des moins de 5 ans, 21,4 à 18 % (P. 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lang w:val="fr-FR"/>
              </w:rP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Indice de l’écart genre, 0,655 à 0,7 (P. 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lang w:val="fr-FR"/>
              </w:rP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Habitat décent : densité d’occupation (P. 5)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lang w:val="fr-FR"/>
              </w:rP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Croisement avec la pauvreté monétaire (objectif général)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lang w:val="fr-FR"/>
              </w:rP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Espérance de vie de 62,3 à 65 ans (P. 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lang w:val="fr-FR"/>
              </w:rP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Pôles Économiques Compétitifs, villes secondaires (P. 5)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lang w:val="fr-FR"/>
              </w:rP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Registre social unifié pour le ciblage (P. 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lang w:val="fr-FR"/>
              </w:rP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000 ménages bénéficiaires des filets sociaux (P. 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lang w:val="fr-FR"/>
              </w:rPr>
              <w:t xml:space="preserve">oui</w:t>
            </w:r>
          </w:p>
        </w:tc>
      </w:tr>
    </w:tbl>
    <w:p>
      <w:pPr>
        <w:pStyle w:val="BlockText"/>
      </w:pPr>
      <w:r>
        <w:rPr>
          <w:b/>
          <w:bCs/>
          <w:lang w:val="fr-FR"/>
        </w:rPr>
        <w:t xml:space="preserve">Lecture</w:t>
      </w:r>
    </w:p>
    <w:p>
      <w:pPr>
        <w:pStyle w:val="BlockText"/>
      </w:pPr>
      <w:r>
        <w:rPr>
          <w:lang w:val="fr-FR"/>
        </w:rPr>
        <w:t xml:space="preserve">L’EHCVM gagne sur le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contenu</w:t>
      </w:r>
      <w:r>
        <w:rPr>
          <w:lang w:val="fr-FR"/>
        </w:rPr>
        <w:t xml:space="preserve"> </w:t>
      </w:r>
      <w:r>
        <w:rPr>
          <w:lang w:val="fr-FR"/>
        </w:rPr>
        <w:t xml:space="preserve">du Pilier 4 : quatre cibles santé et nutrition, plus le genre,</w:t>
      </w:r>
      <w:r>
        <w:rPr>
          <w:lang w:val="fr-FR"/>
        </w:rPr>
        <w:t xml:space="preserve"> </w:t>
      </w:r>
      <w:r>
        <w:rPr>
          <w:lang w:val="fr-FR"/>
        </w:rPr>
        <w:t xml:space="preserve">que le recensement ne peut pas approcher, parce qu’il ne pose aucune question de santé.</w:t>
      </w:r>
    </w:p>
    <w:p>
      <w:pPr>
        <w:pStyle w:val="BlockText"/>
      </w:pPr>
      <w:r>
        <w:rPr>
          <w:lang w:val="fr-FR"/>
        </w:rPr>
        <w:t xml:space="preserve">Le RGPH gagne sur les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instruments</w:t>
      </w:r>
      <w:r>
        <w:rPr>
          <w:lang w:val="fr-FR"/>
        </w:rPr>
        <w:t xml:space="preserve"> </w:t>
      </w:r>
      <w:r>
        <w:rPr>
          <w:lang w:val="fr-FR"/>
        </w:rPr>
        <w:t xml:space="preserve">des Piliers 5 et 6 : la cartographie, le registre, le</w:t>
      </w:r>
      <w:r>
        <w:rPr>
          <w:lang w:val="fr-FR"/>
        </w:rPr>
        <w:t xml:space="preserve"> </w:t>
      </w:r>
      <w:r>
        <w:rPr>
          <w:lang w:val="fr-FR"/>
        </w:rPr>
        <w:t xml:space="preserve">ciblage — trois orientations qui ne sont pas des cibles chiffrées mais des dispositifs à</w:t>
      </w:r>
      <w:r>
        <w:rPr>
          <w:lang w:val="fr-FR"/>
        </w:rPr>
        <w:t xml:space="preserve"> </w:t>
      </w:r>
      <w:r>
        <w:rPr>
          <w:lang w:val="fr-FR"/>
        </w:rPr>
        <w:t xml:space="preserve">construire, et qu’une enquête par sondage ne peut pas alimenter.</w:t>
      </w:r>
    </w:p>
    <w:bookmarkEnd w:id="11"/>
    <w:bookmarkEnd w:id="12"/>
    <w:bookmarkStart w:id="13" w:name="Xfcb2bd6911079cbb2917fd96ebb7c13741a8675"/>
    <w:p>
      <w:pPr>
        <w:pStyle w:val="Heading1"/>
      </w:pPr>
      <w:r>
        <w:rPr>
          <w:lang w:val="fr-FR"/>
        </w:rPr>
        <w:t xml:space="preserve">La finesse territoriale : l’écart est massif</w:t>
      </w:r>
    </w:p>
    <w:p>
      <w:pPr>
        <w:pStyle w:val="FirstParagraph"/>
      </w:pPr>
      <w:r>
        <w:rPr>
          <w:lang w:val="fr-FR"/>
        </w:rPr>
        <w:t xml:space="preserve">Le Pilier 5 entend « une répartition optimale et équitable des investissements publics et privés »</w:t>
      </w:r>
      <w:r>
        <w:rPr>
          <w:lang w:val="fr-FR"/>
        </w:rPr>
        <w:t xml:space="preserve"> </w:t>
      </w:r>
      <w:r>
        <w:rPr>
          <w:lang w:val="fr-FR"/>
        </w:rPr>
        <w:t xml:space="preserve">fondée sur une « cartographie fine ». La question est donc : à quelle maille chaque source</w:t>
      </w:r>
      <w:r>
        <w:rPr>
          <w:lang w:val="fr-FR"/>
        </w:rPr>
        <w:t xml:space="preserve"> </w:t>
      </w:r>
      <w:r>
        <w:rPr>
          <w:lang w:val="fr-FR"/>
        </w:rPr>
        <w:t xml:space="preserve">produit-elle un chiffre publiable ?</w:t>
      </w:r>
    </w:p>
    <w:p>
      <w:pPr>
        <w:pStyle w:val="BodyText"/>
      </w:pPr>
      <w:r>
        <w:rPr>
          <w:lang w:val="fr-FR"/>
        </w:rPr>
        <w:t xml:space="preserve">Convention usuelle : une estimation dont le coefficient de variation dépasse 20 % n’est pas</w:t>
      </w:r>
      <w:r>
        <w:rPr>
          <w:lang w:val="fr-FR"/>
        </w:rPr>
        <w:t xml:space="preserve"> </w:t>
      </w:r>
      <w:r>
        <w:rPr>
          <w:lang w:val="fr-FR"/>
        </w:rPr>
        <w:t xml:space="preserve">publiable.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rPr>
                <w:b/>
                <w:bCs/>
                <w:lang w:val="fr-FR"/>
              </w:rPr>
              <w:t xml:space="preserve">EHCVM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rPr>
                <w:b/>
                <w:bCs/>
                <w:lang w:val="fr-FR"/>
              </w:rPr>
              <w:t xml:space="preserve">RGPH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2-3</w:t>
            </w:r>
            <w:r>
              <w:rPr>
                <w:lang w:val="fr-FR"/>
              </w:rPr>
              <w:t xml:space="preserve">(lr)</w:t>
            </w:r>
            <w:r>
              <w:rPr>
                <w:lang w:val="fr-FR"/>
              </w:rPr>
              <w:t xml:space="preserve">4-5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Maille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Modalités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Non publ.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Modalités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Non publ.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Région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Département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Sous-préfecture ou commune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442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519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19</w:t>
            </w:r>
          </w:p>
        </w:tc>
      </w:tr>
    </w:tbl>
    <w:p>
      <w:pPr>
        <w:pStyle w:val="BlockText"/>
      </w:pPr>
      <w:r>
        <w:rPr>
          <w:b/>
          <w:bCs/>
          <w:lang w:val="fr-FR"/>
        </w:rPr>
        <w:t xml:space="preserve">Attention — Le chiffre qui tranche le Pilier 5</w:t>
      </w:r>
    </w:p>
    <w:p>
      <w:pPr>
        <w:pStyle w:val="BlockText"/>
      </w:pPr>
      <w:r>
        <w:rPr>
          <w:lang w:val="fr-FR"/>
        </w:rPr>
        <w:t xml:space="preserve">Les 92 sous-préfectures non publiables de l’EHCVM représentent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47,9 % de la population</w:t>
      </w:r>
      <w:r>
        <w:rPr>
          <w:lang w:val="fr-FR"/>
        </w:rPr>
        <w:t xml:space="preserve"> </w:t>
      </w:r>
      <w:r>
        <w:rPr>
          <w:lang w:val="fr-FR"/>
        </w:rPr>
        <w:t xml:space="preserve">ivoirienne. Les 19 du RGPH en représentent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1,55 %</w:t>
      </w:r>
      <w:r>
        <w:rPr>
          <w:lang w:val="fr-FR"/>
        </w:rPr>
        <w:t xml:space="preserve">.</w:t>
      </w:r>
    </w:p>
    <w:p>
      <w:pPr>
        <w:pStyle w:val="BlockText"/>
      </w:pPr>
      <w:r>
        <w:rPr>
          <w:lang w:val="fr-FR"/>
        </w:rPr>
        <w:t xml:space="preserve">Autrement dit : fonder une allocation d’investissements à la maille de la sous-préfecture sur</w:t>
      </w:r>
      <w:r>
        <w:rPr>
          <w:lang w:val="fr-FR"/>
        </w:rPr>
        <w:t xml:space="preserve"> </w:t>
      </w:r>
      <w:r>
        <w:rPr>
          <w:lang w:val="fr-FR"/>
        </w:rPr>
        <w:t xml:space="preserve">l’EHCVM reviendrait à ne rien pouvoir dire, de façon publiable, sur la moitié du pays. Le</w:t>
      </w:r>
      <w:r>
        <w:rPr>
          <w:lang w:val="fr-FR"/>
        </w:rPr>
        <w:t xml:space="preserve"> </w:t>
      </w:r>
      <w:r>
        <w:rPr>
          <w:lang w:val="fr-FR"/>
        </w:rPr>
        <w:t xml:space="preserve">recensement ramène cette zone d’ombre à un cinquantième.</w:t>
      </w:r>
    </w:p>
    <w:p>
      <w:pPr>
        <w:pStyle w:val="FirstParagraph"/>
      </w:pPr>
      <w:r>
        <w:rPr>
          <w:lang w:val="fr-FR"/>
        </w:rPr>
        <w:t xml:space="preserve">Le coefficient de variation médian donne la même lecture en continu : 15,4 % contre 9,0 % à la</w:t>
      </w:r>
      <w:r>
        <w:rPr>
          <w:lang w:val="fr-FR"/>
        </w:rPr>
        <w:t xml:space="preserve"> </w:t>
      </w:r>
      <w:r>
        <w:rPr>
          <w:lang w:val="fr-FR"/>
        </w:rPr>
        <w:t xml:space="preserve">sous-préfecture, 12,3 % contre 5,0 % au département.</w:t>
      </w:r>
    </w:p>
    <w:bookmarkEnd w:id="13"/>
    <w:bookmarkStart w:id="14" w:name="X441b10ab155f4379dd3f81f3a9af6fc61285447"/>
    <w:p>
      <w:pPr>
        <w:pStyle w:val="Heading1"/>
      </w:pPr>
      <w:r>
        <w:rPr>
          <w:lang w:val="fr-FR"/>
        </w:rPr>
        <w:t xml:space="preserve">Le suivi dans le temps : l’écart est tout aussi massif, en sens inverse</w:t>
      </w:r>
    </w:p>
    <w:p>
      <w:pPr>
        <w:pStyle w:val="BlockText"/>
      </w:pPr>
      <w:r>
        <w:rPr>
          <w:b/>
          <w:bCs/>
          <w:lang w:val="fr-FR"/>
        </w:rPr>
        <w:t xml:space="preserve">Attention — Le recensement ne dira pas si le PND a réussi</w:t>
      </w:r>
    </w:p>
    <w:p>
      <w:pPr>
        <w:pStyle w:val="BlockText"/>
      </w:pPr>
      <w:r>
        <w:rPr>
          <w:lang w:val="fr-FR"/>
        </w:rPr>
        <w:t xml:space="preserve">Le RGPH est décennal : le prochain n’interviendra pas avant la fin du plan. L’IPM RGPH fournit une</w:t>
      </w:r>
      <w:r>
        <w:rPr>
          <w:lang w:val="fr-FR"/>
        </w:rPr>
        <w:t xml:space="preserve"> </w:t>
      </w:r>
      <w:r>
        <w:rPr>
          <w:lang w:val="fr-FR"/>
        </w:rPr>
        <w:t xml:space="preserve">valeur de départ, très détaillée, mais aucune évolution.</w:t>
      </w:r>
    </w:p>
    <w:p>
      <w:pPr>
        <w:pStyle w:val="BlockText"/>
      </w:pPr>
      <w:r>
        <w:rPr>
          <w:lang w:val="fr-FR"/>
        </w:rPr>
        <w:t xml:space="preserve">L’EHCVM est une enquête répétée — 2018, 2021, et une vague dans l’intervalle du plan. C’est la</w:t>
      </w:r>
      <w:r>
        <w:rPr>
          <w:lang w:val="fr-FR"/>
        </w:rPr>
        <w:t xml:space="preserve"> </w:t>
      </w:r>
      <w:r>
        <w:rPr>
          <w:lang w:val="fr-FR"/>
        </w:rPr>
        <w:t xml:space="preserve">seule des deux sources capable d’alimenter en progrès le cadre de gouvernance que le PND met en</w:t>
      </w:r>
      <w:r>
        <w:rPr>
          <w:lang w:val="fr-FR"/>
        </w:rPr>
        <w:t xml:space="preserve"> </w:t>
      </w:r>
      <w:r>
        <w:rPr>
          <w:lang w:val="fr-FR"/>
        </w:rPr>
        <w:t xml:space="preserve">place.</w:t>
      </w:r>
    </w:p>
    <w:p>
      <w:pPr>
        <w:pStyle w:val="FirstParagraph"/>
      </w:pPr>
      <w:r>
        <w:rPr>
          <w:lang w:val="fr-FR"/>
        </w:rPr>
        <w:t xml:space="preserve">Pour un plan quinquennal assorti de cibles datées, c’est un argument qui ne se compense pas : un</w:t>
      </w:r>
      <w:r>
        <w:rPr>
          <w:lang w:val="fr-FR"/>
        </w:rPr>
        <w:t xml:space="preserve"> </w:t>
      </w:r>
      <w:r>
        <w:rPr>
          <w:lang w:val="fr-FR"/>
        </w:rPr>
        <w:t xml:space="preserve">indice qu’on ne peut recalculer qu’une fois n’est pas un indicateur de suivi.</w:t>
      </w:r>
    </w:p>
    <w:bookmarkEnd w:id="14"/>
    <w:bookmarkStart w:id="16" w:name="ce-que-les-deux-mesurent-également-bien"/>
    <w:p>
      <w:pPr>
        <w:pStyle w:val="Heading1"/>
      </w:pPr>
      <w:r>
        <w:rPr>
          <w:lang w:val="fr-FR"/>
        </w:rPr>
        <w:t xml:space="preserve">Ce que les deux mesurent également bien</w:t>
      </w:r>
    </w:p>
    <w:p>
      <w:pPr>
        <w:pStyle w:val="FirstParagraph"/>
      </w:pPr>
      <w:r>
        <w:rPr>
          <w:lang w:val="fr-FR"/>
        </w:rPr>
        <w:t xml:space="preserve">Sept indicateurs sont communs aux deux sources avec une définition quasi identique. Les taux de</w:t>
      </w:r>
      <w:r>
        <w:rPr>
          <w:lang w:val="fr-FR"/>
        </w:rPr>
        <w:t xml:space="preserve"> </w:t>
      </w:r>
      <w:r>
        <w:rPr>
          <w:lang w:val="fr-FR"/>
        </w:rPr>
        <w:t xml:space="preserve">privation se suivent de près, ce qui valide les deux calculs l’un par l’autre.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fr-FR"/>
              </w:rPr>
              <w:t xml:space="preserve">Indicateur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EHCVM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RGPH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fr-FR"/>
              </w:rPr>
              <w:t xml:space="preserve">Commentaire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Année de scolarité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62,9 %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63,2 %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le diplôme approche bien les années d’études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Énergie de cuisson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66,3 %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62,7 %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Emploi de subsistance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40,5 %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46,0 %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approximation côté RGPH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Fréquentation scolaire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31,9 %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35,6 %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Biens d’équipement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21,7 %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18,2 %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le RGPH mesure les 8 biens, l’EHCVM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Logement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17,3 %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25,0 %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nomenclatures de matériaux différentes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Électricité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9,3 %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11,5 %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Chômage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6,5 %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5,9 %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Eau potable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20,9 %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14,3 %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le RGPH perd le temps de trajet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Toilette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67,2 %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45,1 %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le RGPH perd le partage des sanitaires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Alphabétisation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62,9 %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70,4 %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État civil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26,3 %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15,2 %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—</w:t>
            </w:r>
          </w:p>
        </w:tc>
      </w:tr>
    </w:tbl>
    <w:bookmarkStart w:id="15" w:name="X47df7c81921e471785c93df5fcf1929ea22af66"/>
    <w:p>
      <w:pPr>
        <w:pStyle w:val="Heading2"/>
      </w:pPr>
      <w:r>
        <w:rPr>
          <w:lang w:val="fr-FR"/>
        </w:rPr>
        <w:t xml:space="preserve">Le test de cohérence : la variante harmonisée</w:t>
      </w:r>
    </w:p>
    <w:p>
      <w:pPr>
        <w:pStyle w:val="FirstParagraph"/>
      </w:pPr>
      <w:r>
        <w:rPr>
          <w:lang w:val="fr-FR"/>
        </w:rPr>
        <w:t xml:space="preserve">Le pipeline produit, pour chaque source, une variante restreinte au socle des douze indicateurs</w:t>
      </w:r>
      <w:r>
        <w:rPr>
          <w:lang w:val="fr-FR"/>
        </w:rPr>
        <w:t xml:space="preserve"> </w:t>
      </w:r>
      <w:r>
        <w:rPr>
          <w:lang w:val="fr-FR"/>
        </w:rPr>
        <w:t xml:space="preserve">communs. C’est la seule comparaison légitime entre les deux.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m:oMath>
              <m:r>
                <m:t>H</m:t>
              </m:r>
            </m:oMath>
            <w:r>
              <w:rPr>
                <w:lang w:val="fr-FR"/>
              </w:rP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rPr>
                <w:lang w:val="fr-FR"/>
              </w:rP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lang w:val="fr-FR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EHCVM 2021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53,5 %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0,5113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0,2737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RGPH 2021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52,0 %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fr-FR"/>
              </w:rPr>
              <w:t xml:space="preserve">0,5157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fr-FR"/>
              </w:rPr>
              <w:t xml:space="preserve">0,2680</w:t>
            </w:r>
          </w:p>
        </w:tc>
      </w:tr>
    </w:tbl>
    <w:p>
      <w:pPr>
        <w:pStyle w:val="BlockText"/>
      </w:pPr>
      <w:r>
        <w:rPr>
          <w:b/>
          <w:bCs/>
          <w:lang w:val="fr-FR"/>
        </w:rPr>
        <w:t xml:space="preserve">Un résultat qui compte pour le PND</w:t>
      </w:r>
    </w:p>
    <w:p>
      <w:pPr>
        <w:pStyle w:val="BlockText"/>
      </w:pPr>
      <w:r>
        <w:rPr>
          <w:lang w:val="fr-FR"/>
        </w:rPr>
        <w:t xml:space="preserve">À indicateurs identiques, une enquête par sondage et un recensement exhaustif, collectés la même</w:t>
      </w:r>
      <w:r>
        <w:rPr>
          <w:lang w:val="fr-FR"/>
        </w:rPr>
        <w:t xml:space="preserve"> </w:t>
      </w:r>
      <w:r>
        <w:rPr>
          <w:lang w:val="fr-FR"/>
        </w:rPr>
        <w:t xml:space="preserve">année par deux dispositifs entièrement différents, donnent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2 % d’écart</w:t>
      </w:r>
      <w:r>
        <w:rPr>
          <w:lang w:val="fr-FR"/>
        </w:rPr>
        <w:t xml:space="preserve">.</w:t>
      </w:r>
    </w:p>
    <w:p>
      <w:pPr>
        <w:pStyle w:val="BlockText"/>
      </w:pPr>
      <w:r>
        <w:rPr>
          <w:lang w:val="fr-FR"/>
        </w:rPr>
        <w:t xml:space="preserve">Conséquence pratique : la carte territoriale du recensement et le tableau de bord de l’enquête</w:t>
      </w:r>
      <w:r>
        <w:rPr>
          <w:lang w:val="fr-FR"/>
        </w:rPr>
        <w:t xml:space="preserve"> </w:t>
      </w:r>
      <w:r>
        <w:rPr>
          <w:lang w:val="fr-FR"/>
        </w:rPr>
        <w:t xml:space="preserve">peuvent être utilisés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ensemble</w:t>
      </w:r>
      <w:r>
        <w:rPr>
          <w:lang w:val="fr-FR"/>
        </w:rPr>
        <w:t xml:space="preserve"> </w:t>
      </w:r>
      <w:r>
        <w:rPr>
          <w:lang w:val="fr-FR"/>
        </w:rPr>
        <w:t xml:space="preserve">sans craindre qu’ils racontent deux histoires différentes.</w:t>
      </w:r>
      <w:r>
        <w:rPr>
          <w:lang w:val="fr-FR"/>
        </w:rPr>
        <w:t xml:space="preserve"> </w:t>
      </w:r>
      <w:r>
        <w:rPr>
          <w:lang w:val="fr-FR"/>
        </w:rPr>
        <w:t xml:space="preserve">C’est ce qui rend l’architecture recommandée ci-dessous opérationnelle et non seulement</w:t>
      </w:r>
      <w:r>
        <w:rPr>
          <w:lang w:val="fr-FR"/>
        </w:rPr>
        <w:t xml:space="preserve"> </w:t>
      </w:r>
      <w:r>
        <w:rPr>
          <w:lang w:val="fr-FR"/>
        </w:rPr>
        <w:t xml:space="preserve">théorique.</w:t>
      </w:r>
    </w:p>
    <w:bookmarkEnd w:id="15"/>
    <w:bookmarkEnd w:id="16"/>
    <w:bookmarkStart w:id="19" w:name="le-verdict"/>
    <w:p>
      <w:pPr>
        <w:pStyle w:val="Heading1"/>
      </w:pPr>
      <w:r>
        <w:rPr>
          <w:lang w:val="fr-FR"/>
        </w:rPr>
        <w:t xml:space="preserve">Le verdict</w:t>
      </w:r>
    </w:p>
    <w:bookmarkStart w:id="17" w:name="lequel-est-le-plus-aligné"/>
    <w:p>
      <w:pPr>
        <w:pStyle w:val="Heading2"/>
      </w:pPr>
      <w:r>
        <w:rPr>
          <w:lang w:val="fr-FR"/>
        </w:rPr>
        <w:t xml:space="preserve">Lequel est le plus aligné ?</w:t>
      </w:r>
    </w:p>
    <w:p>
      <w:pPr>
        <w:pStyle w:val="FirstParagraph"/>
      </w:pPr>
      <w:r>
        <w:rPr>
          <w:b/>
          <w:bCs/>
          <w:lang w:val="fr-FR"/>
        </w:rPr>
        <w:t xml:space="preserve">L’IPM EHCVM</w:t>
      </w:r>
      <w:r>
        <w:rPr>
          <w:lang w:val="fr-FR"/>
        </w:rPr>
        <w:t xml:space="preserve">, et pour trois raisons qui se cumulent.</w:t>
      </w:r>
    </w:p>
    <w:p>
      <w:pPr>
        <w:numPr>
          <w:ilvl w:val="0"/>
          <w:numId w:val="1002"/>
        </w:numPr>
      </w:pPr>
      <w:r>
        <w:rPr>
          <w:b/>
          <w:bCs/>
          <w:lang w:val="fr-FR"/>
        </w:rPr>
        <w:t xml:space="preserve">Il couvre plus de cibles</w:t>
      </w:r>
      <w:r>
        <w:rPr>
          <w:lang w:val="fr-FR"/>
        </w:rPr>
        <w:t xml:space="preserve"> </w:t>
      </w:r>
      <w:r>
        <w:rPr>
          <w:lang w:val="fr-FR"/>
        </w:rPr>
        <w:t xml:space="preserve">: onze contre sept en prise directe, sur des cibles</w:t>
      </w:r>
      <w:r>
        <w:rPr>
          <w:lang w:val="fr-FR"/>
        </w:rPr>
        <w:t xml:space="preserve"> </w:t>
      </w:r>
      <w:r>
        <w:rPr>
          <w:lang w:val="fr-FR"/>
        </w:rPr>
        <w:t xml:space="preserve">chiffrées assorties d’une valeur de départ et d’une valeur 2030.</w:t>
      </w:r>
    </w:p>
    <w:p>
      <w:pPr>
        <w:numPr>
          <w:ilvl w:val="0"/>
          <w:numId w:val="1002"/>
        </w:numPr>
      </w:pPr>
      <w:r>
        <w:rPr>
          <w:b/>
          <w:bCs/>
          <w:lang w:val="fr-FR"/>
        </w:rPr>
        <w:t xml:space="preserve">Il couvre le cœur du Pilier 4</w:t>
      </w:r>
      <w:r>
        <w:rPr>
          <w:lang w:val="fr-FR"/>
        </w:rPr>
        <w:t xml:space="preserve"> </w:t>
      </w:r>
      <w:r>
        <w:rPr>
          <w:lang w:val="fr-FR"/>
        </w:rPr>
        <w:t xml:space="preserve">— le pilier du capital humain, celui où se</w:t>
      </w:r>
      <w:r>
        <w:rPr>
          <w:lang w:val="fr-FR"/>
        </w:rPr>
        <w:t xml:space="preserve"> </w:t>
      </w:r>
      <w:r>
        <w:rPr>
          <w:lang w:val="fr-FR"/>
        </w:rPr>
        <w:t xml:space="preserve">concentrent les cibles sociales du plan. Les quatre cibles santé et nutrition (CMU,</w:t>
      </w:r>
      <w:r>
        <w:rPr>
          <w:lang w:val="fr-FR"/>
        </w:rPr>
        <w:t xml:space="preserve"> </w:t>
      </w:r>
      <w:r>
        <w:rPr>
          <w:lang w:val="fr-FR"/>
        </w:rPr>
        <w:t xml:space="preserve">protection sociale, accès aux soins, retard de croissance) sont hors de portée du</w:t>
      </w:r>
      <w:r>
        <w:rPr>
          <w:lang w:val="fr-FR"/>
        </w:rPr>
        <w:t xml:space="preserve"> </w:t>
      </w:r>
      <w:r>
        <w:rPr>
          <w:lang w:val="fr-FR"/>
        </w:rPr>
        <w:t xml:space="preserve">recensement.</w:t>
      </w:r>
    </w:p>
    <w:p>
      <w:pPr>
        <w:numPr>
          <w:ilvl w:val="0"/>
          <w:numId w:val="1002"/>
        </w:numPr>
      </w:pPr>
      <w:r>
        <w:rPr>
          <w:b/>
          <w:bCs/>
          <w:lang w:val="fr-FR"/>
        </w:rPr>
        <w:t xml:space="preserve">Il est actualisable</w:t>
      </w:r>
      <w:r>
        <w:rPr>
          <w:lang w:val="fr-FR"/>
        </w:rPr>
        <w:t xml:space="preserve">. Un cadre de résultats a besoin d’un indicateur qu’on peut</w:t>
      </w:r>
      <w:r>
        <w:rPr>
          <w:lang w:val="fr-FR"/>
        </w:rPr>
        <w:t xml:space="preserve"> </w:t>
      </w:r>
      <w:r>
        <w:rPr>
          <w:lang w:val="fr-FR"/>
        </w:rPr>
        <w:t xml:space="preserve">recalculer ; le recensement ne le permettra pas avant 2031.</w:t>
      </w:r>
    </w:p>
    <w:bookmarkEnd w:id="17"/>
    <w:bookmarkStart w:id="18" w:name="lequel-aide-le-mieux"/>
    <w:p>
      <w:pPr>
        <w:pStyle w:val="Heading2"/>
      </w:pPr>
      <w:r>
        <w:rPr>
          <w:lang w:val="fr-FR"/>
        </w:rPr>
        <w:t xml:space="preserve">Lequel aide le mieux ?</w:t>
      </w:r>
    </w:p>
    <w:p>
      <w:pPr>
        <w:pStyle w:val="FirstParagraph"/>
      </w:pPr>
      <w:r>
        <w:rPr>
          <w:b/>
          <w:bCs/>
          <w:lang w:val="fr-FR"/>
        </w:rPr>
        <w:t xml:space="preserve">Cela dépend de ce qu’on appelle aider</w:t>
      </w:r>
      <w:r>
        <w:rPr>
          <w:lang w:val="fr-FR"/>
        </w:rPr>
        <w:t xml:space="preserve">, et la réponse honnête est qu’ils aident à deux</w:t>
      </w:r>
      <w:r>
        <w:rPr>
          <w:lang w:val="fr-FR"/>
        </w:rPr>
        <w:t xml:space="preserve"> </w:t>
      </w:r>
      <w:r>
        <w:rPr>
          <w:lang w:val="fr-FR"/>
        </w:rPr>
        <w:t xml:space="preserve">moments différents du cycle de la politique publique.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fr-FR"/>
              </w:rPr>
              <w:t xml:space="preserve">Moment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fr-FR"/>
              </w:rPr>
              <w:t xml:space="preserve">Ce que le PND demande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fr-FR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Cadrer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fixer la cible de pauvreté à 2030, que le plan a laissée en blanc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EHCVM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Répartir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allouer les investissements du Pilier 5 entre territoires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fr-FR"/>
              </w:rPr>
              <w:t xml:space="preserve">RGPH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Cibler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constituer le registre social unifié, servir 827 000 ménages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fr-FR"/>
              </w:rPr>
              <w:t xml:space="preserve">RGPH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Suivre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mesurer les progrès à mi-parcours et en 2030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EHCVM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Rendre compte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documenter l’atteinte des cibles du cadre de résultats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fr-FR"/>
              </w:rPr>
              <w:t xml:space="preserve">EHCVM</w:t>
            </w:r>
          </w:p>
        </w:tc>
      </w:tr>
    </w:tbl>
    <w:p>
      <w:pPr>
        <w:pStyle w:val="BlockText"/>
      </w:pPr>
      <w:r>
        <w:rPr>
          <w:b/>
          <w:bCs/>
          <w:lang w:val="fr-FR"/>
        </w:rPr>
        <w:t xml:space="preserve">Attention — Ce que choisir une seule source coûterait</w:t>
      </w:r>
    </w:p>
    <w:p>
      <w:pPr>
        <w:pStyle w:val="BlockText"/>
      </w:pPr>
      <w:r>
        <w:rPr>
          <w:b/>
          <w:bCs/>
          <w:lang w:val="fr-FR"/>
        </w:rPr>
        <w:t xml:space="preserve">Ne garder que l’EHCVM</w:t>
      </w:r>
      <w:r>
        <w:rPr>
          <w:lang w:val="fr-FR"/>
        </w:rPr>
        <w:t xml:space="preserve"> </w:t>
      </w:r>
      <w:r>
        <w:rPr>
          <w:lang w:val="fr-FR"/>
        </w:rPr>
        <w:t xml:space="preserve">: le Pilier 5 perdrait sa base statistique — près de la moitié de</w:t>
      </w:r>
      <w:r>
        <w:rPr>
          <w:lang w:val="fr-FR"/>
        </w:rPr>
        <w:t xml:space="preserve"> </w:t>
      </w:r>
      <w:r>
        <w:rPr>
          <w:lang w:val="fr-FR"/>
        </w:rPr>
        <w:t xml:space="preserve">la population dans une zone dont l’IPM n’est pas publiable — et le registre social unifié du</w:t>
      </w:r>
      <w:r>
        <w:rPr>
          <w:lang w:val="fr-FR"/>
        </w:rPr>
        <w:t xml:space="preserve"> </w:t>
      </w:r>
      <w:r>
        <w:rPr>
          <w:lang w:val="fr-FR"/>
        </w:rPr>
        <w:t xml:space="preserve">Pilier 6 devrait être construit sans information de privation.</w:t>
      </w:r>
    </w:p>
    <w:p>
      <w:pPr>
        <w:pStyle w:val="BlockText"/>
      </w:pPr>
      <w:r>
        <w:rPr>
          <w:b/>
          <w:bCs/>
          <w:lang w:val="fr-FR"/>
        </w:rPr>
        <w:t xml:space="preserve">Ne garder que le RGPH</w:t>
      </w:r>
      <w:r>
        <w:rPr>
          <w:lang w:val="fr-FR"/>
        </w:rPr>
        <w:t xml:space="preserve"> </w:t>
      </w:r>
      <w:r>
        <w:rPr>
          <w:lang w:val="fr-FR"/>
        </w:rPr>
        <w:t xml:space="preserve">: le plan perdrait toute mesure de la santé, de la nutrition, de la</w:t>
      </w:r>
      <w:r>
        <w:rPr>
          <w:lang w:val="fr-FR"/>
        </w:rPr>
        <w:t xml:space="preserve"> </w:t>
      </w:r>
      <w:r>
        <w:rPr>
          <w:lang w:val="fr-FR"/>
        </w:rPr>
        <w:t xml:space="preserve">protection sociale et du genre, c’est-à-dire la plus grande partie des cibles sociales du Pilier 4,</w:t>
      </w:r>
      <w:r>
        <w:rPr>
          <w:lang w:val="fr-FR"/>
        </w:rPr>
        <w:t xml:space="preserve"> </w:t>
      </w:r>
      <w:r>
        <w:rPr>
          <w:lang w:val="fr-FR"/>
        </w:rPr>
        <w:t xml:space="preserve">et n’aurait aucun moyen de constater ses progrès avant 2031.</w:t>
      </w:r>
    </w:p>
    <w:bookmarkEnd w:id="18"/>
    <w:bookmarkEnd w:id="19"/>
    <w:bookmarkStart w:id="22" w:name="architecture-recommandée"/>
    <w:p>
      <w:pPr>
        <w:pStyle w:val="Heading1"/>
      </w:pPr>
      <w:r>
        <w:rPr>
          <w:lang w:val="fr-FR"/>
        </w:rPr>
        <w:t xml:space="preserve">Architecture recommandée</w:t>
      </w:r>
    </w:p>
    <w:bookmarkStart w:id="20" w:name="les-trois-rôles"/>
    <w:p>
      <w:pPr>
        <w:pStyle w:val="Heading2"/>
      </w:pPr>
      <w:r>
        <w:rPr>
          <w:lang w:val="fr-FR"/>
        </w:rPr>
        <w:t xml:space="preserve">Les trois rôles</w:t>
      </w:r>
    </w:p>
    <w:p>
      <w:pPr>
        <w:pStyle w:val="DefinitionTerm"/>
      </w:pPr>
      <w:r>
        <w:rPr>
          <w:lang w:val="fr-FR"/>
        </w:rPr>
        <w:t xml:space="preserve">L’EHCVM tient le cadre de résultats.</w:t>
      </w:r>
    </w:p>
    <w:p>
      <w:pPr>
        <w:pStyle w:val="Definition"/>
      </w:pP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2863</m:t>
        </m:r>
      </m:oMath>
      <w:r>
        <w:rPr>
          <w:lang w:val="fr-FR"/>
        </w:rPr>
        <w:t xml:space="preserve"> </w:t>
      </w:r>
      <w:r>
        <w:rPr>
          <w:lang w:val="fr-FR"/>
        </w:rPr>
        <w:t xml:space="preserve">en 2021 devient la valeur de</w:t>
      </w:r>
      <w:r>
        <w:rPr>
          <w:lang w:val="fr-FR"/>
        </w:rPr>
        <w:t xml:space="preserve"> </w:t>
      </w:r>
      <w:r>
        <w:rPr>
          <w:lang w:val="fr-FR"/>
        </w:rPr>
        <w:t xml:space="preserve">départ ; une cible 2030 est fixée, comblant la seule absence de valeur chiffrée parmi les</w:t>
      </w:r>
      <w:r>
        <w:rPr>
          <w:lang w:val="fr-FR"/>
        </w:rPr>
        <w:t xml:space="preserve"> </w:t>
      </w:r>
      <w:r>
        <w:rPr>
          <w:lang w:val="fr-FR"/>
        </w:rPr>
        <w:t xml:space="preserve">objectifs majeurs du plan ; onze cibles sectorielles sont suivies sur une série unique et</w:t>
      </w:r>
      <w:r>
        <w:rPr>
          <w:lang w:val="fr-FR"/>
        </w:rPr>
        <w:t xml:space="preserve"> </w:t>
      </w:r>
      <w:r>
        <w:rPr>
          <w:lang w:val="fr-FR"/>
        </w:rPr>
        <w:t xml:space="preserve">cohérente plutôt que sur onze statistiques éparses.</w:t>
      </w:r>
    </w:p>
    <w:p>
      <w:pPr>
        <w:pStyle w:val="DefinitionTerm"/>
      </w:pPr>
      <w:r>
        <w:rPr>
          <w:lang w:val="fr-FR"/>
        </w:rPr>
        <w:t xml:space="preserve">Le RGPH tient la carte et le registre.</w:t>
      </w:r>
    </w:p>
    <w:p>
      <w:pPr>
        <w:pStyle w:val="Definition"/>
      </w:pPr>
      <w:r>
        <w:rPr>
          <w:lang w:val="fr-FR"/>
        </w:rPr>
        <w:t xml:space="preserve">Un IPM publiable pour 111 départements et 500</w:t>
      </w:r>
      <w:r>
        <w:rPr>
          <w:lang w:val="fr-FR"/>
        </w:rPr>
        <w:t xml:space="preserve"> </w:t>
      </w:r>
      <w:r>
        <w:rPr>
          <w:lang w:val="fr-FR"/>
        </w:rPr>
        <w:t xml:space="preserve">sous-préfectures fonde la planification spatiale du Pilier 5. Les 5,6 millions de ménages, dont</w:t>
      </w:r>
      <w:r>
        <w:rPr>
          <w:lang w:val="fr-FR"/>
        </w:rPr>
        <w:t xml:space="preserve"> </w:t>
      </w:r>
      <w:r>
        <w:rPr>
          <w:lang w:val="fr-FR"/>
        </w:rPr>
        <w:t xml:space="preserve">1 751 746 pauvres et 285 115 en pauvreté sévère, chacun avec son score et sa localisation,</w:t>
      </w:r>
      <w:r>
        <w:rPr>
          <w:lang w:val="fr-FR"/>
        </w:rPr>
        <w:t xml:space="preserve"> </w:t>
      </w:r>
      <w:r>
        <w:rPr>
          <w:lang w:val="fr-FR"/>
        </w:rPr>
        <w:t xml:space="preserve">fondent le registre social du Pilier 6 et le ciblage des filets sociaux.</w:t>
      </w:r>
    </w:p>
    <w:p>
      <w:pPr>
        <w:pStyle w:val="DefinitionTerm"/>
      </w:pPr>
      <w:r>
        <w:rPr>
          <w:lang w:val="fr-FR"/>
        </w:rPr>
        <w:t xml:space="preserve">La variante harmonisée fait le pont.</w:t>
      </w:r>
    </w:p>
    <w:p>
      <w:pPr>
        <w:pStyle w:val="Definition"/>
      </w:pPr>
      <w:r>
        <w:rPr>
          <w:lang w:val="fr-FR"/>
        </w:rPr>
        <w:t xml:space="preserve">Elle garantit que les deux instruments parlent de la</w:t>
      </w:r>
      <w:r>
        <w:rPr>
          <w:lang w:val="fr-FR"/>
        </w:rPr>
        <w:t xml:space="preserve"> </w:t>
      </w:r>
      <w:r>
        <w:rPr>
          <w:lang w:val="fr-FR"/>
        </w:rPr>
        <w:t xml:space="preserve">même chose. Elle sert aussi de contrôle : si un futur IPM EHCVM s’écartait fortement de la</w:t>
      </w:r>
      <w:r>
        <w:rPr>
          <w:lang w:val="fr-FR"/>
        </w:rPr>
        <w:t xml:space="preserve"> </w:t>
      </w:r>
      <w:r>
        <w:rPr>
          <w:lang w:val="fr-FR"/>
        </w:rPr>
        <w:t xml:space="preserve">trajectoire, la comparaison harmonisée dirait s’il s’agit d’un effet réel ou d’un artefact de</w:t>
      </w:r>
      <w:r>
        <w:rPr>
          <w:lang w:val="fr-FR"/>
        </w:rPr>
        <w:t xml:space="preserve"> </w:t>
      </w:r>
      <w:r>
        <w:rPr>
          <w:lang w:val="fr-FR"/>
        </w:rPr>
        <w:t xml:space="preserve">mesure.</w:t>
      </w:r>
    </w:p>
    <w:bookmarkEnd w:id="20"/>
    <w:bookmarkStart w:id="21" w:name="ce-quil-reste-à-faire"/>
    <w:p>
      <w:pPr>
        <w:pStyle w:val="Heading2"/>
      </w:pPr>
      <w:r>
        <w:rPr>
          <w:lang w:val="fr-FR"/>
        </w:rPr>
        <w:t xml:space="preserve">Ce qu’il reste à faire</w:t>
      </w:r>
    </w:p>
    <w:p>
      <w:pPr>
        <w:numPr>
          <w:ilvl w:val="0"/>
          <w:numId w:val="1003"/>
        </w:numPr>
      </w:pPr>
      <w:r>
        <w:rPr>
          <w:b/>
          <w:bCs/>
          <w:lang w:val="fr-FR"/>
        </w:rPr>
        <w:t xml:space="preserve">Faire adopter une cible d’IPM à 2030</w:t>
      </w:r>
      <w:r>
        <w:rPr>
          <w:lang w:val="fr-FR"/>
        </w:rPr>
        <w:t xml:space="preserve"> </w:t>
      </w:r>
      <w:r>
        <w:rPr>
          <w:lang w:val="fr-FR"/>
        </w:rPr>
        <w:t xml:space="preserve">dans le cadre de gouvernance du PND. C’est la</w:t>
      </w:r>
      <w:r>
        <w:rPr>
          <w:lang w:val="fr-FR"/>
        </w:rPr>
        <w:t xml:space="preserve"> </w:t>
      </w:r>
      <w:r>
        <w:rPr>
          <w:lang w:val="fr-FR"/>
        </w:rPr>
        <w:t xml:space="preserve">seule action qui transforme un travail statistique en instrument de pilotage.</w:t>
      </w:r>
    </w:p>
    <w:p>
      <w:pPr>
        <w:numPr>
          <w:ilvl w:val="0"/>
          <w:numId w:val="1003"/>
        </w:numPr>
      </w:pPr>
      <w:r>
        <w:rPr>
          <w:b/>
          <w:bCs/>
          <w:lang w:val="fr-FR"/>
        </w:rPr>
        <w:t xml:space="preserve">Publier la carte RGPH</w:t>
      </w:r>
      <w:r>
        <w:rPr>
          <w:lang w:val="fr-FR"/>
        </w:rPr>
        <w:t xml:space="preserve"> </w:t>
      </w:r>
      <w:r>
        <w:rPr>
          <w:lang w:val="fr-FR"/>
        </w:rPr>
        <w:t xml:space="preserve">à la maille du département et de la sous-préfecture, en</w:t>
      </w:r>
      <w:r>
        <w:rPr>
          <w:lang w:val="fr-FR"/>
        </w:rPr>
        <w:t xml:space="preserve"> </w:t>
      </w:r>
      <w:r>
        <w:rPr>
          <w:lang w:val="fr-FR"/>
        </w:rPr>
        <w:t xml:space="preserve">signalant les 19 sous-préfectures non publiables.</w:t>
      </w:r>
    </w:p>
    <w:p>
      <w:pPr>
        <w:numPr>
          <w:ilvl w:val="0"/>
          <w:numId w:val="1003"/>
        </w:numPr>
      </w:pPr>
      <w:r>
        <w:rPr>
          <w:b/>
          <w:bCs/>
          <w:lang w:val="fr-FR"/>
        </w:rPr>
        <w:t xml:space="preserve">Arbitrer les deux points méthodologiques ouverts</w:t>
      </w:r>
      <w:r>
        <w:rPr>
          <w:lang w:val="fr-FR"/>
        </w:rPr>
        <w:t xml:space="preserve"> </w:t>
      </w:r>
      <w:r>
        <w:rPr>
          <w:lang w:val="fr-FR"/>
        </w:rPr>
        <w:t xml:space="preserve">avant toute publication : le taux</w:t>
      </w:r>
      <w:r>
        <w:rPr>
          <w:lang w:val="fr-FR"/>
        </w:rPr>
        <w:t xml:space="preserve"> </w:t>
      </w:r>
      <w:r>
        <w:rPr>
          <w:lang w:val="fr-FR"/>
        </w:rPr>
        <w:t xml:space="preserve">de privation de la toilette au RGPH, non réconcilié avec la production Stata antérieure, et</w:t>
      </w:r>
      <w:r>
        <w:rPr>
          <w:lang w:val="fr-FR"/>
        </w:rPr>
        <w:t xml:space="preserve"> </w:t>
      </w:r>
      <w:r>
        <w:rPr>
          <w:lang w:val="fr-FR"/>
        </w:rPr>
        <w:t xml:space="preserve">l’approximation de l’emploi agricole de subsistance, qui porte à elle seule 26,8 % de</w:t>
      </w:r>
      <w:r>
        <w:rPr>
          <w:lang w:val="fr-FR"/>
        </w:rPr>
        <w:t xml:space="preserve"> </w:t>
      </w:r>
      <w:r>
        <w:rPr>
          <w:lang w:val="fr-FR"/>
        </w:rPr>
        <w:t xml:space="preserve">l’indice RGPH.</w:t>
      </w:r>
    </w:p>
    <w:p>
      <w:pPr>
        <w:numPr>
          <w:ilvl w:val="0"/>
          <w:numId w:val="1003"/>
        </w:numPr>
      </w:pPr>
      <w:r>
        <w:rPr>
          <w:b/>
          <w:bCs/>
          <w:lang w:val="fr-FR"/>
        </w:rPr>
        <w:t xml:space="preserve">Reprendre le croisement monétaire / multidimensionnel</w:t>
      </w:r>
      <w:r>
        <w:rPr>
          <w:lang w:val="fr-FR"/>
        </w:rPr>
        <w:t xml:space="preserve"> </w:t>
      </w:r>
      <w:r>
        <w:rPr>
          <w:lang w:val="fr-FR"/>
        </w:rPr>
        <w:t xml:space="preserve">sur la méthode officielle de</w:t>
      </w:r>
      <w:r>
        <w:rPr>
          <w:lang w:val="fr-FR"/>
        </w:rPr>
        <w:t xml:space="preserve"> </w:t>
      </w:r>
      <w:r>
        <w:rPr>
          <w:lang w:val="fr-FR"/>
        </w:rPr>
        <w:t xml:space="preserve">calcul du taux de pauvreté, pour documenter l’objectif général du plan.</w:t>
      </w:r>
    </w:p>
    <w:p>
      <w:pPr>
        <w:numPr>
          <w:ilvl w:val="0"/>
          <w:numId w:val="1003"/>
        </w:numPr>
      </w:pPr>
      <w:r>
        <w:rPr>
          <w:b/>
          <w:bCs/>
          <w:lang w:val="fr-FR"/>
        </w:rPr>
        <w:t xml:space="preserve">Prévoir le recalcul de l’IPM EHCVM</w:t>
      </w:r>
      <w:r>
        <w:rPr>
          <w:lang w:val="fr-FR"/>
        </w:rPr>
        <w:t xml:space="preserve"> </w:t>
      </w:r>
      <w:r>
        <w:rPr>
          <w:lang w:val="fr-FR"/>
        </w:rPr>
        <w:t xml:space="preserve">sur la prochaine vague d’enquête, aux mêmes</w:t>
      </w:r>
      <w:r>
        <w:rPr>
          <w:lang w:val="fr-FR"/>
        </w:rPr>
        <w:t xml:space="preserve"> </w:t>
      </w:r>
      <w:r>
        <w:rPr>
          <w:lang w:val="fr-FR"/>
        </w:rPr>
        <w:t xml:space="preserve">définitions — le pipeline le permet sans modification.</w:t>
      </w:r>
    </w:p>
    <w:bookmarkEnd w:id="21"/>
    <w:bookmarkEnd w:id="22"/>
    <w:bookmarkStart w:id="23" w:name="limites-de-cette-comparaison"/>
    <w:p>
      <w:pPr>
        <w:pStyle w:val="Heading1"/>
      </w:pPr>
      <w:r>
        <w:rPr>
          <w:lang w:val="fr-FR"/>
        </w:rPr>
        <w:t xml:space="preserve">Limites de cette comparaison</w:t>
      </w:r>
    </w:p>
    <w:p>
      <w:pPr>
        <w:numPr>
          <w:ilvl w:val="0"/>
          <w:numId w:val="1004"/>
        </w:numPr>
      </w:pPr>
      <w:r>
        <w:rPr>
          <w:b/>
          <w:bCs/>
          <w:lang w:val="fr-FR"/>
        </w:rPr>
        <w:t xml:space="preserve">Le décompte des cibles est un jugement, pas une mesure.</w:t>
      </w:r>
      <w:r>
        <w:rPr>
          <w:lang w:val="fr-FR"/>
        </w:rPr>
        <w:t xml:space="preserve"> </w:t>
      </w:r>
      <w:r>
        <w:rPr>
          <w:lang w:val="fr-FR"/>
        </w:rPr>
        <w:t xml:space="preserve">Classer une prise en</w:t>
      </w:r>
      <w:r>
        <w:rPr>
          <w:lang w:val="fr-FR"/>
        </w:rPr>
        <w:t xml:space="preserve"> </w:t>
      </w:r>
      <w:r>
        <w:rPr>
          <w:lang w:val="fr-FR"/>
        </w:rPr>
        <w:t xml:space="preserve">« directe », « approchée » ou « indirecte » suppose d’apprécier la proximité entre un</w:t>
      </w:r>
      <w:r>
        <w:rPr>
          <w:lang w:val="fr-FR"/>
        </w:rPr>
        <w:t xml:space="preserve"> </w:t>
      </w:r>
      <w:r>
        <w:rPr>
          <w:lang w:val="fr-FR"/>
        </w:rPr>
        <w:t xml:space="preserve">indicateur de ménage et une cible souvent formulée en taux individuel. Un autre analyste</w:t>
      </w:r>
      <w:r>
        <w:rPr>
          <w:lang w:val="fr-FR"/>
        </w:rPr>
        <w:t xml:space="preserve"> </w:t>
      </w:r>
      <w:r>
        <w:rPr>
          <w:lang w:val="fr-FR"/>
        </w:rPr>
        <w:t xml:space="preserve">aboutirait à un décompte voisin, pas identique.</w:t>
      </w:r>
    </w:p>
    <w:p>
      <w:pPr>
        <w:numPr>
          <w:ilvl w:val="0"/>
          <w:numId w:val="1004"/>
        </w:numPr>
      </w:pPr>
      <w:r>
        <w:rPr>
          <w:b/>
          <w:bCs/>
          <w:lang w:val="fr-FR"/>
        </w:rPr>
        <w:t xml:space="preserve">Le PND ne contient aucune cible d’IPM.</w:t>
      </w:r>
      <w:r>
        <w:rPr>
          <w:lang w:val="fr-FR"/>
        </w:rPr>
        <w:t xml:space="preserve"> </w:t>
      </w:r>
      <w:r>
        <w:rPr>
          <w:lang w:val="fr-FR"/>
        </w:rPr>
        <w:t xml:space="preserve">L’alignement établi ici est un alignement de</w:t>
      </w:r>
      <w:r>
        <w:rPr>
          <w:lang w:val="fr-FR"/>
        </w:rPr>
        <w:t xml:space="preserve"> </w:t>
      </w:r>
      <w:r>
        <w:rPr>
          <w:lang w:val="fr-FR"/>
        </w:rPr>
        <w:t xml:space="preserve">contenu. Rien dans le plan n’engage à retenir cet indice.</w:t>
      </w:r>
    </w:p>
    <w:p>
      <w:pPr>
        <w:numPr>
          <w:ilvl w:val="0"/>
          <w:numId w:val="1004"/>
        </w:numPr>
      </w:pPr>
      <w:r>
        <w:rPr>
          <w:b/>
          <w:bCs/>
          <w:lang w:val="fr-FR"/>
        </w:rPr>
        <w:t xml:space="preserve">Les deux IPM complets ne sont pas comparables en niveau</w:t>
      </w:r>
      <w:r>
        <w:rPr>
          <w:lang w:val="fr-FR"/>
        </w:rPr>
        <w:t xml:space="preserve">, la dimension Santé du</w:t>
      </w:r>
      <w:r>
        <w:rPr>
          <w:lang w:val="fr-FR"/>
        </w:rPr>
        <w:t xml:space="preserve"> </w:t>
      </w:r>
      <w:r>
        <w:rPr>
          <w:lang w:val="fr-FR"/>
        </w:rPr>
        <w:t xml:space="preserve">RGPH étant presque inerte. Toutes les comparaisons de niveau de ce document passent par la</w:t>
      </w:r>
      <w:r>
        <w:rPr>
          <w:lang w:val="fr-FR"/>
        </w:rPr>
        <w:t xml:space="preserve"> </w:t>
      </w:r>
      <w:r>
        <w:rPr>
          <w:lang w:val="fr-FR"/>
        </w:rPr>
        <w:t xml:space="preserve">variante harmonisée.</w:t>
      </w:r>
    </w:p>
    <w:p>
      <w:pPr>
        <w:numPr>
          <w:ilvl w:val="0"/>
          <w:numId w:val="1004"/>
        </w:numPr>
      </w:pPr>
      <w:r>
        <w:rPr>
          <w:b/>
          <w:bCs/>
          <w:lang w:val="fr-FR"/>
        </w:rPr>
        <w:t xml:space="preserve">Les cibles du PND ont des années de référence hétérogènes</w:t>
      </w:r>
      <w:r>
        <w:rPr>
          <w:lang w:val="fr-FR"/>
        </w:rPr>
        <w:t xml:space="preserve"> </w:t>
      </w:r>
      <w:r>
        <w:rPr>
          <w:lang w:val="fr-FR"/>
        </w:rPr>
        <w:t xml:space="preserve">(2021, 2023, 2024, 2025)</w:t>
      </w:r>
      <w:r>
        <w:rPr>
          <w:lang w:val="fr-FR"/>
        </w:rPr>
        <w:t xml:space="preserve"> </w:t>
      </w:r>
      <w:r>
        <w:rPr>
          <w:lang w:val="fr-FR"/>
        </w:rPr>
        <w:t xml:space="preserve">alors que les deux IPM sont datés de 2021. Les écarts à la cible ne sont donc pas des</w:t>
      </w:r>
      <w:r>
        <w:rPr>
          <w:lang w:val="fr-FR"/>
        </w:rPr>
        <w:t xml:space="preserve"> </w:t>
      </w:r>
      <w:r>
        <w:rPr>
          <w:lang w:val="fr-FR"/>
        </w:rPr>
        <w:t xml:space="preserve">écarts à la valeur de départ officielle.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EHCVM ou RGPH : quel IPM sert le mieux le PND 2026-2030 ? Analyse comparative et recommandation</dc:title>
  <dc:creator>Pipeline PythonIPM</dc:creator>
  <cp:keywords/>
  <dcterms:created xsi:type="dcterms:W3CDTF">2026-09-11T15:31:58Z</dcterms:created>
  <dcterms:modified xsi:type="dcterms:W3CDTF">2026-09-11T15:31:58Z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Deux indices de pauvreté multidimensionnelle ont été calculés pour la Côte d’Ivoire sur l’année 2021 : l’un sur l’EHCVM, enquête auprès de 12 965 ménages, l’autre sur le RGPH, recensement exhaustif de 5,6 millions de ménages. Ce document les confronte au Plan National de Développement 2026-2030 et tranche : lequel est le plus aligné, lequel aide le mieux, et comment les employer ensemble. Il suppose connus les deux documents d’analyse qui le précèdent, mais peut se lire seul.</vt:lpwstr>
  </property>
  <property fmtid="{D5CDD505-2E9C-101B-9397-08002B2CF9AE}" pid="3" name="date">
    <vt:lpwstr>Septembre 2026</vt:lpwstr>
  </property>
</Properties>
</file>