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b/>
          <w:bCs/>
          <w:lang w:val="fr-FR"/>
        </w:rPr>
        <w:t xml:space="preserve">L’IPM calculé sur le RGPH 2021 au service du PND 2026-2030</w:t>
      </w:r>
      <w:r>
        <w:br/>
      </w:r>
      <w:r>
        <w:rPr>
          <w:b/>
          <w:bCs/>
          <w:lang w:val="fr-FR"/>
        </w:rPr>
        <w:t xml:space="preserve">Analyse d’alignement</w:t>
      </w:r>
    </w:p>
    <w:p>
      <w:pPr>
        <w:pStyle w:val="Author"/>
      </w:pPr>
      <w:r>
        <w:rPr>
          <w:lang w:val="fr-FR"/>
        </w:rPr>
        <w:t xml:space="preserve">Pipeline</w:t>
      </w:r>
      <w:r>
        <w:rPr>
          <w:lang w:val="fr-FR"/>
        </w:rPr>
        <w:t xml:space="preserve"> </w:t>
      </w:r>
      <w:r>
        <w:rPr>
          <w:rStyle w:val="VerbatimChar"/>
          <w:lang w:val="fr-FR"/>
        </w:rPr>
        <w:t xml:space="preserve">PythonIPM</w:t>
      </w:r>
    </w:p>
    <w:p>
      <w:pPr>
        <w:pStyle w:val="Date"/>
      </w:pPr>
      <w:r>
        <w:rPr>
          <w:lang w:val="fr-FR"/>
        </w:rPr>
        <w:t xml:space="preserve">Septembre 2026</w:t>
      </w:r>
    </w:p>
    <w:p>
      <w:pPr>
        <w:pStyle w:val="AbstractTitle"/>
      </w:pPr>
      <w:r>
        <w:t xml:space="preserve">Abstract</w:t>
      </w:r>
    </w:p>
    <w:p>
      <w:pPr>
        <w:pStyle w:val="Abstract"/>
      </w:pPr>
      <w:r>
        <w:rPr>
          <w:lang w:val="fr-FR"/>
        </w:rPr>
        <w:t xml:space="preserve">Ce document confronte l’indice de pauvreté multidimensionnelle calculé sur le</w:t>
      </w:r>
      <w:r>
        <w:rPr>
          <w:lang w:val="fr-FR"/>
        </w:rPr>
        <w:t xml:space="preserve"> </w:t>
      </w:r>
      <w:r>
        <w:rPr>
          <w:lang w:val="fr-FR"/>
        </w:rPr>
        <w:t xml:space="preserve">Recensement général de la population et de l’habitation 2021 au Plan National de Développement</w:t>
      </w:r>
      <w:r>
        <w:rPr>
          <w:lang w:val="fr-FR"/>
        </w:rPr>
        <w:t xml:space="preserve"> </w:t>
      </w:r>
      <w:r>
        <w:rPr>
          <w:lang w:val="fr-FR"/>
        </w:rPr>
        <w:t xml:space="preserve">2026-2030. Il établit, cible par cible, ce que l’un permet de mesurer de l’autre, ce qu’il ne</w:t>
      </w:r>
      <w:r>
        <w:rPr>
          <w:lang w:val="fr-FR"/>
        </w:rPr>
        <w:t xml:space="preserve"> </w:t>
      </w:r>
      <w:r>
        <w:rPr>
          <w:lang w:val="fr-FR"/>
        </w:rPr>
        <w:t xml:space="preserve">permet pas, et l’usage auquel il se prête le mieux. Un document jumeau traite de l’IPM calculé sur</w:t>
      </w:r>
      <w:r>
        <w:rPr>
          <w:lang w:val="fr-FR"/>
        </w:rPr>
        <w:t xml:space="preserve"> </w:t>
      </w:r>
      <w:r>
        <w:rPr>
          <w:lang w:val="fr-FR"/>
        </w:rPr>
        <w:t xml:space="preserve">l’EHCVM 2021 ; un troisième les compare et conclut.</w:t>
      </w:r>
    </w:p>
    <w:sdt>
      <w:sdtPr>
        <w:docPartObj>
          <w:docPartGallery w:val="Table of Contents"/>
          <w:docPartUnique/>
        </w:docPartObj>
      </w:sdtPr>
      <w:sdtContent>
        <w:p>
          <w:pPr>
            <w:pStyle w:val="TOCHeading"/>
          </w:pPr>
          <w:r>
            <w:rPr>
              <w:lang w:val="fr-FR"/>
            </w:rPr>
            <w:t xml:space="preserve">Table of Contents</w:t>
          </w:r>
        </w:p>
        <w:p>
          <w:r>
            <w:fldChar w:fldCharType="begin" w:dirty="true"/>
            <w:instrText xml:space="preserve">TOC \o "1-2" \h \z \u</w:instrText>
            <w:fldChar w:fldCharType="separate"/>
            <w:fldChar w:fldCharType="end"/>
          </w:r>
        </w:p>
      </w:sdtContent>
    </w:sdt>
    <w:p>
      <w:pPr>
        <w:pStyle w:val="BlockText"/>
      </w:pPr>
      <w:r>
        <w:rPr>
          <w:b/>
          <w:bCs/>
          <w:lang w:val="fr-FR"/>
        </w:rPr>
        <w:t xml:space="preserve">La conclusion en cinq lignes</w:t>
      </w:r>
    </w:p>
    <w:p>
      <w:pPr>
        <w:pStyle w:val="BlockText"/>
        <w:numPr>
          <w:ilvl w:val="0"/>
          <w:numId w:val="1001"/>
        </w:numPr>
      </w:pPr>
      <w:r>
        <w:rPr>
          <w:lang w:val="fr-FR"/>
        </w:rPr>
        <w:t xml:space="preserve">L’IPM RGPH couvre</w:t>
      </w:r>
      <w:r>
        <w:rPr>
          <w:lang w:val="fr-FR"/>
        </w:rPr>
        <w:t xml:space="preserve"> </w:t>
      </w:r>
      <w:r>
        <w:rPr>
          <w:b/>
          <w:bCs/>
          <w:lang w:val="fr-FR"/>
        </w:rPr>
        <w:t xml:space="preserve">sept des vingt-deux cibles</w:t>
      </w:r>
      <w:r>
        <w:rPr>
          <w:lang w:val="fr-FR"/>
        </w:rPr>
        <w:t xml:space="preserve"> </w:t>
      </w:r>
      <w:r>
        <w:rPr>
          <w:lang w:val="fr-FR"/>
        </w:rPr>
        <w:t xml:space="preserve">du PND qu’un indice de pauvreté peut</w:t>
      </w:r>
      <w:r>
        <w:rPr>
          <w:lang w:val="fr-FR"/>
        </w:rPr>
        <w:t xml:space="preserve"> </w:t>
      </w:r>
      <w:r>
        <w:rPr>
          <w:lang w:val="fr-FR"/>
        </w:rPr>
        <w:t xml:space="preserve">mesurer — moins que l’enquête, faute de toute question de santé.</w:t>
      </w:r>
    </w:p>
    <w:p>
      <w:pPr>
        <w:pStyle w:val="BlockText"/>
        <w:numPr>
          <w:ilvl w:val="0"/>
          <w:numId w:val="1001"/>
        </w:numPr>
      </w:pPr>
      <w:r>
        <w:rPr>
          <w:lang w:val="fr-FR"/>
        </w:rPr>
        <w:t xml:space="preserve">Il est en revanche</w:t>
      </w:r>
      <w:r>
        <w:rPr>
          <w:lang w:val="fr-FR"/>
        </w:rPr>
        <w:t xml:space="preserve"> </w:t>
      </w:r>
      <w:r>
        <w:rPr>
          <w:b/>
          <w:bCs/>
          <w:lang w:val="fr-FR"/>
        </w:rPr>
        <w:t xml:space="preserve">le seul</w:t>
      </w:r>
      <w:r>
        <w:rPr>
          <w:lang w:val="fr-FR"/>
        </w:rPr>
        <w:t xml:space="preserve"> </w:t>
      </w:r>
      <w:r>
        <w:rPr>
          <w:lang w:val="fr-FR"/>
        </w:rPr>
        <w:t xml:space="preserve">à rendre opérationnels trois instruments centraux du</w:t>
      </w:r>
      <w:r>
        <w:rPr>
          <w:lang w:val="fr-FR"/>
        </w:rPr>
        <w:t xml:space="preserve"> </w:t>
      </w:r>
      <w:r>
        <w:rPr>
          <w:lang w:val="fr-FR"/>
        </w:rPr>
        <w:t xml:space="preserve">plan : les</w:t>
      </w:r>
      <w:r>
        <w:rPr>
          <w:lang w:val="fr-FR"/>
        </w:rPr>
        <w:t xml:space="preserve"> </w:t>
      </w:r>
      <w:r>
        <w:rPr>
          <w:b/>
          <w:bCs/>
          <w:lang w:val="fr-FR"/>
        </w:rPr>
        <w:t xml:space="preserve">Pôles Économiques Compétitifs</w:t>
      </w:r>
      <w:r>
        <w:rPr>
          <w:lang w:val="fr-FR"/>
        </w:rPr>
        <w:t xml:space="preserve"> </w:t>
      </w:r>
      <w:r>
        <w:rPr>
          <w:lang w:val="fr-FR"/>
        </w:rPr>
        <w:t xml:space="preserve">du Pilier 5, le</w:t>
      </w:r>
      <w:r>
        <w:rPr>
          <w:lang w:val="fr-FR"/>
        </w:rPr>
        <w:t xml:space="preserve"> </w:t>
      </w:r>
      <w:r>
        <w:rPr>
          <w:b/>
          <w:bCs/>
          <w:lang w:val="fr-FR"/>
        </w:rPr>
        <w:t xml:space="preserve">registre social</w:t>
      </w:r>
      <w:r>
        <w:rPr>
          <w:b/>
          <w:bCs/>
          <w:lang w:val="fr-FR"/>
        </w:rPr>
        <w:t xml:space="preserve"> </w:t>
      </w:r>
      <w:r>
        <w:rPr>
          <w:b/>
          <w:bCs/>
          <w:lang w:val="fr-FR"/>
        </w:rPr>
        <w:t xml:space="preserve">unifié</w:t>
      </w:r>
      <w:r>
        <w:rPr>
          <w:lang w:val="fr-FR"/>
        </w:rPr>
        <w:t xml:space="preserve"> </w:t>
      </w:r>
      <w:r>
        <w:rPr>
          <w:lang w:val="fr-FR"/>
        </w:rPr>
        <w:t xml:space="preserve">du Pilier 6 et le ciblage des</w:t>
      </w:r>
      <w:r>
        <w:rPr>
          <w:lang w:val="fr-FR"/>
        </w:rPr>
        <w:t xml:space="preserve"> </w:t>
      </w:r>
      <w:r>
        <w:rPr>
          <w:b/>
          <w:bCs/>
          <w:lang w:val="fr-FR"/>
        </w:rPr>
        <w:t xml:space="preserve">827 000 ménages</w:t>
      </w:r>
      <w:r>
        <w:rPr>
          <w:lang w:val="fr-FR"/>
        </w:rPr>
        <w:t xml:space="preserve"> </w:t>
      </w:r>
      <w:r>
        <w:rPr>
          <w:lang w:val="fr-FR"/>
        </w:rPr>
        <w:t xml:space="preserve">de filets sociaux du</w:t>
      </w:r>
      <w:r>
        <w:rPr>
          <w:lang w:val="fr-FR"/>
        </w:rPr>
        <w:t xml:space="preserve"> </w:t>
      </w:r>
      <w:r>
        <w:rPr>
          <w:lang w:val="fr-FR"/>
        </w:rPr>
        <w:t xml:space="preserve">Pilier 4.</w:t>
      </w:r>
    </w:p>
    <w:p>
      <w:pPr>
        <w:pStyle w:val="BlockText"/>
        <w:numPr>
          <w:ilvl w:val="0"/>
          <w:numId w:val="1001"/>
        </w:numPr>
      </w:pPr>
      <w:r>
        <w:rPr>
          <w:lang w:val="fr-FR"/>
        </w:rPr>
        <w:t xml:space="preserve">Il publie un IPM pour</w:t>
      </w:r>
      <w:r>
        <w:rPr>
          <w:lang w:val="fr-FR"/>
        </w:rPr>
        <w:t xml:space="preserve"> </w:t>
      </w:r>
      <w:r>
        <w:rPr>
          <w:b/>
          <w:bCs/>
          <w:lang w:val="fr-FR"/>
        </w:rPr>
        <w:t xml:space="preserve">500 des 519 sous-préfectures et communes</w:t>
      </w:r>
      <w:r>
        <w:rPr>
          <w:lang w:val="fr-FR"/>
        </w:rPr>
        <w:t xml:space="preserve"> </w:t>
      </w:r>
      <w:r>
        <w:rPr>
          <w:lang w:val="fr-FR"/>
        </w:rPr>
        <w:t xml:space="preserve">et pour les</w:t>
      </w:r>
      <w:r>
        <w:rPr>
          <w:lang w:val="fr-FR"/>
        </w:rPr>
        <w:t xml:space="preserve"> </w:t>
      </w:r>
      <w:r>
        <w:rPr>
          <w:b/>
          <w:bCs/>
          <w:lang w:val="fr-FR"/>
        </w:rPr>
        <w:t xml:space="preserve">111 départements</w:t>
      </w:r>
      <w:r>
        <w:rPr>
          <w:lang w:val="fr-FR"/>
        </w:rPr>
        <w:t xml:space="preserve">, sans exception.</w:t>
      </w:r>
    </w:p>
    <w:p>
      <w:pPr>
        <w:pStyle w:val="BlockText"/>
        <w:numPr>
          <w:ilvl w:val="0"/>
          <w:numId w:val="1001"/>
        </w:numPr>
      </w:pPr>
      <w:r>
        <w:rPr>
          <w:lang w:val="fr-FR"/>
        </w:rPr>
        <w:t xml:space="preserve">Il établit que le milieu rural porte</w:t>
      </w:r>
      <w:r>
        <w:rPr>
          <w:lang w:val="fr-FR"/>
        </w:rPr>
        <w:t xml:space="preserve"> </w:t>
      </w:r>
      <w:r>
        <w:rPr>
          <w:b/>
          <w:bCs/>
          <w:lang w:val="fr-FR"/>
        </w:rPr>
        <w:t xml:space="preserve">84,7 %</w:t>
      </w:r>
      <w:r>
        <w:rPr>
          <w:lang w:val="fr-FR"/>
        </w:rPr>
        <w:t xml:space="preserve"> </w:t>
      </w:r>
      <w:r>
        <w:rPr>
          <w:lang w:val="fr-FR"/>
        </w:rPr>
        <w:t xml:space="preserve">de la pauvreté</w:t>
      </w:r>
      <w:r>
        <w:rPr>
          <w:lang w:val="fr-FR"/>
        </w:rPr>
        <w:t xml:space="preserve"> </w:t>
      </w:r>
      <w:r>
        <w:rPr>
          <w:lang w:val="fr-FR"/>
        </w:rPr>
        <w:t xml:space="preserve">multidimensionnelle du pays pour 45,8 % de sa population.</w:t>
      </w:r>
    </w:p>
    <w:p>
      <w:pPr>
        <w:pStyle w:val="BlockText"/>
        <w:numPr>
          <w:ilvl w:val="0"/>
          <w:numId w:val="1001"/>
        </w:numPr>
      </w:pPr>
      <w:r>
        <w:rPr>
          <w:lang w:val="fr-FR"/>
        </w:rPr>
        <w:t xml:space="preserve">Étant décennal, il fournit</w:t>
      </w:r>
      <w:r>
        <w:rPr>
          <w:lang w:val="fr-FR"/>
        </w:rPr>
        <w:t xml:space="preserve"> </w:t>
      </w:r>
      <w:r>
        <w:rPr>
          <w:b/>
          <w:bCs/>
          <w:lang w:val="fr-FR"/>
        </w:rPr>
        <w:t xml:space="preserve">une photographie de départ</w:t>
      </w:r>
      <w:r>
        <w:rPr>
          <w:lang w:val="fr-FR"/>
        </w:rPr>
        <w:t xml:space="preserve">, pas un instrument de</w:t>
      </w:r>
      <w:r>
        <w:rPr>
          <w:lang w:val="fr-FR"/>
        </w:rPr>
        <w:t xml:space="preserve"> </w:t>
      </w:r>
      <w:r>
        <w:rPr>
          <w:lang w:val="fr-FR"/>
        </w:rPr>
        <w:t xml:space="preserve">suivi : il ne dira pas en 2030 si le PND a produit ses effets.</w:t>
      </w:r>
    </w:p>
    <w:bookmarkStart w:id="9" w:name="Xbc6dc1ee9dd9742206717bcfcf540dde095f177"/>
    <w:p>
      <w:pPr>
        <w:pStyle w:val="Heading1"/>
      </w:pPr>
      <w:r>
        <w:rPr>
          <w:lang w:val="fr-FR"/>
        </w:rPr>
        <w:t xml:space="preserve">Ce que le PND demande à un indice de pauvreté</w:t>
      </w:r>
    </w:p>
    <w:p>
      <w:pPr>
        <w:pStyle w:val="FirstParagraph"/>
      </w:pPr>
      <w:r>
        <w:rPr>
          <w:lang w:val="fr-FR"/>
        </w:rPr>
        <w:t xml:space="preserve">Le PND 2026-2030 vise à « Bâtir une Grande Nation Stable, Ambitieuse et Solidaire ». Parmi ses</w:t>
      </w:r>
      <w:r>
        <w:rPr>
          <w:lang w:val="fr-FR"/>
        </w:rPr>
        <w:t xml:space="preserve"> </w:t>
      </w:r>
      <w:r>
        <w:rPr>
          <w:lang w:val="fr-FR"/>
        </w:rPr>
        <w:t xml:space="preserve">objectifs généraux figure de</w:t>
      </w:r>
      <w:r>
        <w:rPr>
          <w:lang w:val="fr-FR"/>
        </w:rPr>
        <w:t xml:space="preserve"> </w:t>
      </w:r>
      <w:r>
        <w:rPr>
          <w:b/>
          <w:bCs/>
          <w:lang w:val="fr-FR"/>
        </w:rPr>
        <w:t xml:space="preserve">« baisser significativement le taux de pauvreté »</w:t>
      </w:r>
      <w:r>
        <w:rPr>
          <w:lang w:val="fr-FR"/>
        </w:rPr>
        <w:t xml:space="preserve">, sans</w:t>
      </w:r>
      <w:r>
        <w:rPr>
          <w:lang w:val="fr-FR"/>
        </w:rPr>
        <w:t xml:space="preserve"> </w:t>
      </w:r>
      <w:r>
        <w:rPr>
          <w:lang w:val="fr-FR"/>
        </w:rPr>
        <w:t xml:space="preserve">valeur cible à 2030 — seul objectif majeur à ne pas être chiffré.</w:t>
      </w:r>
    </w:p>
    <w:p>
      <w:pPr>
        <w:pStyle w:val="BodyText"/>
      </w:pPr>
      <w:r>
        <w:rPr>
          <w:lang w:val="fr-FR"/>
        </w:rPr>
        <w:t xml:space="preserve">Mais le plan ne demande pas seulement de</w:t>
      </w:r>
      <w:r>
        <w:rPr>
          <w:lang w:val="fr-FR"/>
        </w:rPr>
        <w:t xml:space="preserve"> </w:t>
      </w:r>
      <w:r>
        <w:rPr>
          <w:i/>
          <w:iCs/>
          <w:lang w:val="fr-FR"/>
        </w:rPr>
        <w:t xml:space="preserve">mesurer</w:t>
      </w:r>
      <w:r>
        <w:rPr>
          <w:lang w:val="fr-FR"/>
        </w:rPr>
        <w:t xml:space="preserve">. Trois de ses instruments supposent de</w:t>
      </w:r>
      <w:r>
        <w:rPr>
          <w:lang w:val="fr-FR"/>
        </w:rPr>
        <w:t xml:space="preserve"> </w:t>
      </w:r>
      <w:r>
        <w:rPr>
          <w:lang w:val="fr-FR"/>
        </w:rPr>
        <w:t xml:space="preserve">savoir</w:t>
      </w:r>
      <w:r>
        <w:rPr>
          <w:lang w:val="fr-FR"/>
        </w:rPr>
        <w:t xml:space="preserve"> </w:t>
      </w:r>
      <w:r>
        <w:rPr>
          <w:i/>
          <w:iCs/>
          <w:lang w:val="fr-FR"/>
        </w:rPr>
        <w:t xml:space="preserve">où</w:t>
      </w:r>
      <w:r>
        <w:rPr>
          <w:lang w:val="fr-FR"/>
        </w:rPr>
        <w:t xml:space="preserve"> </w:t>
      </w:r>
      <w:r>
        <w:rPr>
          <w:lang w:val="fr-FR"/>
        </w:rPr>
        <w:t xml:space="preserve">et</w:t>
      </w:r>
      <w:r>
        <w:rPr>
          <w:lang w:val="fr-FR"/>
        </w:rPr>
        <w:t xml:space="preserve"> </w:t>
      </w:r>
      <w:r>
        <w:rPr>
          <w:i/>
          <w:iCs/>
          <w:lang w:val="fr-FR"/>
        </w:rPr>
        <w:t xml:space="preserve">qui</w:t>
      </w:r>
      <w:r>
        <w:rPr>
          <w:lang w:val="fr-FR"/>
        </w:rPr>
        <w:t xml:space="preserve">, à une maille que la statistique d’enquête n’atteint pas :</w:t>
      </w:r>
    </w:p>
    <w:p>
      <w:pPr>
        <w:pStyle w:val="DefinitionTerm"/>
      </w:pPr>
      <w:r>
        <w:rPr>
          <w:lang w:val="fr-FR"/>
        </w:rPr>
        <w:t xml:space="preserve">Pilier 5</w:t>
      </w:r>
    </w:p>
    <w:p>
      <w:pPr>
        <w:pStyle w:val="Definition"/>
      </w:pPr>
      <w:r>
        <w:rPr>
          <w:lang w:val="fr-FR"/>
        </w:rPr>
        <w:t xml:space="preserve">« renforcer la planification spatiale des investissements, fondée sur une</w:t>
      </w:r>
      <w:r>
        <w:rPr>
          <w:lang w:val="fr-FR"/>
        </w:rPr>
        <w:t xml:space="preserve"> </w:t>
      </w:r>
      <w:r>
        <w:rPr>
          <w:b/>
          <w:bCs/>
          <w:lang w:val="fr-FR"/>
        </w:rPr>
        <w:t xml:space="preserve">cartographie fine</w:t>
      </w:r>
      <w:r>
        <w:rPr>
          <w:lang w:val="fr-FR"/>
        </w:rPr>
        <w:t xml:space="preserve"> </w:t>
      </w:r>
      <w:r>
        <w:rPr>
          <w:lang w:val="fr-FR"/>
        </w:rPr>
        <w:t xml:space="preserve">des potentialités économiques régionales », développer les</w:t>
      </w:r>
      <w:r>
        <w:rPr>
          <w:lang w:val="fr-FR"/>
        </w:rPr>
        <w:t xml:space="preserve"> </w:t>
      </w:r>
      <w:r>
        <w:rPr>
          <w:b/>
          <w:bCs/>
          <w:lang w:val="fr-FR"/>
        </w:rPr>
        <w:t xml:space="preserve">Pôles Économiques Compétitifs</w:t>
      </w:r>
      <w:r>
        <w:rPr>
          <w:lang w:val="fr-FR"/>
        </w:rPr>
        <w:t xml:space="preserve"> </w:t>
      </w:r>
      <w:r>
        <w:rPr>
          <w:lang w:val="fr-FR"/>
        </w:rPr>
        <w:t xml:space="preserve">« à travers une répartition optimale et équitable » et</w:t>
      </w:r>
      <w:r>
        <w:rPr>
          <w:lang w:val="fr-FR"/>
        </w:rPr>
        <w:t xml:space="preserve"> </w:t>
      </w:r>
      <w:r>
        <w:rPr>
          <w:lang w:val="fr-FR"/>
        </w:rPr>
        <w:t xml:space="preserve">aménager le territoire par les</w:t>
      </w:r>
      <w:r>
        <w:rPr>
          <w:lang w:val="fr-FR"/>
        </w:rPr>
        <w:t xml:space="preserve"> </w:t>
      </w:r>
      <w:r>
        <w:rPr>
          <w:b/>
          <w:bCs/>
          <w:lang w:val="fr-FR"/>
        </w:rPr>
        <w:t xml:space="preserve">villes secondaires</w:t>
      </w:r>
      <w:r>
        <w:rPr>
          <w:lang w:val="fr-FR"/>
        </w:rPr>
        <w:t xml:space="preserve"> </w:t>
      </w:r>
      <w:r>
        <w:rPr>
          <w:lang w:val="fr-FR"/>
        </w:rPr>
        <w:t xml:space="preserve">;</w:t>
      </w:r>
    </w:p>
    <w:p>
      <w:pPr>
        <w:pStyle w:val="DefinitionTerm"/>
      </w:pPr>
      <w:r>
        <w:rPr>
          <w:lang w:val="fr-FR"/>
        </w:rPr>
        <w:t xml:space="preserve">Pilier 6</w:t>
      </w:r>
    </w:p>
    <w:p>
      <w:pPr>
        <w:pStyle w:val="Definition"/>
      </w:pPr>
      <w:r>
        <w:rPr>
          <w:lang w:val="fr-FR"/>
        </w:rPr>
        <w:t xml:space="preserve">instaurer un</w:t>
      </w:r>
      <w:r>
        <w:rPr>
          <w:lang w:val="fr-FR"/>
        </w:rPr>
        <w:t xml:space="preserve"> </w:t>
      </w:r>
      <w:r>
        <w:rPr>
          <w:b/>
          <w:bCs/>
          <w:lang w:val="fr-FR"/>
        </w:rPr>
        <w:t xml:space="preserve">registre social unifié</w:t>
      </w:r>
      <w:r>
        <w:rPr>
          <w:lang w:val="fr-FR"/>
        </w:rPr>
        <w:t xml:space="preserve"> </w:t>
      </w:r>
      <w:r>
        <w:rPr>
          <w:lang w:val="fr-FR"/>
        </w:rPr>
        <w:t xml:space="preserve">« visant à renforcer l’inclusion et</w:t>
      </w:r>
      <w:r>
        <w:rPr>
          <w:lang w:val="fr-FR"/>
        </w:rPr>
        <w:t xml:space="preserve"> </w:t>
      </w:r>
      <w:r>
        <w:rPr>
          <w:lang w:val="fr-FR"/>
        </w:rPr>
        <w:t xml:space="preserve">le ciblage des politiques publiques », et poursuivre « le renforcement du processus de</w:t>
      </w:r>
      <w:r>
        <w:rPr>
          <w:lang w:val="fr-FR"/>
        </w:rPr>
        <w:t xml:space="preserve"> </w:t>
      </w:r>
      <w:r>
        <w:rPr>
          <w:lang w:val="fr-FR"/>
        </w:rPr>
        <w:t xml:space="preserve">décentralisation et de réduction des inégalités régionales » ;</w:t>
      </w:r>
    </w:p>
    <w:p>
      <w:pPr>
        <w:pStyle w:val="DefinitionTerm"/>
      </w:pPr>
      <w:r>
        <w:rPr>
          <w:lang w:val="fr-FR"/>
        </w:rPr>
        <w:t xml:space="preserve">Pilier 4</w:t>
      </w:r>
    </w:p>
    <w:p>
      <w:pPr>
        <w:pStyle w:val="Definition"/>
      </w:pPr>
      <w:r>
        <w:rPr>
          <w:lang w:val="fr-FR"/>
        </w:rPr>
        <w:t xml:space="preserve">porter à</w:t>
      </w:r>
      <w:r>
        <w:rPr>
          <w:lang w:val="fr-FR"/>
        </w:rPr>
        <w:t xml:space="preserve"> </w:t>
      </w:r>
      <w:r>
        <w:rPr>
          <w:b/>
          <w:bCs/>
          <w:lang w:val="fr-FR"/>
        </w:rPr>
        <w:t xml:space="preserve">827 000</w:t>
      </w:r>
      <w:r>
        <w:rPr>
          <w:lang w:val="fr-FR"/>
        </w:rPr>
        <w:t xml:space="preserve"> </w:t>
      </w:r>
      <w:r>
        <w:rPr>
          <w:lang w:val="fr-FR"/>
        </w:rPr>
        <w:t xml:space="preserve">le nombre de ménages pauvres bénéficiaires de</w:t>
      </w:r>
      <w:r>
        <w:rPr>
          <w:lang w:val="fr-FR"/>
        </w:rPr>
        <w:t xml:space="preserve"> </w:t>
      </w:r>
      <w:r>
        <w:rPr>
          <w:lang w:val="fr-FR"/>
        </w:rPr>
        <w:t xml:space="preserve">transferts monétaires au titre des filets sociaux.</w:t>
      </w:r>
    </w:p>
    <w:p>
      <w:pPr>
        <w:pStyle w:val="BlockText"/>
      </w:pPr>
      <w:r>
        <w:rPr>
          <w:b/>
          <w:bCs/>
          <w:lang w:val="fr-FR"/>
        </w:rPr>
        <w:t xml:space="preserve">Deux questions, pas une</w:t>
      </w:r>
    </w:p>
    <w:p>
      <w:pPr>
        <w:pStyle w:val="BlockText"/>
      </w:pPr>
      <w:r>
        <w:rPr>
          <w:lang w:val="fr-FR"/>
        </w:rPr>
        <w:t xml:space="preserve">Le PND pose au statisticien deux questions de nature différente.</w:t>
      </w:r>
      <w:r>
        <w:rPr>
          <w:lang w:val="fr-FR"/>
        </w:rPr>
        <w:t xml:space="preserve"> </w:t>
      </w:r>
      <w:r>
        <w:rPr>
          <w:i/>
          <w:iCs/>
          <w:lang w:val="fr-FR"/>
        </w:rPr>
        <w:t xml:space="preserve">Où en est-on, et où en</w:t>
      </w:r>
      <w:r>
        <w:rPr>
          <w:i/>
          <w:iCs/>
          <w:lang w:val="fr-FR"/>
        </w:rPr>
        <w:t xml:space="preserve"> </w:t>
      </w:r>
      <w:r>
        <w:rPr>
          <w:i/>
          <w:iCs/>
          <w:lang w:val="fr-FR"/>
        </w:rPr>
        <w:t xml:space="preserve">sera-t-on en 2030 ?</w:t>
      </w:r>
      <w:r>
        <w:rPr>
          <w:lang w:val="fr-FR"/>
        </w:rPr>
        <w:t xml:space="preserve"> </w:t>
      </w:r>
      <w:r>
        <w:rPr>
          <w:lang w:val="fr-FR"/>
        </w:rPr>
        <w:t xml:space="preserve">— c’est une question de mesure.</w:t>
      </w:r>
      <w:r>
        <w:rPr>
          <w:lang w:val="fr-FR"/>
        </w:rPr>
        <w:t xml:space="preserve"> </w:t>
      </w:r>
      <w:r>
        <w:rPr>
          <w:i/>
          <w:iCs/>
          <w:lang w:val="fr-FR"/>
        </w:rPr>
        <w:t xml:space="preserve">Où faut-il investir, et quels ménages</w:t>
      </w:r>
      <w:r>
        <w:rPr>
          <w:i/>
          <w:iCs/>
          <w:lang w:val="fr-FR"/>
        </w:rPr>
        <w:t xml:space="preserve"> </w:t>
      </w:r>
      <w:r>
        <w:rPr>
          <w:i/>
          <w:iCs/>
          <w:lang w:val="fr-FR"/>
        </w:rPr>
        <w:t xml:space="preserve">faut-il servir ?</w:t>
      </w:r>
      <w:r>
        <w:rPr>
          <w:lang w:val="fr-FR"/>
        </w:rPr>
        <w:t xml:space="preserve"> </w:t>
      </w:r>
      <w:r>
        <w:rPr>
          <w:lang w:val="fr-FR"/>
        </w:rPr>
        <w:t xml:space="preserve">— c’est une question de ciblage. Le recensement répond mal à la première et</w:t>
      </w:r>
      <w:r>
        <w:rPr>
          <w:lang w:val="fr-FR"/>
        </w:rPr>
        <w:t xml:space="preserve"> </w:t>
      </w:r>
      <w:r>
        <w:rPr>
          <w:lang w:val="fr-FR"/>
        </w:rPr>
        <w:t xml:space="preserve">très bien à la seconde.</w:t>
      </w:r>
    </w:p>
    <w:bookmarkEnd w:id="9"/>
    <w:bookmarkStart w:id="13" w:name="sec:correspondance"/>
    <w:p>
      <w:pPr>
        <w:pStyle w:val="Heading1"/>
      </w:pPr>
      <w:r>
        <w:rPr>
          <w:lang w:val="fr-FR"/>
        </w:rPr>
        <w:t xml:space="preserve">La correspondance, cible par cible</w:t>
      </w:r>
    </w:p>
    <w:p>
      <w:pPr>
        <w:pStyle w:val="FirstParagraph"/>
      </w:pPr>
      <w:r>
        <w:rPr>
          <w:lang w:val="fr-FR"/>
        </w:rPr>
        <w:t xml:space="preserve">Les treize indicateurs de l’IPM RGPH se rapportent aux cibles du PND comme suit. La colonne</w:t>
      </w:r>
      <w:r>
        <w:rPr>
          <w:lang w:val="fr-FR"/>
        </w:rPr>
        <w:t xml:space="preserve"> </w:t>
      </w:r>
      <w:r>
        <w:rPr>
          <w:lang w:val="fr-FR"/>
        </w:rPr>
        <w:t xml:space="preserve">« Aujourd’hui » donne la part de la population vivant dans un ménage privé sur l’indicateur.</w:t>
      </w:r>
    </w:p>
    <w:bookmarkStart w:id="10" w:name="X93feb511e49a7b2ecc334f77961fa782adc2911"/>
    <w:p>
      <w:pPr>
        <w:pStyle w:val="Heading2"/>
      </w:pPr>
      <w:r>
        <w:rPr>
          <w:lang w:val="fr-FR"/>
        </w:rPr>
        <w:t xml:space="preserve">Pilier 4 — Capital humain, compétences et emplois décents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lang w:val="fr-FR"/>
              </w:rPr>
              <w:t xml:space="preserve">Cible PND à 2030</w:t>
            </w:r>
          </w:p>
        </w:tc>
        <w:tc>
          <w:tcPr/>
          <w:p>
            <w:pPr>
              <w:pStyle w:val="Compact"/>
              <w:jc w:val="left"/>
            </w:pPr>
            <w:r>
              <w:rPr>
                <w:b/>
                <w:bCs/>
                <w:lang w:val="fr-FR"/>
              </w:rPr>
              <w:t xml:space="preserve">Indicateur IPM</w:t>
            </w:r>
          </w:p>
        </w:tc>
        <w:tc>
          <w:tcPr/>
          <w:p>
            <w:pPr>
              <w:pStyle w:val="Compact"/>
              <w:jc w:val="right"/>
            </w:pPr>
            <w:r>
              <w:rPr>
                <w:b/>
                <w:bCs/>
                <w:lang w:val="fr-FR"/>
              </w:rPr>
              <w:t xml:space="preserve">Auj.</w:t>
            </w:r>
          </w:p>
        </w:tc>
        <w:tc>
          <w:tcPr/>
          <w:p>
            <w:pPr>
              <w:pStyle w:val="Compact"/>
              <w:jc w:val="center"/>
            </w:pPr>
            <w:r>
              <w:rPr>
                <w:b/>
                <w:bCs/>
                <w:lang w:val="fr-FR"/>
              </w:rPr>
              <w:t xml:space="preserve">Prise</w:t>
            </w:r>
          </w:p>
        </w:tc>
      </w:tr>
      <w:tr>
        <w:tc>
          <w:tcPr/>
          <w:p>
            <w:pPr>
              <w:pStyle w:val="Compact"/>
              <w:jc w:val="left"/>
            </w:pPr>
            <w:r>
              <w:rPr>
                <w:lang w:val="fr-FR"/>
              </w:rPr>
              <w:t xml:space="preserve">Analphabétisme adultes 51,1</w:t>
            </w:r>
            <w:r>
              <w:rPr>
                <w:lang w:val="fr-FR"/>
              </w:rPr>
              <w:t xml:space="preserve"> </w:t>
            </w:r>
            <m:oMath>
              <m:r>
                <m:rPr>
                  <m:sty m:val="p"/>
                </m:rPr>
                <m:t>→</m:t>
              </m:r>
            </m:oMath>
            <w:r>
              <w:rPr>
                <w:lang w:val="fr-FR"/>
              </w:rPr>
              <w:t xml:space="preserve"> </w:t>
            </w:r>
            <w:r>
              <w:rPr>
                <w:lang w:val="fr-FR"/>
              </w:rPr>
              <w:t xml:space="preserve">45 %</w:t>
            </w:r>
          </w:p>
        </w:tc>
        <w:tc>
          <w:tcPr/>
          <w:p>
            <w:pPr>
              <w:pStyle w:val="Compact"/>
              <w:jc w:val="left"/>
            </w:pPr>
            <w:r>
              <w:rPr>
                <w:lang w:val="fr-FR"/>
              </w:rPr>
              <w:t xml:space="preserve">Alphabétisation</w:t>
            </w:r>
          </w:p>
        </w:tc>
        <w:tc>
          <w:tcPr/>
          <w:p>
            <w:pPr>
              <w:pStyle w:val="Compact"/>
              <w:jc w:val="right"/>
            </w:pPr>
            <w:r>
              <w:rPr>
                <w:lang w:val="fr-FR"/>
              </w:rPr>
              <w:t xml:space="preserve">70,4 %</w:t>
            </w:r>
          </w:p>
        </w:tc>
        <w:tc>
          <w:tcPr/>
          <w:p>
            <w:pPr>
              <w:pStyle w:val="Compact"/>
              <w:jc w:val="center"/>
            </w:pPr>
            <w:r>
              <w:rPr>
                <w:lang w:val="fr-FR"/>
              </w:rPr>
              <w:t xml:space="preserve">directe</w:t>
            </w:r>
          </w:p>
        </w:tc>
      </w:tr>
      <w:tr>
        <w:tc>
          <w:tcPr/>
          <w:p>
            <w:pPr>
              <w:pStyle w:val="Compact"/>
              <w:jc w:val="left"/>
            </w:pPr>
            <w:r>
              <w:rPr>
                <w:lang w:val="fr-FR"/>
              </w:rPr>
              <w:t xml:space="preserve">Analphabétisme 15-24 ans 37,6</w:t>
            </w:r>
            <w:r>
              <w:rPr>
                <w:lang w:val="fr-FR"/>
              </w:rPr>
              <w:t xml:space="preserve"> </w:t>
            </w:r>
            <m:oMath>
              <m:r>
                <m:rPr>
                  <m:sty m:val="p"/>
                </m:rPr>
                <m:t>→</m:t>
              </m:r>
            </m:oMath>
            <w:r>
              <w:rPr>
                <w:lang w:val="fr-FR"/>
              </w:rPr>
              <w:t xml:space="preserve"> </w:t>
            </w:r>
            <w:r>
              <w:rPr>
                <w:lang w:val="fr-FR"/>
              </w:rPr>
              <w:t xml:space="preserve">20 %</w:t>
            </w:r>
          </w:p>
        </w:tc>
        <w:tc>
          <w:tcPr/>
          <w:p>
            <w:pPr>
              <w:pStyle w:val="Compact"/>
              <w:jc w:val="left"/>
            </w:pPr>
            <w:r>
              <w:rPr>
                <w:lang w:val="fr-FR"/>
              </w:rPr>
              <w:t xml:space="preserve">Alphabétisation</w:t>
            </w:r>
          </w:p>
        </w:tc>
        <w:tc>
          <w:tcPr/>
          <w:p>
            <w:pPr>
              <w:pStyle w:val="Compact"/>
              <w:jc w:val="right"/>
            </w:pPr>
            <w:r>
              <w:rPr>
                <w:lang w:val="fr-FR"/>
              </w:rPr>
              <w:t xml:space="preserve">70,4 %</w:t>
            </w:r>
          </w:p>
        </w:tc>
        <w:tc>
          <w:tcPr/>
          <w:p>
            <w:pPr>
              <w:pStyle w:val="Compact"/>
              <w:jc w:val="center"/>
            </w:pPr>
            <w:r>
              <w:rPr>
                <w:lang w:val="fr-FR"/>
              </w:rPr>
              <w:t xml:space="preserve">directe</w:t>
            </w:r>
          </w:p>
        </w:tc>
      </w:tr>
      <w:tr>
        <w:tc>
          <w:tcPr/>
          <w:p>
            <w:pPr>
              <w:pStyle w:val="Compact"/>
              <w:jc w:val="left"/>
            </w:pPr>
            <w:r>
              <w:rPr>
                <w:lang w:val="fr-FR"/>
              </w:rPr>
              <w:t xml:space="preserve">Achèvement 1</w:t>
            </w:r>
            <w:r>
              <w:rPr>
                <w:vertAlign w:val="superscript"/>
                <w:lang w:val="fr-FR"/>
              </w:rPr>
              <w:t xml:space="preserve">er</w:t>
            </w:r>
            <w:r>
              <w:rPr>
                <w:lang w:val="fr-FR"/>
              </w:rPr>
              <w:t xml:space="preserve"> </w:t>
            </w:r>
            <w:r>
              <w:rPr>
                <w:lang w:val="fr-FR"/>
              </w:rPr>
              <w:t xml:space="preserve">cycle secondaire</w:t>
            </w:r>
            <w:r>
              <w:rPr>
                <w:lang w:val="fr-FR"/>
              </w:rPr>
              <w:t xml:space="preserve"> </w:t>
            </w:r>
            <w:r>
              <w:rPr>
                <w:lang w:val="fr-FR"/>
              </w:rPr>
              <w:t xml:space="preserve">81,14</w:t>
            </w:r>
            <w:r>
              <w:rPr>
                <w:lang w:val="fr-FR"/>
              </w:rPr>
              <w:t xml:space="preserve"> </w:t>
            </w:r>
            <m:oMath>
              <m:r>
                <m:rPr>
                  <m:sty m:val="p"/>
                </m:rPr>
                <m:t>→</m:t>
              </m:r>
            </m:oMath>
            <w:r>
              <w:rPr>
                <w:lang w:val="fr-FR"/>
              </w:rPr>
              <w:t xml:space="preserve"> </w:t>
            </w:r>
            <w:r>
              <w:rPr>
                <w:lang w:val="fr-FR"/>
              </w:rPr>
              <w:t xml:space="preserve">89 %</w:t>
            </w:r>
          </w:p>
        </w:tc>
        <w:tc>
          <w:tcPr/>
          <w:p>
            <w:pPr>
              <w:pStyle w:val="Compact"/>
              <w:jc w:val="left"/>
            </w:pPr>
            <w:r>
              <w:rPr>
                <w:lang w:val="fr-FR"/>
              </w:rPr>
              <w:t xml:space="preserve">Année de scolarité (par le diplôme)</w:t>
            </w:r>
          </w:p>
        </w:tc>
        <w:tc>
          <w:tcPr/>
          <w:p>
            <w:pPr>
              <w:pStyle w:val="Compact"/>
              <w:jc w:val="right"/>
            </w:pPr>
            <w:r>
              <w:rPr>
                <w:lang w:val="fr-FR"/>
              </w:rPr>
              <w:t xml:space="preserve">63,2 %</w:t>
            </w:r>
          </w:p>
        </w:tc>
        <w:tc>
          <w:tcPr/>
          <w:p>
            <w:pPr>
              <w:pStyle w:val="Compact"/>
              <w:jc w:val="center"/>
            </w:pPr>
            <w:r>
              <w:rPr>
                <w:lang w:val="fr-FR"/>
              </w:rPr>
              <w:t xml:space="preserve">approchée</w:t>
            </w:r>
          </w:p>
        </w:tc>
      </w:tr>
      <w:tr>
        <w:tc>
          <w:tcPr/>
          <w:p>
            <w:pPr>
              <w:pStyle w:val="Compact"/>
              <w:jc w:val="left"/>
            </w:pPr>
            <w:r>
              <w:rPr>
                <w:lang w:val="fr-FR"/>
              </w:rPr>
              <w:t xml:space="preserve">Chômage et main-d’œuvre potentielle (SU3) 12,9</w:t>
            </w:r>
            <w:r>
              <w:rPr>
                <w:lang w:val="fr-FR"/>
              </w:rPr>
              <w:t xml:space="preserve"> </w:t>
            </w:r>
            <m:oMath>
              <m:r>
                <m:rPr>
                  <m:sty m:val="p"/>
                </m:rPr>
                <m:t>→</m:t>
              </m:r>
            </m:oMath>
            <w:r>
              <w:rPr>
                <w:lang w:val="fr-FR"/>
              </w:rPr>
              <w:t xml:space="preserve"> </w:t>
            </w:r>
            <w:r>
              <w:rPr>
                <w:lang w:val="fr-FR"/>
              </w:rPr>
              <w:t xml:space="preserve">8,9 %</w:t>
            </w:r>
          </w:p>
        </w:tc>
        <w:tc>
          <w:tcPr/>
          <w:p>
            <w:pPr>
              <w:pStyle w:val="Compact"/>
              <w:jc w:val="left"/>
            </w:pPr>
            <w:r>
              <w:rPr>
                <w:lang w:val="fr-FR"/>
              </w:rPr>
              <w:t xml:space="preserve">Chômage</w:t>
            </w:r>
          </w:p>
        </w:tc>
        <w:tc>
          <w:tcPr/>
          <w:p>
            <w:pPr>
              <w:pStyle w:val="Compact"/>
              <w:jc w:val="right"/>
            </w:pPr>
            <w:r>
              <w:rPr>
                <w:lang w:val="fr-FR"/>
              </w:rPr>
              <w:t xml:space="preserve">5,9 %</w:t>
            </w:r>
          </w:p>
        </w:tc>
        <w:tc>
          <w:tcPr/>
          <w:p>
            <w:pPr>
              <w:pStyle w:val="Compact"/>
              <w:jc w:val="center"/>
            </w:pPr>
            <w:r>
              <w:rPr>
                <w:lang w:val="fr-FR"/>
              </w:rPr>
              <w:t xml:space="preserve">directe</w:t>
            </w:r>
          </w:p>
        </w:tc>
      </w:tr>
      <w:tr>
        <w:tc>
          <w:tcPr/>
          <w:p>
            <w:pPr>
              <w:pStyle w:val="Compact"/>
              <w:jc w:val="left"/>
            </w:pPr>
            <w:r>
              <w:rPr>
                <w:lang w:val="fr-FR"/>
              </w:rPr>
              <w:t xml:space="preserve">Espérance de vie 62,3</w:t>
            </w:r>
            <w:r>
              <w:rPr>
                <w:lang w:val="fr-FR"/>
              </w:rPr>
              <w:t xml:space="preserve"> </w:t>
            </w:r>
            <m:oMath>
              <m:r>
                <m:rPr>
                  <m:sty m:val="p"/>
                </m:rPr>
                <m:t>→</m:t>
              </m:r>
            </m:oMath>
            <w:r>
              <w:rPr>
                <w:lang w:val="fr-FR"/>
              </w:rPr>
              <w:t xml:space="preserve"> </w:t>
            </w:r>
            <w:r>
              <w:rPr>
                <w:lang w:val="fr-FR"/>
              </w:rPr>
              <w:t xml:space="preserve">65 ans</w:t>
            </w:r>
          </w:p>
        </w:tc>
        <w:tc>
          <w:tcPr/>
          <w:p>
            <w:pPr>
              <w:pStyle w:val="Compact"/>
              <w:jc w:val="left"/>
            </w:pPr>
            <w:r>
              <w:rPr>
                <w:lang w:val="fr-FR"/>
              </w:rPr>
              <w:t xml:space="preserve">Mortalité dans le ménage</w:t>
            </w:r>
          </w:p>
        </w:tc>
        <w:tc>
          <w:tcPr/>
          <w:p>
            <w:pPr>
              <w:pStyle w:val="Compact"/>
              <w:jc w:val="right"/>
            </w:pPr>
            <w:r>
              <w:rPr>
                <w:lang w:val="fr-FR"/>
              </w:rPr>
              <w:t xml:space="preserve">1,1 %</w:t>
            </w:r>
          </w:p>
        </w:tc>
        <w:tc>
          <w:tcPr/>
          <w:p>
            <w:pPr>
              <w:pStyle w:val="Compact"/>
              <w:jc w:val="center"/>
            </w:pPr>
            <w:r>
              <w:rPr>
                <w:lang w:val="fr-FR"/>
              </w:rPr>
              <w:t xml:space="preserve">indirecte</w:t>
            </w:r>
          </w:p>
        </w:tc>
      </w:tr>
      <w:tr>
        <w:tc>
          <w:tcPr/>
          <w:p>
            <w:pPr>
              <w:pStyle w:val="Compact"/>
              <w:jc w:val="left"/>
            </w:pPr>
            <w:r>
              <w:rPr>
                <w:lang w:val="fr-FR"/>
              </w:rPr>
              <w:t xml:space="preserve">000 ménages bénéficiaires des filets sociaux</w:t>
            </w:r>
          </w:p>
        </w:tc>
        <w:tc>
          <w:tcPr/>
          <w:p>
            <w:pPr>
              <w:pStyle w:val="Compact"/>
              <w:jc w:val="left"/>
            </w:pPr>
            <w:r>
              <w:rPr>
                <w:b/>
                <w:bCs/>
                <w:lang w:val="fr-FR"/>
              </w:rPr>
              <w:t xml:space="preserve">identification exhaustive des ménages pauvres</w:t>
            </w:r>
          </w:p>
        </w:tc>
        <w:tc>
          <w:tcPr/>
          <w:p>
            <w:pPr>
              <w:pStyle w:val="Compact"/>
              <w:jc w:val="right"/>
            </w:pPr>
            <w:r>
              <w:rPr>
                <w:lang w:val="fr-FR"/>
              </w:rPr>
              <w:t xml:space="preserve">—</w:t>
            </w:r>
          </w:p>
        </w:tc>
        <w:tc>
          <w:tcPr/>
          <w:p>
            <w:pPr>
              <w:pStyle w:val="Compact"/>
              <w:jc w:val="center"/>
            </w:pPr>
            <w:r>
              <w:rPr>
                <w:b/>
                <w:bCs/>
                <w:lang w:val="fr-FR"/>
              </w:rPr>
              <w:t xml:space="preserve">opérationnelle</w:t>
            </w:r>
          </w:p>
        </w:tc>
      </w:tr>
      <w:tr>
        <w:tc>
          <w:tcPr/>
          <w:p>
            <w:pPr>
              <w:pStyle w:val="Compact"/>
              <w:jc w:val="left"/>
            </w:pPr>
            <w:r>
              <w:rPr>
                <w:lang w:val="fr-FR"/>
              </w:rPr>
              <w:t xml:space="preserve">Enrôlés à la CMU 20</w:t>
            </w:r>
            <w:r>
              <w:rPr>
                <w:lang w:val="fr-FR"/>
              </w:rPr>
              <w:t xml:space="preserve"> </w:t>
            </w:r>
            <m:oMath>
              <m:r>
                <m:rPr>
                  <m:sty m:val="p"/>
                </m:rPr>
                <m:t>→</m:t>
              </m:r>
            </m:oMath>
            <w:r>
              <w:rPr>
                <w:lang w:val="fr-FR"/>
              </w:rPr>
              <w:t xml:space="preserve"> </w:t>
            </w:r>
            <w:r>
              <w:rPr>
                <w:lang w:val="fr-FR"/>
              </w:rPr>
              <w:t xml:space="preserve">30 millions</w:t>
            </w:r>
          </w:p>
        </w:tc>
        <w:tc>
          <w:tcPr/>
          <w:p>
            <w:pPr>
              <w:pStyle w:val="Compact"/>
              <w:jc w:val="left"/>
            </w:pPr>
            <w:r>
              <w:rPr>
                <w:lang w:val="fr-FR"/>
              </w:rPr>
              <w:t xml:space="preserve">—</w:t>
            </w:r>
          </w:p>
        </w:tc>
        <w:tc>
          <w:tcPr/>
          <w:p>
            <w:pPr>
              <w:pStyle w:val="Compact"/>
              <w:jc w:val="right"/>
            </w:pPr>
            <w:r>
              <w:rPr>
                <w:lang w:val="fr-FR"/>
              </w:rPr>
              <w:t xml:space="preserve">—</w:t>
            </w:r>
          </w:p>
        </w:tc>
        <w:tc>
          <w:tcPr/>
          <w:p>
            <w:pPr>
              <w:pStyle w:val="Compact"/>
              <w:jc w:val="center"/>
            </w:pPr>
            <w:r>
              <w:rPr>
                <w:b/>
                <w:bCs/>
                <w:lang w:val="fr-FR"/>
              </w:rPr>
              <w:t xml:space="preserve">aucune</w:t>
            </w:r>
          </w:p>
        </w:tc>
      </w:tr>
      <w:tr>
        <w:tc>
          <w:tcPr/>
          <w:p>
            <w:pPr>
              <w:pStyle w:val="Compact"/>
              <w:jc w:val="left"/>
            </w:pPr>
            <w:r>
              <w:rPr>
                <w:lang w:val="fr-FR"/>
              </w:rPr>
              <w:t xml:space="preserve">Couverture par la protection sociale 27</w:t>
            </w:r>
            <w:r>
              <w:rPr>
                <w:lang w:val="fr-FR"/>
              </w:rPr>
              <w:t xml:space="preserve"> </w:t>
            </w:r>
            <m:oMath>
              <m:r>
                <m:rPr>
                  <m:sty m:val="p"/>
                </m:rPr>
                <m:t>→</m:t>
              </m:r>
            </m:oMath>
            <w:r>
              <w:rPr>
                <w:lang w:val="fr-FR"/>
              </w:rPr>
              <w:t xml:space="preserve"> </w:t>
            </w:r>
            <w:r>
              <w:rPr>
                <w:lang w:val="fr-FR"/>
              </w:rPr>
              <w:t xml:space="preserve">50 %</w:t>
            </w:r>
          </w:p>
        </w:tc>
        <w:tc>
          <w:tcPr/>
          <w:p>
            <w:pPr>
              <w:pStyle w:val="Compact"/>
              <w:jc w:val="left"/>
            </w:pPr>
            <w:r>
              <w:rPr>
                <w:lang w:val="fr-FR"/>
              </w:rPr>
              <w:t xml:space="preserve">—</w:t>
            </w:r>
          </w:p>
        </w:tc>
        <w:tc>
          <w:tcPr/>
          <w:p>
            <w:pPr>
              <w:pStyle w:val="Compact"/>
              <w:jc w:val="right"/>
            </w:pPr>
            <w:r>
              <w:rPr>
                <w:lang w:val="fr-FR"/>
              </w:rPr>
              <w:t xml:space="preserve">—</w:t>
            </w:r>
          </w:p>
        </w:tc>
        <w:tc>
          <w:tcPr/>
          <w:p>
            <w:pPr>
              <w:pStyle w:val="Compact"/>
              <w:jc w:val="center"/>
            </w:pPr>
            <w:r>
              <w:rPr>
                <w:b/>
                <w:bCs/>
                <w:lang w:val="fr-FR"/>
              </w:rPr>
              <w:t xml:space="preserve">aucune</w:t>
            </w:r>
          </w:p>
        </w:tc>
      </w:tr>
      <w:tr>
        <w:tc>
          <w:tcPr/>
          <w:p>
            <w:pPr>
              <w:pStyle w:val="Compact"/>
              <w:jc w:val="left"/>
            </w:pPr>
            <w:r>
              <w:rPr>
                <w:lang w:val="fr-FR"/>
              </w:rPr>
              <w:t xml:space="preserve">Personnes à moins de 5 km d’un centre de santé 82</w:t>
            </w:r>
            <w:r>
              <w:rPr>
                <w:lang w:val="fr-FR"/>
              </w:rPr>
              <w:t xml:space="preserve"> </w:t>
            </w:r>
            <m:oMath>
              <m:r>
                <m:rPr>
                  <m:sty m:val="p"/>
                </m:rPr>
                <m:t>→</m:t>
              </m:r>
            </m:oMath>
            <w:r>
              <w:rPr>
                <w:lang w:val="fr-FR"/>
              </w:rPr>
              <w:t xml:space="preserve"> </w:t>
            </w:r>
            <w:r>
              <w:rPr>
                <w:lang w:val="fr-FR"/>
              </w:rPr>
              <w:t xml:space="preserve">100 %</w:t>
            </w:r>
          </w:p>
        </w:tc>
        <w:tc>
          <w:tcPr/>
          <w:p>
            <w:pPr>
              <w:pStyle w:val="Compact"/>
              <w:jc w:val="left"/>
            </w:pPr>
            <w:r>
              <w:rPr>
                <w:lang w:val="fr-FR"/>
              </w:rPr>
              <w:t xml:space="preserve">—</w:t>
            </w:r>
          </w:p>
        </w:tc>
        <w:tc>
          <w:tcPr/>
          <w:p>
            <w:pPr>
              <w:pStyle w:val="Compact"/>
              <w:jc w:val="right"/>
            </w:pPr>
            <w:r>
              <w:rPr>
                <w:lang w:val="fr-FR"/>
              </w:rPr>
              <w:t xml:space="preserve">—</w:t>
            </w:r>
          </w:p>
        </w:tc>
        <w:tc>
          <w:tcPr/>
          <w:p>
            <w:pPr>
              <w:pStyle w:val="Compact"/>
              <w:jc w:val="center"/>
            </w:pPr>
            <w:r>
              <w:rPr>
                <w:b/>
                <w:bCs/>
                <w:lang w:val="fr-FR"/>
              </w:rPr>
              <w:t xml:space="preserve">aucune</w:t>
            </w:r>
          </w:p>
        </w:tc>
      </w:tr>
      <w:tr>
        <w:tc>
          <w:tcPr/>
          <w:p>
            <w:pPr>
              <w:pStyle w:val="Compact"/>
              <w:jc w:val="left"/>
            </w:pPr>
            <w:r>
              <w:rPr>
                <w:lang w:val="fr-FR"/>
              </w:rPr>
              <w:t xml:space="preserve">Retard de croissance des moins de 5 ans 21,4</w:t>
            </w:r>
            <w:r>
              <w:rPr>
                <w:lang w:val="fr-FR"/>
              </w:rPr>
              <w:t xml:space="preserve"> </w:t>
            </w:r>
            <m:oMath>
              <m:r>
                <m:rPr>
                  <m:sty m:val="p"/>
                </m:rPr>
                <m:t>→</m:t>
              </m:r>
            </m:oMath>
            <w:r>
              <w:rPr>
                <w:lang w:val="fr-FR"/>
              </w:rPr>
              <w:t xml:space="preserve"> </w:t>
            </w:r>
            <w:r>
              <w:rPr>
                <w:lang w:val="fr-FR"/>
              </w:rPr>
              <w:t xml:space="preserve">18 %</w:t>
            </w:r>
          </w:p>
        </w:tc>
        <w:tc>
          <w:tcPr/>
          <w:p>
            <w:pPr>
              <w:pStyle w:val="Compact"/>
              <w:jc w:val="left"/>
            </w:pPr>
            <w:r>
              <w:rPr>
                <w:lang w:val="fr-FR"/>
              </w:rPr>
              <w:t xml:space="preserve">—</w:t>
            </w:r>
          </w:p>
        </w:tc>
        <w:tc>
          <w:tcPr/>
          <w:p>
            <w:pPr>
              <w:pStyle w:val="Compact"/>
              <w:jc w:val="right"/>
            </w:pPr>
            <w:r>
              <w:rPr>
                <w:lang w:val="fr-FR"/>
              </w:rPr>
              <w:t xml:space="preserve">—</w:t>
            </w:r>
          </w:p>
        </w:tc>
        <w:tc>
          <w:tcPr/>
          <w:p>
            <w:pPr>
              <w:pStyle w:val="Compact"/>
              <w:jc w:val="center"/>
            </w:pPr>
            <w:r>
              <w:rPr>
                <w:b/>
                <w:bCs/>
                <w:lang w:val="fr-FR"/>
              </w:rPr>
              <w:t xml:space="preserve">aucune</w:t>
            </w:r>
          </w:p>
        </w:tc>
      </w:tr>
      <w:tr>
        <w:tc>
          <w:tcPr/>
          <w:p>
            <w:pPr>
              <w:pStyle w:val="Compact"/>
              <w:jc w:val="left"/>
            </w:pPr>
            <w:r>
              <w:rPr>
                <w:lang w:val="fr-FR"/>
              </w:rPr>
              <w:t xml:space="preserve">Indice de l’écart genre 0,655</w:t>
            </w:r>
            <w:r>
              <w:rPr>
                <w:lang w:val="fr-FR"/>
              </w:rPr>
              <w:t xml:space="preserve"> </w:t>
            </w:r>
            <m:oMath>
              <m:r>
                <m:rPr>
                  <m:sty m:val="p"/>
                </m:rPr>
                <m:t>→</m:t>
              </m:r>
            </m:oMath>
            <w:r>
              <w:rPr>
                <w:lang w:val="fr-FR"/>
              </w:rPr>
              <w:t xml:space="preserve"> </w:t>
            </w:r>
            <w:r>
              <w:rPr>
                <w:lang w:val="fr-FR"/>
              </w:rPr>
              <w:t xml:space="preserve">0,7</w:t>
            </w:r>
          </w:p>
        </w:tc>
        <w:tc>
          <w:tcPr/>
          <w:p>
            <w:pPr>
              <w:pStyle w:val="Compact"/>
              <w:jc w:val="left"/>
            </w:pPr>
            <w:r>
              <w:rPr>
                <w:lang w:val="fr-FR"/>
              </w:rPr>
              <w:t xml:space="preserve">—</w:t>
            </w:r>
          </w:p>
        </w:tc>
        <w:tc>
          <w:tcPr/>
          <w:p>
            <w:pPr>
              <w:pStyle w:val="Compact"/>
              <w:jc w:val="right"/>
            </w:pPr>
            <w:r>
              <w:rPr>
                <w:lang w:val="fr-FR"/>
              </w:rPr>
              <w:t xml:space="preserve">—</w:t>
            </w:r>
          </w:p>
        </w:tc>
        <w:tc>
          <w:tcPr/>
          <w:p>
            <w:pPr>
              <w:pStyle w:val="Compact"/>
              <w:jc w:val="center"/>
            </w:pPr>
            <w:r>
              <w:rPr>
                <w:lang w:val="fr-FR"/>
              </w:rPr>
              <w:t xml:space="preserve">aucune</w:t>
            </w:r>
          </w:p>
        </w:tc>
      </w:tr>
      <w:tr>
        <w:tc>
          <w:tcPr/>
          <w:p>
            <w:pPr>
              <w:pStyle w:val="Compact"/>
              <w:jc w:val="left"/>
            </w:pPr>
            <w:r>
              <w:rPr>
                <w:lang w:val="fr-FR"/>
              </w:rPr>
              <w:t xml:space="preserve">Préscolaire ; EFTP ; IPS primaire</w:t>
            </w:r>
          </w:p>
        </w:tc>
        <w:tc>
          <w:tcPr/>
          <w:p>
            <w:pPr>
              <w:pStyle w:val="Compact"/>
              <w:jc w:val="left"/>
            </w:pPr>
            <w:r>
              <w:rPr>
                <w:lang w:val="fr-FR"/>
              </w:rPr>
              <w:t xml:space="preserve">—</w:t>
            </w:r>
          </w:p>
        </w:tc>
        <w:tc>
          <w:tcPr/>
          <w:p>
            <w:pPr>
              <w:pStyle w:val="Compact"/>
              <w:jc w:val="right"/>
            </w:pPr>
            <w:r>
              <w:rPr>
                <w:lang w:val="fr-FR"/>
              </w:rPr>
              <w:t xml:space="preserve">—</w:t>
            </w:r>
          </w:p>
        </w:tc>
        <w:tc>
          <w:tcPr/>
          <w:p>
            <w:pPr>
              <w:pStyle w:val="Compact"/>
              <w:jc w:val="center"/>
            </w:pPr>
            <w:r>
              <w:rPr>
                <w:lang w:val="fr-FR"/>
              </w:rPr>
              <w:t xml:space="preserve">aucune</w:t>
            </w:r>
          </w:p>
        </w:tc>
      </w:tr>
    </w:tbl>
    <w:bookmarkEnd w:id="10"/>
    <w:bookmarkStart w:id="11" w:name="X9a49324705845c690ee17c70c5d023bc06c0467"/>
    <w:p>
      <w:pPr>
        <w:pStyle w:val="Heading2"/>
      </w:pPr>
      <w:r>
        <w:rPr>
          <w:lang w:val="fr-FR"/>
        </w:rPr>
        <w:t xml:space="preserve">Pilier 5 — Infrastructures, pôles régionaux et transition écologique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lang w:val="fr-FR"/>
              </w:rPr>
              <w:t xml:space="preserve">Cible PND à 2030</w:t>
            </w:r>
          </w:p>
        </w:tc>
        <w:tc>
          <w:tcPr/>
          <w:p>
            <w:pPr>
              <w:pStyle w:val="Compact"/>
              <w:jc w:val="left"/>
            </w:pPr>
            <w:r>
              <w:rPr>
                <w:b/>
                <w:bCs/>
                <w:lang w:val="fr-FR"/>
              </w:rPr>
              <w:t xml:space="preserve">Indicateur IPM</w:t>
            </w:r>
          </w:p>
        </w:tc>
        <w:tc>
          <w:tcPr/>
          <w:p>
            <w:pPr>
              <w:pStyle w:val="Compact"/>
              <w:jc w:val="right"/>
            </w:pPr>
            <w:r>
              <w:rPr>
                <w:b/>
                <w:bCs/>
                <w:lang w:val="fr-FR"/>
              </w:rPr>
              <w:t xml:space="preserve">Auj.</w:t>
            </w:r>
          </w:p>
        </w:tc>
        <w:tc>
          <w:tcPr/>
          <w:p>
            <w:pPr>
              <w:pStyle w:val="Compact"/>
              <w:jc w:val="center"/>
            </w:pPr>
            <w:r>
              <w:rPr>
                <w:b/>
                <w:bCs/>
                <w:lang w:val="fr-FR"/>
              </w:rPr>
              <w:t xml:space="preserve">Prise</w:t>
            </w:r>
          </w:p>
        </w:tc>
      </w:tr>
      <w:tr>
        <w:tc>
          <w:tcPr/>
          <w:p>
            <w:pPr>
              <w:pStyle w:val="Compact"/>
              <w:jc w:val="left"/>
            </w:pPr>
            <w:r>
              <w:rPr>
                <w:lang w:val="fr-FR"/>
              </w:rPr>
              <w:t xml:space="preserve">Pôles économiques compétitifs, villes secondaires,</w:t>
            </w:r>
            <w:r>
              <w:rPr>
                <w:lang w:val="fr-FR"/>
              </w:rPr>
              <w:t xml:space="preserve"> </w:t>
            </w:r>
            <w:r>
              <w:rPr>
                <w:lang w:val="fr-FR"/>
              </w:rPr>
              <w:t xml:space="preserve">réduction des inégalités régionales</w:t>
            </w:r>
          </w:p>
        </w:tc>
        <w:tc>
          <w:tcPr/>
          <w:p>
            <w:pPr>
              <w:pStyle w:val="Compact"/>
              <w:jc w:val="left"/>
            </w:pPr>
            <w:r>
              <w:rPr>
                <w:b/>
                <w:bCs/>
                <w:lang w:val="fr-FR"/>
              </w:rPr>
              <w:t xml:space="preserve">IPM à la maille de 519 sous-préfectures</w:t>
            </w:r>
          </w:p>
        </w:tc>
        <w:tc>
          <w:tcPr/>
          <w:p>
            <w:pPr>
              <w:pStyle w:val="Compact"/>
              <w:jc w:val="right"/>
            </w:pPr>
            <w:r>
              <w:rPr>
                <w:lang w:val="fr-FR"/>
              </w:rPr>
              <w:t xml:space="preserve">—</w:t>
            </w:r>
          </w:p>
        </w:tc>
        <w:tc>
          <w:tcPr/>
          <w:p>
            <w:pPr>
              <w:pStyle w:val="Compact"/>
              <w:jc w:val="center"/>
            </w:pPr>
            <w:r>
              <w:rPr>
                <w:b/>
                <w:bCs/>
                <w:lang w:val="fr-FR"/>
              </w:rPr>
              <w:t xml:space="preserve">opérationnelle</w:t>
            </w:r>
          </w:p>
        </w:tc>
      </w:tr>
      <w:tr>
        <w:tc>
          <w:tcPr/>
          <w:p>
            <w:pPr>
              <w:pStyle w:val="Compact"/>
              <w:jc w:val="left"/>
            </w:pPr>
            <w:r>
              <w:rPr>
                <w:lang w:val="fr-FR"/>
              </w:rPr>
              <w:t xml:space="preserve">Accès à une source d’eau améliorée 81</w:t>
            </w:r>
            <w:r>
              <w:rPr>
                <w:lang w:val="fr-FR"/>
              </w:rPr>
              <w:t xml:space="preserve"> </w:t>
            </w:r>
            <m:oMath>
              <m:r>
                <m:rPr>
                  <m:sty m:val="p"/>
                </m:rPr>
                <m:t>→</m:t>
              </m:r>
            </m:oMath>
            <w:r>
              <w:rPr>
                <w:lang w:val="fr-FR"/>
              </w:rPr>
              <w:t xml:space="preserve"> </w:t>
            </w:r>
            <w:r>
              <w:rPr>
                <w:lang w:val="fr-FR"/>
              </w:rPr>
              <w:t xml:space="preserve">90 %</w:t>
            </w:r>
          </w:p>
        </w:tc>
        <w:tc>
          <w:tcPr/>
          <w:p>
            <w:pPr>
              <w:pStyle w:val="Compact"/>
              <w:jc w:val="left"/>
            </w:pPr>
            <w:r>
              <w:rPr>
                <w:lang w:val="fr-FR"/>
              </w:rPr>
              <w:t xml:space="preserve">Eau potable (source seule)</w:t>
            </w:r>
          </w:p>
        </w:tc>
        <w:tc>
          <w:tcPr/>
          <w:p>
            <w:pPr>
              <w:pStyle w:val="Compact"/>
              <w:jc w:val="right"/>
            </w:pPr>
            <w:r>
              <w:rPr>
                <w:lang w:val="fr-FR"/>
              </w:rPr>
              <w:t xml:space="preserve">14,3 %</w:t>
            </w:r>
          </w:p>
        </w:tc>
        <w:tc>
          <w:tcPr/>
          <w:p>
            <w:pPr>
              <w:pStyle w:val="Compact"/>
              <w:jc w:val="center"/>
            </w:pPr>
            <w:r>
              <w:rPr>
                <w:lang w:val="fr-FR"/>
              </w:rPr>
              <w:t xml:space="preserve">directe</w:t>
            </w:r>
          </w:p>
        </w:tc>
      </w:tr>
      <w:tr>
        <w:tc>
          <w:tcPr/>
          <w:p>
            <w:pPr>
              <w:pStyle w:val="Compact"/>
              <w:jc w:val="left"/>
            </w:pPr>
            <w:r>
              <w:rPr>
                <w:lang w:val="fr-FR"/>
              </w:rPr>
              <w:t xml:space="preserve">Accès à l’assainissement amélioré 37</w:t>
            </w:r>
            <w:r>
              <w:rPr>
                <w:lang w:val="fr-FR"/>
              </w:rPr>
              <w:t xml:space="preserve"> </w:t>
            </w:r>
            <m:oMath>
              <m:r>
                <m:rPr>
                  <m:sty m:val="p"/>
                </m:rPr>
                <m:t>→</m:t>
              </m:r>
            </m:oMath>
            <w:r>
              <w:rPr>
                <w:lang w:val="fr-FR"/>
              </w:rPr>
              <w:t xml:space="preserve"> </w:t>
            </w:r>
            <w:r>
              <w:rPr>
                <w:lang w:val="fr-FR"/>
              </w:rPr>
              <w:t xml:space="preserve">70 %</w:t>
            </w:r>
          </w:p>
        </w:tc>
        <w:tc>
          <w:tcPr/>
          <w:p>
            <w:pPr>
              <w:pStyle w:val="Compact"/>
              <w:jc w:val="left"/>
            </w:pPr>
            <w:r>
              <w:rPr>
                <w:lang w:val="fr-FR"/>
              </w:rPr>
              <w:t xml:space="preserve">Toilette (sans le partage)</w:t>
            </w:r>
          </w:p>
        </w:tc>
        <w:tc>
          <w:tcPr/>
          <w:p>
            <w:pPr>
              <w:pStyle w:val="Compact"/>
              <w:jc w:val="right"/>
            </w:pPr>
            <w:r>
              <w:rPr>
                <w:lang w:val="fr-FR"/>
              </w:rPr>
              <w:t xml:space="preserve">45,1 %</w:t>
            </w:r>
          </w:p>
        </w:tc>
        <w:tc>
          <w:tcPr/>
          <w:p>
            <w:pPr>
              <w:pStyle w:val="Compact"/>
              <w:jc w:val="center"/>
            </w:pPr>
            <w:r>
              <w:rPr>
                <w:lang w:val="fr-FR"/>
              </w:rPr>
              <w:t xml:space="preserve">directe</w:t>
            </w:r>
          </w:p>
        </w:tc>
      </w:tr>
      <w:tr>
        <w:tc>
          <w:tcPr/>
          <w:p>
            <w:pPr>
              <w:pStyle w:val="Compact"/>
              <w:jc w:val="left"/>
            </w:pPr>
            <w:r>
              <w:rPr>
                <w:lang w:val="fr-FR"/>
              </w:rPr>
              <w:t xml:space="preserve">Accès universel à l’électricité d’ici 2030, en priorité</w:t>
            </w:r>
            <w:r>
              <w:rPr>
                <w:lang w:val="fr-FR"/>
              </w:rPr>
              <w:t xml:space="preserve"> </w:t>
            </w:r>
            <w:r>
              <w:rPr>
                <w:lang w:val="fr-FR"/>
              </w:rPr>
              <w:t xml:space="preserve">dans les quartiers précaires</w:t>
            </w:r>
          </w:p>
        </w:tc>
        <w:tc>
          <w:tcPr/>
          <w:p>
            <w:pPr>
              <w:pStyle w:val="Compact"/>
              <w:jc w:val="left"/>
            </w:pPr>
            <w:r>
              <w:rPr>
                <w:lang w:val="fr-FR"/>
              </w:rPr>
              <w:t xml:space="preserve">Électricité</w:t>
            </w:r>
          </w:p>
        </w:tc>
        <w:tc>
          <w:tcPr/>
          <w:p>
            <w:pPr>
              <w:pStyle w:val="Compact"/>
              <w:jc w:val="right"/>
            </w:pPr>
            <w:r>
              <w:rPr>
                <w:lang w:val="fr-FR"/>
              </w:rPr>
              <w:t xml:space="preserve">11,5 %</w:t>
            </w:r>
          </w:p>
        </w:tc>
        <w:tc>
          <w:tcPr/>
          <w:p>
            <w:pPr>
              <w:pStyle w:val="Compact"/>
              <w:jc w:val="center"/>
            </w:pPr>
            <w:r>
              <w:rPr>
                <w:lang w:val="fr-FR"/>
              </w:rPr>
              <w:t xml:space="preserve">directe</w:t>
            </w:r>
          </w:p>
        </w:tc>
      </w:tr>
      <w:tr>
        <w:tc>
          <w:tcPr/>
          <w:p>
            <w:pPr>
              <w:pStyle w:val="Compact"/>
              <w:jc w:val="left"/>
            </w:pPr>
            <w:r>
              <w:rPr>
                <w:lang w:val="fr-FR"/>
              </w:rPr>
              <w:t xml:space="preserve">Habitat décent (défi n</w:t>
            </w:r>
            <w:r>
              <w:rPr>
                <w:vertAlign w:val="superscript"/>
                <w:lang w:val="fr-FR"/>
              </w:rPr>
              <w:t xml:space="preserve">o</w:t>
            </w:r>
            <w:r>
              <w:rPr>
                <w:lang w:val="fr-FR"/>
              </w:rPr>
              <w:t xml:space="preserve"> 5 du diagnostic)</w:t>
            </w:r>
          </w:p>
        </w:tc>
        <w:tc>
          <w:tcPr/>
          <w:p>
            <w:pPr>
              <w:pStyle w:val="Compact"/>
              <w:jc w:val="left"/>
            </w:pPr>
            <w:r>
              <w:rPr>
                <w:lang w:val="fr-FR"/>
              </w:rPr>
              <w:t xml:space="preserve">Logement</w:t>
            </w:r>
          </w:p>
        </w:tc>
        <w:tc>
          <w:tcPr/>
          <w:p>
            <w:pPr>
              <w:pStyle w:val="Compact"/>
              <w:jc w:val="right"/>
            </w:pPr>
            <w:r>
              <w:rPr>
                <w:lang w:val="fr-FR"/>
              </w:rPr>
              <w:t xml:space="preserve">25,0 %</w:t>
            </w:r>
          </w:p>
        </w:tc>
        <w:tc>
          <w:tcPr/>
          <w:p>
            <w:pPr>
              <w:pStyle w:val="Compact"/>
              <w:jc w:val="center"/>
            </w:pPr>
            <w:r>
              <w:rPr>
                <w:lang w:val="fr-FR"/>
              </w:rPr>
              <w:t xml:space="preserve">directe</w:t>
            </w:r>
          </w:p>
        </w:tc>
      </w:tr>
      <w:tr>
        <w:tc>
          <w:tcPr/>
          <w:p>
            <w:pPr>
              <w:pStyle w:val="Compact"/>
              <w:jc w:val="left"/>
            </w:pPr>
            <w:r>
              <w:rPr>
                <w:lang w:val="fr-FR"/>
              </w:rPr>
              <w:t xml:space="preserve">Population utilisant internet 40,7</w:t>
            </w:r>
            <w:r>
              <w:rPr>
                <w:lang w:val="fr-FR"/>
              </w:rPr>
              <w:t xml:space="preserve"> </w:t>
            </w:r>
            <m:oMath>
              <m:r>
                <m:rPr>
                  <m:sty m:val="p"/>
                </m:rPr>
                <m:t>→</m:t>
              </m:r>
            </m:oMath>
            <w:r>
              <w:rPr>
                <w:lang w:val="fr-FR"/>
              </w:rPr>
              <w:t xml:space="preserve"> </w:t>
            </w:r>
            <w:r>
              <w:rPr>
                <w:lang w:val="fr-FR"/>
              </w:rPr>
              <w:t xml:space="preserve">60 %</w:t>
            </w:r>
          </w:p>
        </w:tc>
        <w:tc>
          <w:tcPr/>
          <w:p>
            <w:pPr>
              <w:pStyle w:val="Compact"/>
              <w:jc w:val="left"/>
            </w:pPr>
            <w:r>
              <w:rPr>
                <w:lang w:val="fr-FR"/>
              </w:rPr>
              <w:t xml:space="preserve">Biens d’équipement</w:t>
            </w:r>
          </w:p>
        </w:tc>
        <w:tc>
          <w:tcPr/>
          <w:p>
            <w:pPr>
              <w:pStyle w:val="Compact"/>
              <w:jc w:val="right"/>
            </w:pPr>
            <w:r>
              <w:rPr>
                <w:lang w:val="fr-FR"/>
              </w:rPr>
              <w:t xml:space="preserve">18,2 %</w:t>
            </w:r>
          </w:p>
        </w:tc>
        <w:tc>
          <w:tcPr/>
          <w:p>
            <w:pPr>
              <w:pStyle w:val="Compact"/>
              <w:jc w:val="center"/>
            </w:pPr>
            <w:r>
              <w:rPr>
                <w:lang w:val="fr-FR"/>
              </w:rPr>
              <w:t xml:space="preserve">indirecte</w:t>
            </w:r>
          </w:p>
        </w:tc>
      </w:tr>
      <w:tr>
        <w:tc>
          <w:tcPr/>
          <w:p>
            <w:pPr>
              <w:pStyle w:val="Compact"/>
              <w:jc w:val="left"/>
            </w:pPr>
            <w:r>
              <w:rPr>
                <w:lang w:val="fr-FR"/>
              </w:rPr>
              <w:t xml:space="preserve">Promiscuité, densité d’occupation du logement</w:t>
            </w:r>
          </w:p>
        </w:tc>
        <w:tc>
          <w:tcPr/>
          <w:p>
            <w:pPr>
              <w:pStyle w:val="Compact"/>
              <w:jc w:val="left"/>
            </w:pPr>
            <w:r>
              <w:rPr>
                <w:lang w:val="fr-FR"/>
              </w:rPr>
              <w:t xml:space="preserve">—</w:t>
            </w:r>
          </w:p>
        </w:tc>
        <w:tc>
          <w:tcPr/>
          <w:p>
            <w:pPr>
              <w:pStyle w:val="Compact"/>
              <w:jc w:val="right"/>
            </w:pPr>
            <w:r>
              <w:rPr>
                <w:lang w:val="fr-FR"/>
              </w:rPr>
              <w:t xml:space="preserve">—</w:t>
            </w:r>
          </w:p>
        </w:tc>
        <w:tc>
          <w:tcPr/>
          <w:p>
            <w:pPr>
              <w:pStyle w:val="Compact"/>
              <w:jc w:val="center"/>
            </w:pPr>
            <w:r>
              <w:rPr>
                <w:lang w:val="fr-FR"/>
              </w:rPr>
              <w:t xml:space="preserve">aucune</w:t>
            </w:r>
          </w:p>
        </w:tc>
      </w:tr>
    </w:tbl>
    <w:bookmarkEnd w:id="11"/>
    <w:bookmarkStart w:id="12" w:name="piliers-2-3-et-6"/>
    <w:p>
      <w:pPr>
        <w:pStyle w:val="Heading2"/>
      </w:pPr>
      <w:r>
        <w:rPr>
          <w:lang w:val="fr-FR"/>
        </w:rPr>
        <w:t xml:space="preserve">Piliers 2, 3 et 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lang w:val="fr-FR"/>
              </w:rPr>
              <w:t xml:space="preserve">Cible ou orientation PND</w:t>
            </w:r>
          </w:p>
        </w:tc>
        <w:tc>
          <w:tcPr/>
          <w:p>
            <w:pPr>
              <w:pStyle w:val="Compact"/>
              <w:jc w:val="left"/>
            </w:pPr>
            <w:r>
              <w:rPr>
                <w:b/>
                <w:bCs/>
                <w:lang w:val="fr-FR"/>
              </w:rPr>
              <w:t xml:space="preserve">Indicateur IPM</w:t>
            </w:r>
          </w:p>
        </w:tc>
        <w:tc>
          <w:tcPr/>
          <w:p>
            <w:pPr>
              <w:pStyle w:val="Compact"/>
              <w:jc w:val="right"/>
            </w:pPr>
            <w:r>
              <w:rPr>
                <w:b/>
                <w:bCs/>
                <w:lang w:val="fr-FR"/>
              </w:rPr>
              <w:t xml:space="preserve">Auj.</w:t>
            </w:r>
          </w:p>
        </w:tc>
        <w:tc>
          <w:tcPr/>
          <w:p>
            <w:pPr>
              <w:pStyle w:val="Compact"/>
              <w:jc w:val="center"/>
            </w:pPr>
            <w:r>
              <w:rPr>
                <w:b/>
                <w:bCs/>
                <w:lang w:val="fr-FR"/>
              </w:rPr>
              <w:t xml:space="preserve">Prise</w:t>
            </w:r>
          </w:p>
        </w:tc>
      </w:tr>
      <w:tr>
        <w:tc>
          <w:tcPr/>
          <w:p>
            <w:pPr>
              <w:pStyle w:val="Compact"/>
              <w:jc w:val="left"/>
            </w:pPr>
            <w:r>
              <w:rPr>
                <w:lang w:val="fr-FR"/>
              </w:rPr>
              <w:t xml:space="preserve">Registre social unifié pour le ciblage (P. 6)</w:t>
            </w:r>
          </w:p>
        </w:tc>
        <w:tc>
          <w:tcPr/>
          <w:p>
            <w:pPr>
              <w:pStyle w:val="Compact"/>
              <w:jc w:val="left"/>
            </w:pPr>
            <w:r>
              <w:rPr>
                <w:b/>
                <w:bCs/>
                <w:lang w:val="fr-FR"/>
              </w:rPr>
              <w:t xml:space="preserve">base exhaustive de 5,6 M de ménages</w:t>
            </w:r>
          </w:p>
        </w:tc>
        <w:tc>
          <w:tcPr/>
          <w:p>
            <w:pPr>
              <w:pStyle w:val="Compact"/>
              <w:jc w:val="right"/>
            </w:pPr>
            <w:r>
              <w:rPr>
                <w:lang w:val="fr-FR"/>
              </w:rPr>
              <w:t xml:space="preserve">—</w:t>
            </w:r>
          </w:p>
        </w:tc>
        <w:tc>
          <w:tcPr/>
          <w:p>
            <w:pPr>
              <w:pStyle w:val="Compact"/>
              <w:jc w:val="center"/>
            </w:pPr>
            <w:r>
              <w:rPr>
                <w:b/>
                <w:bCs/>
                <w:lang w:val="fr-FR"/>
              </w:rPr>
              <w:t xml:space="preserve">opérationnelle</w:t>
            </w:r>
          </w:p>
        </w:tc>
      </w:tr>
      <w:tr>
        <w:tc>
          <w:tcPr/>
          <w:p>
            <w:pPr>
              <w:pStyle w:val="Compact"/>
              <w:jc w:val="left"/>
            </w:pPr>
            <w:r>
              <w:rPr>
                <w:lang w:val="fr-FR"/>
              </w:rPr>
              <w:t xml:space="preserve">Enregistrement des naissances 56,6</w:t>
            </w:r>
            <w:r>
              <w:rPr>
                <w:lang w:val="fr-FR"/>
              </w:rPr>
              <w:t xml:space="preserve"> </w:t>
            </w:r>
            <m:oMath>
              <m:r>
                <m:rPr>
                  <m:sty m:val="p"/>
                </m:rPr>
                <m:t>→</m:t>
              </m:r>
            </m:oMath>
            <w:r>
              <w:rPr>
                <w:lang w:val="fr-FR"/>
              </w:rPr>
              <w:t xml:space="preserve"> </w:t>
            </w:r>
            <w:r>
              <w:rPr>
                <w:lang w:val="fr-FR"/>
              </w:rPr>
              <w:t xml:space="preserve">100 % (P. 6)</w:t>
            </w:r>
          </w:p>
        </w:tc>
        <w:tc>
          <w:tcPr/>
          <w:p>
            <w:pPr>
              <w:pStyle w:val="Compact"/>
              <w:jc w:val="left"/>
            </w:pPr>
            <w:r>
              <w:rPr>
                <w:lang w:val="fr-FR"/>
              </w:rPr>
              <w:t xml:space="preserve">Déclaration d’état civil</w:t>
            </w:r>
          </w:p>
        </w:tc>
        <w:tc>
          <w:tcPr/>
          <w:p>
            <w:pPr>
              <w:pStyle w:val="Compact"/>
              <w:jc w:val="right"/>
            </w:pPr>
            <w:r>
              <w:rPr>
                <w:lang w:val="fr-FR"/>
              </w:rPr>
              <w:t xml:space="preserve">15,2 %</w:t>
            </w:r>
          </w:p>
        </w:tc>
        <w:tc>
          <w:tcPr/>
          <w:p>
            <w:pPr>
              <w:pStyle w:val="Compact"/>
              <w:jc w:val="center"/>
            </w:pPr>
            <w:r>
              <w:rPr>
                <w:lang w:val="fr-FR"/>
              </w:rPr>
              <w:t xml:space="preserve">directe</w:t>
            </w:r>
          </w:p>
        </w:tc>
      </w:tr>
      <w:tr>
        <w:tc>
          <w:tcPr/>
          <w:p>
            <w:pPr>
              <w:pStyle w:val="Compact"/>
              <w:jc w:val="left"/>
            </w:pPr>
            <w:r>
              <w:rPr>
                <w:lang w:val="fr-FR"/>
              </w:rPr>
              <w:t xml:space="preserve">NNI 27,78</w:t>
            </w:r>
            <w:r>
              <w:rPr>
                <w:lang w:val="fr-FR"/>
              </w:rPr>
              <w:t xml:space="preserve"> </w:t>
            </w:r>
            <m:oMath>
              <m:r>
                <m:rPr>
                  <m:sty m:val="p"/>
                </m:rPr>
                <m:t>→</m:t>
              </m:r>
            </m:oMath>
            <w:r>
              <w:rPr>
                <w:lang w:val="fr-FR"/>
              </w:rPr>
              <w:t xml:space="preserve"> </w:t>
            </w:r>
            <w:r>
              <w:rPr>
                <w:lang w:val="fr-FR"/>
              </w:rPr>
              <w:t xml:space="preserve">100 % (P. 6)</w:t>
            </w:r>
          </w:p>
        </w:tc>
        <w:tc>
          <w:tcPr/>
          <w:p>
            <w:pPr>
              <w:pStyle w:val="Compact"/>
              <w:jc w:val="left"/>
            </w:pPr>
            <w:r>
              <w:rPr>
                <w:lang w:val="fr-FR"/>
              </w:rPr>
              <w:t xml:space="preserve">Déclaration d’état civil</w:t>
            </w:r>
          </w:p>
        </w:tc>
        <w:tc>
          <w:tcPr/>
          <w:p>
            <w:pPr>
              <w:pStyle w:val="Compact"/>
              <w:jc w:val="right"/>
            </w:pPr>
            <w:r>
              <w:rPr>
                <w:lang w:val="fr-FR"/>
              </w:rPr>
              <w:t xml:space="preserve">15,2 %</w:t>
            </w:r>
          </w:p>
        </w:tc>
        <w:tc>
          <w:tcPr/>
          <w:p>
            <w:pPr>
              <w:pStyle w:val="Compact"/>
              <w:jc w:val="center"/>
            </w:pPr>
            <w:r>
              <w:rPr>
                <w:lang w:val="fr-FR"/>
              </w:rPr>
              <w:t xml:space="preserve">indirecte</w:t>
            </w:r>
          </w:p>
        </w:tc>
      </w:tr>
      <w:tr>
        <w:tc>
          <w:tcPr/>
          <w:p>
            <w:pPr>
              <w:pStyle w:val="Compact"/>
              <w:jc w:val="left"/>
            </w:pPr>
            <w:r>
              <w:rPr>
                <w:lang w:val="fr-FR"/>
              </w:rPr>
              <w:t xml:space="preserve">Modernisation de l’agriculture et productivité (P. 2) ;</w:t>
            </w:r>
            <w:r>
              <w:rPr>
                <w:lang w:val="fr-FR"/>
              </w:rPr>
              <w:t xml:space="preserve"> </w:t>
            </w:r>
            <w:r>
              <w:rPr>
                <w:lang w:val="fr-FR"/>
              </w:rPr>
              <w:t xml:space="preserve">réduction de l’informalité (P. 3)</w:t>
            </w:r>
          </w:p>
        </w:tc>
        <w:tc>
          <w:tcPr/>
          <w:p>
            <w:pPr>
              <w:pStyle w:val="Compact"/>
              <w:jc w:val="left"/>
            </w:pPr>
            <w:r>
              <w:rPr>
                <w:lang w:val="fr-FR"/>
              </w:rPr>
              <w:t xml:space="preserve">Emploi agricole de subsistance (approché)</w:t>
            </w:r>
          </w:p>
        </w:tc>
        <w:tc>
          <w:tcPr/>
          <w:p>
            <w:pPr>
              <w:pStyle w:val="Compact"/>
              <w:jc w:val="right"/>
            </w:pPr>
            <w:r>
              <w:rPr>
                <w:lang w:val="fr-FR"/>
              </w:rPr>
              <w:t xml:space="preserve">46,0 %</w:t>
            </w:r>
          </w:p>
        </w:tc>
        <w:tc>
          <w:tcPr/>
          <w:p>
            <w:pPr>
              <w:pStyle w:val="Compact"/>
              <w:jc w:val="center"/>
            </w:pPr>
            <w:r>
              <w:rPr>
                <w:lang w:val="fr-FR"/>
              </w:rPr>
              <w:t xml:space="preserve">approchée</w:t>
            </w:r>
          </w:p>
        </w:tc>
      </w:tr>
      <w:tr>
        <w:tc>
          <w:tcPr/>
          <w:p>
            <w:pPr>
              <w:pStyle w:val="Compact"/>
              <w:jc w:val="left"/>
            </w:pPr>
            <w:r>
              <w:rPr>
                <w:lang w:val="fr-FR"/>
              </w:rPr>
              <w:t xml:space="preserve">Énergie de cuisson propre (P. 5)</w:t>
            </w:r>
          </w:p>
        </w:tc>
        <w:tc>
          <w:tcPr/>
          <w:p>
            <w:pPr>
              <w:pStyle w:val="Compact"/>
              <w:jc w:val="left"/>
            </w:pPr>
            <w:r>
              <w:rPr>
                <w:lang w:val="fr-FR"/>
              </w:rPr>
              <w:t xml:space="preserve">Énergie de cuisson</w:t>
            </w:r>
          </w:p>
        </w:tc>
        <w:tc>
          <w:tcPr/>
          <w:p>
            <w:pPr>
              <w:pStyle w:val="Compact"/>
              <w:jc w:val="right"/>
            </w:pPr>
            <w:r>
              <w:rPr>
                <w:lang w:val="fr-FR"/>
              </w:rPr>
              <w:t xml:space="preserve">62,7 %</w:t>
            </w:r>
          </w:p>
        </w:tc>
        <w:tc>
          <w:tcPr/>
          <w:p>
            <w:pPr>
              <w:pStyle w:val="Compact"/>
              <w:jc w:val="center"/>
            </w:pPr>
            <w:r>
              <w:rPr>
                <w:lang w:val="fr-FR"/>
              </w:rPr>
              <w:t xml:space="preserve">directe</w:t>
            </w:r>
          </w:p>
        </w:tc>
      </w:tr>
    </w:tbl>
    <w:p>
      <w:pPr>
        <w:pStyle w:val="BlockText"/>
      </w:pPr>
      <w:r>
        <w:rPr>
          <w:b/>
          <w:bCs/>
          <w:lang w:val="fr-FR"/>
        </w:rPr>
        <w:t xml:space="preserve">Le décompte</w:t>
      </w:r>
    </w:p>
    <w:p>
      <w:pPr>
        <w:pStyle w:val="BlockText"/>
      </w:pPr>
      <w:r>
        <w:rPr>
          <w:lang w:val="fr-FR"/>
        </w:rPr>
        <w:t xml:space="preserve">Sur les vingt-deux cibles et orientations du PND qu’un indice de pauvreté peut éclairer, l’IPM</w:t>
      </w:r>
      <w:r>
        <w:rPr>
          <w:lang w:val="fr-FR"/>
        </w:rPr>
        <w:t xml:space="preserve"> </w:t>
      </w:r>
      <w:r>
        <w:rPr>
          <w:lang w:val="fr-FR"/>
        </w:rPr>
        <w:t xml:space="preserve">RGPH en couvre</w:t>
      </w:r>
      <w:r>
        <w:rPr>
          <w:lang w:val="fr-FR"/>
        </w:rPr>
        <w:t xml:space="preserve"> </w:t>
      </w:r>
      <w:r>
        <w:rPr>
          <w:b/>
          <w:bCs/>
          <w:lang w:val="fr-FR"/>
        </w:rPr>
        <w:t xml:space="preserve">sept de façon directe</w:t>
      </w:r>
      <w:r>
        <w:rPr>
          <w:lang w:val="fr-FR"/>
        </w:rPr>
        <w:t xml:space="preserve">, deux par approximation, deux de façon indirecte, et</w:t>
      </w:r>
      <w:r>
        <w:rPr>
          <w:lang w:val="fr-FR"/>
        </w:rPr>
        <w:t xml:space="preserve"> </w:t>
      </w:r>
      <w:r>
        <w:rPr>
          <w:lang w:val="fr-FR"/>
        </w:rPr>
        <w:t xml:space="preserve">en rend</w:t>
      </w:r>
      <w:r>
        <w:rPr>
          <w:lang w:val="fr-FR"/>
        </w:rPr>
        <w:t xml:space="preserve"> </w:t>
      </w:r>
      <w:r>
        <w:rPr>
          <w:b/>
          <w:bCs/>
          <w:lang w:val="fr-FR"/>
        </w:rPr>
        <w:t xml:space="preserve">trois opérationnelles</w:t>
      </w:r>
      <w:r>
        <w:rPr>
          <w:lang w:val="fr-FR"/>
        </w:rPr>
        <w:t xml:space="preserve"> </w:t>
      </w:r>
      <w:r>
        <w:rPr>
          <w:lang w:val="fr-FR"/>
        </w:rPr>
        <w:t xml:space="preserve">— le ciblage territorial, le registre social et la sélection</w:t>
      </w:r>
      <w:r>
        <w:rPr>
          <w:lang w:val="fr-FR"/>
        </w:rPr>
        <w:t xml:space="preserve"> </w:t>
      </w:r>
      <w:r>
        <w:rPr>
          <w:lang w:val="fr-FR"/>
        </w:rPr>
        <w:t xml:space="preserve">des ménages bénéficiaires — que l’enquête ne peut pas servir du tout. Huit restent hors de portée,</w:t>
      </w:r>
      <w:r>
        <w:rPr>
          <w:lang w:val="fr-FR"/>
        </w:rPr>
        <w:t xml:space="preserve"> </w:t>
      </w:r>
      <w:r>
        <w:rPr>
          <w:lang w:val="fr-FR"/>
        </w:rPr>
        <w:t xml:space="preserve">dont les quatre cibles santé et nutrition du Pilier 4.</w:t>
      </w:r>
    </w:p>
    <w:bookmarkEnd w:id="12"/>
    <w:bookmarkEnd w:id="13"/>
    <w:bookmarkStart w:id="18" w:name="ce-que-le-rgph-est-seul-à-apporter"/>
    <w:p>
      <w:pPr>
        <w:pStyle w:val="Heading1"/>
      </w:pPr>
      <w:r>
        <w:rPr>
          <w:lang w:val="fr-FR"/>
        </w:rPr>
        <w:t xml:space="preserve">Ce que le RGPH est seul à apporter</w:t>
      </w:r>
    </w:p>
    <w:bookmarkStart w:id="14" w:name="une-carte-publiable-partout"/>
    <w:p>
      <w:pPr>
        <w:pStyle w:val="Heading2"/>
      </w:pPr>
      <w:r>
        <w:rPr>
          <w:lang w:val="fr-FR"/>
        </w:rPr>
        <w:t xml:space="preserve">Une carte publiable partout</w:t>
      </w:r>
    </w:p>
    <w:p>
      <w:pPr>
        <w:pStyle w:val="FirstParagraph"/>
      </w:pPr>
      <w:r>
        <w:rPr>
          <w:lang w:val="fr-FR"/>
        </w:rPr>
        <w:t xml:space="preserve">C’est l’apport décisif, et il se chiffre. Le tableau ci-dessous donne, pour chaque maille, le</w:t>
      </w:r>
      <w:r>
        <w:rPr>
          <w:lang w:val="fr-FR"/>
        </w:rPr>
        <w:t xml:space="preserve"> </w:t>
      </w:r>
      <w:r>
        <w:rPr>
          <w:lang w:val="fr-FR"/>
        </w:rPr>
        <w:t xml:space="preserve">nombre de modalités dont l’IPM est trop imprécis pour être publié — convention usuelle : un</w:t>
      </w:r>
      <w:r>
        <w:rPr>
          <w:lang w:val="fr-FR"/>
        </w:rPr>
        <w:t xml:space="preserve"> </w:t>
      </w:r>
      <w:r>
        <w:rPr>
          <w:lang w:val="fr-FR"/>
        </w:rPr>
        <w:t xml:space="preserve">coefficient de variation supérieur à 20 %.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lang w:val="fr-FR"/>
              </w:rPr>
              <w:t xml:space="preserve">Maille</w:t>
            </w:r>
          </w:p>
        </w:tc>
        <w:tc>
          <w:tcPr/>
          <w:p>
            <w:pPr>
              <w:pStyle w:val="Compact"/>
              <w:jc w:val="right"/>
            </w:pPr>
            <w:r>
              <w:rPr>
                <w:b/>
                <w:bCs/>
                <w:lang w:val="fr-FR"/>
              </w:rPr>
              <w:t xml:space="preserve">Modalités</w:t>
            </w:r>
          </w:p>
        </w:tc>
        <w:tc>
          <w:tcPr/>
          <w:p>
            <w:pPr>
              <w:pStyle w:val="Compact"/>
              <w:jc w:val="right"/>
            </w:pPr>
            <w:r>
              <w:rPr>
                <w:b/>
                <w:bCs/>
                <w:lang w:val="fr-FR"/>
              </w:rPr>
              <w:t xml:space="preserve">Non publiables</w:t>
            </w:r>
          </w:p>
        </w:tc>
        <w:tc>
          <w:tcPr/>
          <w:p>
            <w:pPr>
              <w:pStyle w:val="Compact"/>
              <w:jc w:val="right"/>
            </w:pPr>
            <w:r>
              <w:rPr>
                <w:b/>
                <w:bCs/>
                <w:lang w:val="fr-FR"/>
              </w:rPr>
              <w:t xml:space="preserve">Population concernée</w:t>
            </w:r>
          </w:p>
        </w:tc>
      </w:tr>
      <w:tr>
        <w:tc>
          <w:tcPr/>
          <w:p>
            <w:pPr>
              <w:pStyle w:val="Compact"/>
              <w:jc w:val="left"/>
            </w:pPr>
            <w:r>
              <w:rPr>
                <w:lang w:val="fr-FR"/>
              </w:rPr>
              <w:t xml:space="preserve">Ensemble</w:t>
            </w:r>
          </w:p>
        </w:tc>
        <w:tc>
          <w:tcPr/>
          <w:p>
            <w:pPr>
              <w:pStyle w:val="Compact"/>
              <w:jc w:val="right"/>
            </w:pPr>
            <w:r>
              <w:rPr>
                <w:lang w:val="fr-FR"/>
              </w:rPr>
              <w:t xml:space="preserve">1</w:t>
            </w:r>
          </w:p>
        </w:tc>
        <w:tc>
          <w:tcPr/>
          <w:p>
            <w:pPr>
              <w:pStyle w:val="Compact"/>
              <w:jc w:val="right"/>
            </w:pPr>
            <w:r>
              <w:rPr>
                <w:lang w:val="fr-FR"/>
              </w:rPr>
              <w:t xml:space="preserve">0</w:t>
            </w:r>
          </w:p>
        </w:tc>
        <w:tc>
          <w:tcPr/>
          <w:p>
            <w:pPr>
              <w:pStyle w:val="Compact"/>
              <w:jc w:val="right"/>
            </w:pPr>
            <w:r>
              <w:rPr>
                <w:lang w:val="fr-FR"/>
              </w:rPr>
              <w:t xml:space="preserve">—</w:t>
            </w:r>
          </w:p>
        </w:tc>
      </w:tr>
      <w:tr>
        <w:tc>
          <w:tcPr/>
          <w:p>
            <w:pPr>
              <w:pStyle w:val="Compact"/>
              <w:jc w:val="left"/>
            </w:pPr>
            <w:r>
              <w:rPr>
                <w:lang w:val="fr-FR"/>
              </w:rPr>
              <w:t xml:space="preserve">Milieu de résidence</w:t>
            </w:r>
          </w:p>
        </w:tc>
        <w:tc>
          <w:tcPr/>
          <w:p>
            <w:pPr>
              <w:pStyle w:val="Compact"/>
              <w:jc w:val="right"/>
            </w:pPr>
            <w:r>
              <w:rPr>
                <w:lang w:val="fr-FR"/>
              </w:rPr>
              <w:t xml:space="preserve">3</w:t>
            </w:r>
          </w:p>
        </w:tc>
        <w:tc>
          <w:tcPr/>
          <w:p>
            <w:pPr>
              <w:pStyle w:val="Compact"/>
              <w:jc w:val="right"/>
            </w:pPr>
            <w:r>
              <w:rPr>
                <w:lang w:val="fr-FR"/>
              </w:rPr>
              <w:t xml:space="preserve">0</w:t>
            </w:r>
          </w:p>
        </w:tc>
        <w:tc>
          <w:tcPr/>
          <w:p>
            <w:pPr>
              <w:pStyle w:val="Compact"/>
              <w:jc w:val="right"/>
            </w:pPr>
            <w:r>
              <w:rPr>
                <w:lang w:val="fr-FR"/>
              </w:rPr>
              <w:t xml:space="preserve">—</w:t>
            </w:r>
          </w:p>
        </w:tc>
      </w:tr>
      <w:tr>
        <w:tc>
          <w:tcPr/>
          <w:p>
            <w:pPr>
              <w:pStyle w:val="Compact"/>
              <w:jc w:val="left"/>
            </w:pPr>
            <w:r>
              <w:rPr>
                <w:lang w:val="fr-FR"/>
              </w:rPr>
              <w:t xml:space="preserve">Région</w:t>
            </w:r>
          </w:p>
        </w:tc>
        <w:tc>
          <w:tcPr/>
          <w:p>
            <w:pPr>
              <w:pStyle w:val="Compact"/>
              <w:jc w:val="right"/>
            </w:pPr>
            <w:r>
              <w:rPr>
                <w:lang w:val="fr-FR"/>
              </w:rPr>
              <w:t xml:space="preserve">33</w:t>
            </w:r>
          </w:p>
        </w:tc>
        <w:tc>
          <w:tcPr/>
          <w:p>
            <w:pPr>
              <w:pStyle w:val="Compact"/>
              <w:jc w:val="right"/>
            </w:pPr>
            <w:r>
              <w:rPr>
                <w:lang w:val="fr-FR"/>
              </w:rPr>
              <w:t xml:space="preserve">0</w:t>
            </w:r>
          </w:p>
        </w:tc>
        <w:tc>
          <w:tcPr/>
          <w:p>
            <w:pPr>
              <w:pStyle w:val="Compact"/>
              <w:jc w:val="right"/>
            </w:pPr>
            <w:r>
              <w:rPr>
                <w:lang w:val="fr-FR"/>
              </w:rPr>
              <w:t xml:space="preserve">—</w:t>
            </w:r>
          </w:p>
        </w:tc>
      </w:tr>
      <w:tr>
        <w:tc>
          <w:tcPr/>
          <w:p>
            <w:pPr>
              <w:pStyle w:val="Compact"/>
              <w:jc w:val="left"/>
            </w:pPr>
            <w:r>
              <w:rPr>
                <w:lang w:val="fr-FR"/>
              </w:rPr>
              <w:t xml:space="preserve">Département</w:t>
            </w:r>
          </w:p>
        </w:tc>
        <w:tc>
          <w:tcPr/>
          <w:p>
            <w:pPr>
              <w:pStyle w:val="Compact"/>
              <w:jc w:val="right"/>
            </w:pPr>
            <w:r>
              <w:rPr>
                <w:lang w:val="fr-FR"/>
              </w:rPr>
              <w:t xml:space="preserve">111</w:t>
            </w:r>
          </w:p>
        </w:tc>
        <w:tc>
          <w:tcPr/>
          <w:p>
            <w:pPr>
              <w:pStyle w:val="Compact"/>
              <w:jc w:val="right"/>
            </w:pPr>
            <w:r>
              <w:rPr>
                <w:lang w:val="fr-FR"/>
              </w:rPr>
              <w:t xml:space="preserve">0</w:t>
            </w:r>
          </w:p>
        </w:tc>
        <w:tc>
          <w:tcPr/>
          <w:p>
            <w:pPr>
              <w:pStyle w:val="Compact"/>
              <w:jc w:val="right"/>
            </w:pPr>
            <w:r>
              <w:rPr>
                <w:lang w:val="fr-FR"/>
              </w:rPr>
              <w:t xml:space="preserve">—</w:t>
            </w:r>
          </w:p>
        </w:tc>
      </w:tr>
      <w:tr>
        <w:tc>
          <w:tcPr/>
          <w:p>
            <w:pPr>
              <w:pStyle w:val="Compact"/>
              <w:jc w:val="left"/>
            </w:pPr>
            <w:r>
              <w:rPr>
                <w:lang w:val="fr-FR"/>
              </w:rPr>
              <w:t xml:space="preserve">Sous-préfecture ou commune</w:t>
            </w:r>
          </w:p>
        </w:tc>
        <w:tc>
          <w:tcPr/>
          <w:p>
            <w:pPr>
              <w:pStyle w:val="Compact"/>
              <w:jc w:val="right"/>
            </w:pPr>
            <w:r>
              <w:rPr>
                <w:lang w:val="fr-FR"/>
              </w:rPr>
              <w:t xml:space="preserve">519</w:t>
            </w:r>
          </w:p>
        </w:tc>
        <w:tc>
          <w:tcPr/>
          <w:p>
            <w:pPr>
              <w:pStyle w:val="Compact"/>
              <w:jc w:val="right"/>
            </w:pPr>
            <w:r>
              <w:rPr>
                <w:lang w:val="fr-FR"/>
              </w:rPr>
              <w:t xml:space="preserve">19</w:t>
            </w:r>
          </w:p>
        </w:tc>
        <w:tc>
          <w:tcPr/>
          <w:p>
            <w:pPr>
              <w:pStyle w:val="Compact"/>
              <w:jc w:val="right"/>
            </w:pPr>
            <w:r>
              <w:rPr>
                <w:lang w:val="fr-FR"/>
              </w:rPr>
              <w:t xml:space="preserve">1,55 %</w:t>
            </w:r>
          </w:p>
        </w:tc>
      </w:tr>
    </w:tbl>
    <w:p>
      <w:pPr>
        <w:pStyle w:val="BlockText"/>
      </w:pPr>
      <w:r>
        <w:rPr>
          <w:b/>
          <w:bCs/>
          <w:lang w:val="fr-FR"/>
        </w:rPr>
        <w:t xml:space="preserve">La maille du Pilier 5 est atteinte</w:t>
      </w:r>
    </w:p>
    <w:p>
      <w:pPr>
        <w:pStyle w:val="BlockText"/>
      </w:pPr>
      <w:r>
        <w:rPr>
          <w:lang w:val="fr-FR"/>
        </w:rPr>
        <w:t xml:space="preserve">Le recensement publie un IPM pour</w:t>
      </w:r>
      <w:r>
        <w:rPr>
          <w:lang w:val="fr-FR"/>
        </w:rPr>
        <w:t xml:space="preserve"> </w:t>
      </w:r>
      <w:r>
        <w:rPr>
          <w:b/>
          <w:bCs/>
          <w:lang w:val="fr-FR"/>
        </w:rPr>
        <w:t xml:space="preserve">les 111 départements sans exception</w:t>
      </w:r>
      <w:r>
        <w:rPr>
          <w:lang w:val="fr-FR"/>
        </w:rPr>
        <w:t xml:space="preserve"> </w:t>
      </w:r>
      <w:r>
        <w:rPr>
          <w:lang w:val="fr-FR"/>
        </w:rPr>
        <w:t xml:space="preserve">et pour</w:t>
      </w:r>
      <w:r>
        <w:rPr>
          <w:lang w:val="fr-FR"/>
        </w:rPr>
        <w:t xml:space="preserve"> </w:t>
      </w:r>
      <w:r>
        <w:rPr>
          <w:b/>
          <w:bCs/>
          <w:lang w:val="fr-FR"/>
        </w:rPr>
        <w:t xml:space="preserve">500 des 519 sous-préfectures et communes</w:t>
      </w:r>
      <w:r>
        <w:rPr>
          <w:lang w:val="fr-FR"/>
        </w:rPr>
        <w:t xml:space="preserve">. Les 19 restantes ne représentent que 1,55 % de</w:t>
      </w:r>
      <w:r>
        <w:rPr>
          <w:lang w:val="fr-FR"/>
        </w:rPr>
        <w:t xml:space="preserve"> </w:t>
      </w:r>
      <w:r>
        <w:rPr>
          <w:lang w:val="fr-FR"/>
        </w:rPr>
        <w:t xml:space="preserve">la population, et leur imprécision tient au petit nombre de zones de dénombrement, non au nombre de</w:t>
      </w:r>
      <w:r>
        <w:rPr>
          <w:lang w:val="fr-FR"/>
        </w:rPr>
        <w:t xml:space="preserve"> </w:t>
      </w:r>
      <w:r>
        <w:rPr>
          <w:lang w:val="fr-FR"/>
        </w:rPr>
        <w:t xml:space="preserve">ménages.</w:t>
      </w:r>
    </w:p>
    <w:p>
      <w:pPr>
        <w:pStyle w:val="BlockText"/>
      </w:pPr>
      <w:r>
        <w:rPr>
          <w:lang w:val="fr-FR"/>
        </w:rPr>
        <w:t xml:space="preserve">C’est exactement l’échelle à laquelle le Pilier 5 entend conduire sa « répartition optimale et</w:t>
      </w:r>
      <w:r>
        <w:rPr>
          <w:lang w:val="fr-FR"/>
        </w:rPr>
        <w:t xml:space="preserve"> </w:t>
      </w:r>
      <w:r>
        <w:rPr>
          <w:lang w:val="fr-FR"/>
        </w:rPr>
        <w:t xml:space="preserve">équitable des investissements publics et privés ».</w:t>
      </w:r>
    </w:p>
    <w:bookmarkEnd w:id="14"/>
    <w:bookmarkStart w:id="15" w:name="Xd1fba2db39972e93d9d6979514520c13b393177"/>
    <w:p>
      <w:pPr>
        <w:pStyle w:val="Heading2"/>
      </w:pPr>
      <w:r>
        <w:rPr>
          <w:lang w:val="fr-FR"/>
        </w:rPr>
        <w:t xml:space="preserve">Le diagnostic territorial que le PND appelle</w:t>
      </w:r>
    </w:p>
    <w:p>
      <w:pPr>
        <w:pStyle w:val="FirstParagraph"/>
      </w:pPr>
      <w:r>
        <w:rPr>
          <w:lang w:val="fr-FR"/>
        </w:rPr>
        <w:t xml:space="preserve">Le PND fait de la réduction des inégalités régionales une orientation du Pilier 6 et le</w:t>
      </w:r>
      <w:r>
        <w:rPr>
          <w:lang w:val="fr-FR"/>
        </w:rPr>
        <w:t xml:space="preserve"> </w:t>
      </w:r>
      <w:r>
        <w:rPr>
          <w:lang w:val="fr-FR"/>
        </w:rPr>
        <w:t xml:space="preserve">rééquilibrage territorial l’objet même du Pilier 5. L’IPM RGPH en donne la mesure.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lang w:val="fr-FR"/>
              </w:rPr>
              <w:t xml:space="preserve">Milieu</w:t>
            </w:r>
          </w:p>
        </w:tc>
        <w:tc>
          <w:tcPr/>
          <w:p>
            <w:pPr>
              <w:pStyle w:val="Compact"/>
              <w:jc w:val="right"/>
            </w:pPr>
            <w:r>
              <w:rPr>
                <w:b/>
                <w:bCs/>
                <w:lang w:val="fr-FR"/>
              </w:rPr>
              <w:t xml:space="preserve">Part pop.</w:t>
            </w:r>
          </w:p>
        </w:tc>
        <w:tc>
          <w:tcPr/>
          <w:p>
            <w:pPr>
              <w:pStyle w:val="Compact"/>
              <w:jc w:val="right"/>
            </w:pPr>
            <m:oMath>
              <m:r>
                <m:t>H</m:t>
              </m:r>
            </m:oMath>
            <w:r>
              <w:rPr>
                <w:lang w:val="fr-FR"/>
              </w:rPr>
              <w:t xml:space="preserve">​</w:t>
            </w:r>
          </w:p>
        </w:tc>
        <w:tc>
          <w:tcPr/>
          <w:p>
            <w:pPr>
              <w:pStyle w:val="Compact"/>
              <w:jc w:val="right"/>
            </w:pPr>
            <m:oMath>
              <m:sSub>
                <m:e>
                  <m:r>
                    <m:t>M</m:t>
                  </m:r>
                </m:e>
                <m:sub>
                  <m:r>
                    <m:t>0</m:t>
                  </m:r>
                </m:sub>
              </m:sSub>
            </m:oMath>
            <w:r>
              <w:rPr>
                <w:lang w:val="fr-FR"/>
              </w:rPr>
              <w:t xml:space="preserve">​</w:t>
            </w:r>
          </w:p>
        </w:tc>
        <w:tc>
          <w:tcPr/>
          <w:p>
            <w:pPr>
              <w:pStyle w:val="Compact"/>
              <w:jc w:val="right"/>
            </w:pPr>
            <w:r>
              <w:rPr>
                <w:b/>
                <w:bCs/>
                <w:lang w:val="fr-FR"/>
              </w:rPr>
              <w:t xml:space="preserve">Part de la pauvreté</w:t>
            </w:r>
          </w:p>
        </w:tc>
      </w:tr>
      <w:tr>
        <w:tc>
          <w:tcPr/>
          <w:p>
            <w:pPr>
              <w:pStyle w:val="Compact"/>
              <w:jc w:val="left"/>
            </w:pPr>
            <w:r>
              <w:rPr>
                <w:lang w:val="fr-FR"/>
              </w:rPr>
              <w:t xml:space="preserve">Urbain</w:t>
            </w:r>
          </w:p>
        </w:tc>
        <w:tc>
          <w:tcPr/>
          <w:p>
            <w:pPr>
              <w:pStyle w:val="Compact"/>
              <w:jc w:val="right"/>
            </w:pPr>
            <w:r>
              <w:rPr>
                <w:lang w:val="fr-FR"/>
              </w:rPr>
              <w:t xml:space="preserve">44,8 %</w:t>
            </w:r>
          </w:p>
        </w:tc>
        <w:tc>
          <w:tcPr/>
          <w:p>
            <w:pPr>
              <w:pStyle w:val="Compact"/>
              <w:jc w:val="right"/>
            </w:pPr>
            <w:r>
              <w:rPr>
                <w:lang w:val="fr-FR"/>
              </w:rPr>
              <w:t xml:space="preserve">5,4 %</w:t>
            </w:r>
          </w:p>
        </w:tc>
        <w:tc>
          <w:tcPr/>
          <w:p>
            <w:pPr>
              <w:pStyle w:val="Compact"/>
              <w:jc w:val="right"/>
            </w:pPr>
            <w:r>
              <w:rPr>
                <w:lang w:val="fr-FR"/>
              </w:rPr>
              <w:t xml:space="preserve">0,0212</w:t>
            </w:r>
          </w:p>
        </w:tc>
        <w:tc>
          <w:tcPr/>
          <w:p>
            <w:pPr>
              <w:pStyle w:val="Compact"/>
              <w:jc w:val="right"/>
            </w:pPr>
            <w:r>
              <w:rPr>
                <w:lang w:val="fr-FR"/>
              </w:rPr>
              <w:t xml:space="preserve">5,7 %</w:t>
            </w:r>
          </w:p>
        </w:tc>
      </w:tr>
      <w:tr>
        <w:tc>
          <w:tcPr/>
          <w:p>
            <w:pPr>
              <w:pStyle w:val="Compact"/>
              <w:jc w:val="left"/>
            </w:pPr>
            <w:r>
              <w:rPr>
                <w:lang w:val="fr-FR"/>
              </w:rPr>
              <w:t xml:space="preserve">Semi-urbain</w:t>
            </w:r>
          </w:p>
        </w:tc>
        <w:tc>
          <w:tcPr/>
          <w:p>
            <w:pPr>
              <w:pStyle w:val="Compact"/>
              <w:jc w:val="right"/>
            </w:pPr>
            <w:r>
              <w:rPr>
                <w:lang w:val="fr-FR"/>
              </w:rPr>
              <w:t xml:space="preserve">9,4 %</w:t>
            </w:r>
          </w:p>
        </w:tc>
        <w:tc>
          <w:tcPr/>
          <w:p>
            <w:pPr>
              <w:pStyle w:val="Compact"/>
              <w:jc w:val="right"/>
            </w:pPr>
            <w:r>
              <w:rPr>
                <w:lang w:val="fr-FR"/>
              </w:rPr>
              <w:t xml:space="preserve">41,0 %</w:t>
            </w:r>
          </w:p>
        </w:tc>
        <w:tc>
          <w:tcPr/>
          <w:p>
            <w:pPr>
              <w:pStyle w:val="Compact"/>
              <w:jc w:val="right"/>
            </w:pPr>
            <w:r>
              <w:rPr>
                <w:lang w:val="fr-FR"/>
              </w:rPr>
              <w:t xml:space="preserve">0,1705</w:t>
            </w:r>
          </w:p>
        </w:tc>
        <w:tc>
          <w:tcPr/>
          <w:p>
            <w:pPr>
              <w:pStyle w:val="Compact"/>
              <w:jc w:val="right"/>
            </w:pPr>
            <w:r>
              <w:rPr>
                <w:lang w:val="fr-FR"/>
              </w:rPr>
              <w:t xml:space="preserve">9,7 %</w:t>
            </w:r>
          </w:p>
        </w:tc>
      </w:tr>
      <w:tr>
        <w:tc>
          <w:tcPr/>
          <w:p>
            <w:pPr>
              <w:pStyle w:val="Compact"/>
              <w:jc w:val="left"/>
            </w:pPr>
            <w:r>
              <w:rPr>
                <w:lang w:val="fr-FR"/>
              </w:rPr>
              <w:t xml:space="preserve">Rural</w:t>
            </w:r>
          </w:p>
        </w:tc>
        <w:tc>
          <w:tcPr/>
          <w:p>
            <w:pPr>
              <w:pStyle w:val="Compact"/>
              <w:jc w:val="right"/>
            </w:pPr>
            <w:r>
              <w:rPr>
                <w:lang w:val="fr-FR"/>
              </w:rPr>
              <w:t xml:space="preserve">45,8 %</w:t>
            </w:r>
          </w:p>
        </w:tc>
        <w:tc>
          <w:tcPr/>
          <w:p>
            <w:pPr>
              <w:pStyle w:val="Compact"/>
              <w:jc w:val="right"/>
            </w:pPr>
            <w:r>
              <w:rPr>
                <w:lang w:val="fr-FR"/>
              </w:rPr>
              <w:t xml:space="preserve">71,1 %</w:t>
            </w:r>
          </w:p>
        </w:tc>
        <w:tc>
          <w:tcPr/>
          <w:p>
            <w:pPr>
              <w:pStyle w:val="Compact"/>
              <w:jc w:val="right"/>
            </w:pPr>
            <w:r>
              <w:rPr>
                <w:lang w:val="fr-FR"/>
              </w:rPr>
              <w:t xml:space="preserve">0,3075</w:t>
            </w:r>
          </w:p>
        </w:tc>
        <w:tc>
          <w:tcPr/>
          <w:p>
            <w:pPr>
              <w:pStyle w:val="Compact"/>
              <w:jc w:val="right"/>
            </w:pPr>
            <w:r>
              <w:rPr>
                <w:b/>
                <w:bCs/>
                <w:lang w:val="fr-FR"/>
              </w:rPr>
              <w:t xml:space="preserve">84,7 %</w:t>
            </w:r>
          </w:p>
        </w:tc>
      </w:tr>
    </w:tbl>
    <w:p>
      <w:pPr>
        <w:pStyle w:val="BodyText"/>
      </w:pPr>
      <w:r>
        <w:rPr>
          <w:lang w:val="fr-FR"/>
        </w:rPr>
        <w:t xml:space="preserve">Le rural et l’urbain pèsent le même poids démographique, et le rural porte quinze fois l’IPM de</w:t>
      </w:r>
      <w:r>
        <w:rPr>
          <w:lang w:val="fr-FR"/>
        </w:rPr>
        <w:t xml:space="preserve"> </w:t>
      </w:r>
      <w:r>
        <w:rPr>
          <w:lang w:val="fr-FR"/>
        </w:rPr>
        <w:t xml:space="preserve">l’urbain. À l’échelle des régions, l’écart va de 0,0069 (District autonome d’Abidjan) à 0,3654</w:t>
      </w:r>
      <w:r>
        <w:rPr>
          <w:lang w:val="fr-FR"/>
        </w:rPr>
        <w:t xml:space="preserve"> </w:t>
      </w:r>
      <w:r>
        <w:rPr>
          <w:lang w:val="fr-FR"/>
        </w:rPr>
        <w:t xml:space="preserve">(Bounkani), soit un rapport de</w:t>
      </w:r>
      <w:r>
        <w:rPr>
          <w:lang w:val="fr-FR"/>
        </w:rPr>
        <w:t xml:space="preserve"> </w:t>
      </w:r>
      <w:r>
        <w:rPr>
          <w:b/>
          <w:bCs/>
          <w:lang w:val="fr-FR"/>
        </w:rPr>
        <w:t xml:space="preserve">un à cinquante-trois</w:t>
      </w:r>
      <w:r>
        <w:rPr>
          <w:lang w:val="fr-FR"/>
        </w:rPr>
        <w:t xml:space="preserve">. À l’échelle des sous-préfectures, il</w:t>
      </w:r>
      <w:r>
        <w:rPr>
          <w:lang w:val="fr-FR"/>
        </w:rPr>
        <w:t xml:space="preserve"> </w:t>
      </w:r>
      <w:r>
        <w:rPr>
          <w:lang w:val="fr-FR"/>
        </w:rPr>
        <w:t xml:space="preserve">va de 0,0015 (Plateau) à 0,4752 (Santa de Ouaninou), où 92,6 % de la population est</w:t>
      </w:r>
      <w:r>
        <w:rPr>
          <w:lang w:val="fr-FR"/>
        </w:rPr>
        <w:t xml:space="preserve"> </w:t>
      </w:r>
      <w:r>
        <w:rPr>
          <w:lang w:val="fr-FR"/>
        </w:rPr>
        <w:t xml:space="preserve">multidimensionnellement pauvre.</w:t>
      </w:r>
    </w:p>
    <w:p>
      <w:pPr>
        <w:pStyle w:val="BlockText"/>
      </w:pPr>
      <w:r>
        <w:rPr>
          <w:b/>
          <w:bCs/>
          <w:lang w:val="fr-FR"/>
        </w:rPr>
        <w:t xml:space="preserve">Le semi-urbain, angle mort de l’enquête</w:t>
      </w:r>
    </w:p>
    <w:p>
      <w:pPr>
        <w:pStyle w:val="BlockText"/>
      </w:pPr>
      <w:r>
        <w:rPr>
          <w:lang w:val="fr-FR"/>
        </w:rPr>
        <w:t xml:space="preserve">Le recensement distingue trois milieux là où l’EHCVM n’en code que deux. Le semi-urbain concentre</w:t>
      </w:r>
      <w:r>
        <w:rPr>
          <w:lang w:val="fr-FR"/>
        </w:rPr>
        <w:t xml:space="preserve"> </w:t>
      </w:r>
      <w:r>
        <w:rPr>
          <w:lang w:val="fr-FR"/>
        </w:rPr>
        <w:t xml:space="preserve">la population</w:t>
      </w:r>
      <w:r>
        <w:rPr>
          <w:lang w:val="fr-FR"/>
        </w:rPr>
        <w:t xml:space="preserve"> </w:t>
      </w:r>
      <w:r>
        <w:rPr>
          <w:b/>
          <w:bCs/>
          <w:lang w:val="fr-FR"/>
        </w:rPr>
        <w:t xml:space="preserve">vulnérable</w:t>
      </w:r>
      <w:r>
        <w:rPr>
          <w:lang w:val="fr-FR"/>
        </w:rPr>
        <w:t xml:space="preserve"> </w:t>
      </w:r>
      <w:r>
        <w:rPr>
          <w:lang w:val="fr-FR"/>
        </w:rPr>
        <w:t xml:space="preserve">: 34,2 % de ses habitants ont un score de privation compris</w:t>
      </w:r>
      <w:r>
        <w:rPr>
          <w:lang w:val="fr-FR"/>
        </w:rPr>
        <w:t xml:space="preserve"> </w:t>
      </w:r>
      <w:r>
        <w:rPr>
          <w:lang w:val="fr-FR"/>
        </w:rPr>
        <w:t xml:space="preserve">entre 0,2 et le seuil de pauvreté, contre 17,7 % en urbain et 20,9 % en rural.</w:t>
      </w:r>
    </w:p>
    <w:p>
      <w:pPr>
        <w:pStyle w:val="BlockText"/>
      </w:pPr>
      <w:r>
        <w:rPr>
          <w:lang w:val="fr-FR"/>
        </w:rPr>
        <w:t xml:space="preserve">Ce sont précisément les « villes secondaires » que le Pilier 5 entend développer. L’enquête ne</w:t>
      </w:r>
      <w:r>
        <w:rPr>
          <w:lang w:val="fr-FR"/>
        </w:rPr>
        <w:t xml:space="preserve"> </w:t>
      </w:r>
      <w:r>
        <w:rPr>
          <w:lang w:val="fr-FR"/>
        </w:rPr>
        <w:t xml:space="preserve">permet pas de les isoler.</w:t>
      </w:r>
    </w:p>
    <w:bookmarkEnd w:id="15"/>
    <w:bookmarkStart w:id="16" w:name="le-ciblage-du-territoire-au-ménage"/>
    <w:p>
      <w:pPr>
        <w:pStyle w:val="Heading2"/>
      </w:pPr>
      <w:r>
        <w:rPr>
          <w:lang w:val="fr-FR"/>
        </w:rPr>
        <w:t xml:space="preserve">Le ciblage : du territoire au ménage</w:t>
      </w:r>
    </w:p>
    <w:p>
      <w:pPr>
        <w:pStyle w:val="FirstParagraph"/>
      </w:pPr>
      <w:r>
        <w:rPr>
          <w:lang w:val="fr-FR"/>
        </w:rPr>
        <w:t xml:space="preserve">Le PND fixe un objectif de</w:t>
      </w:r>
      <w:r>
        <w:rPr>
          <w:lang w:val="fr-FR"/>
        </w:rPr>
        <w:t xml:space="preserve"> </w:t>
      </w:r>
      <w:r>
        <w:rPr>
          <w:b/>
          <w:bCs/>
          <w:lang w:val="fr-FR"/>
        </w:rPr>
        <w:t xml:space="preserve">827 000 ménages</w:t>
      </w:r>
      <w:r>
        <w:rPr>
          <w:lang w:val="fr-FR"/>
        </w:rPr>
        <w:t xml:space="preserve"> </w:t>
      </w:r>
      <w:r>
        <w:rPr>
          <w:lang w:val="fr-FR"/>
        </w:rPr>
        <w:t xml:space="preserve">bénéficiaires de transferts monétaires et</w:t>
      </w:r>
      <w:r>
        <w:rPr>
          <w:lang w:val="fr-FR"/>
        </w:rPr>
        <w:t xml:space="preserve"> </w:t>
      </w:r>
      <w:r>
        <w:rPr>
          <w:lang w:val="fr-FR"/>
        </w:rPr>
        <w:t xml:space="preserve">prévoit un</w:t>
      </w:r>
      <w:r>
        <w:rPr>
          <w:lang w:val="fr-FR"/>
        </w:rPr>
        <w:t xml:space="preserve"> </w:t>
      </w:r>
      <w:r>
        <w:rPr>
          <w:b/>
          <w:bCs/>
          <w:lang w:val="fr-FR"/>
        </w:rPr>
        <w:t xml:space="preserve">registre social unifié</w:t>
      </w:r>
      <w:r>
        <w:rPr>
          <w:lang w:val="fr-FR"/>
        </w:rPr>
        <w:t xml:space="preserve">. Ces deux instruments demandent une base exhaustive.</w:t>
      </w:r>
    </w:p>
    <w:p>
      <w:pPr>
        <w:pStyle w:val="BodyText"/>
      </w:pPr>
      <w:r>
        <w:rPr>
          <w:lang w:val="fr-FR"/>
        </w:rPr>
        <w:t xml:space="preserve">L’IPM RGPH identifie</w:t>
      </w:r>
      <w:r>
        <w:rPr>
          <w:lang w:val="fr-FR"/>
        </w:rPr>
        <w:t xml:space="preserve"> </w:t>
      </w:r>
      <w:r>
        <w:rPr>
          <w:b/>
          <w:bCs/>
          <w:lang w:val="fr-FR"/>
        </w:rPr>
        <w:t xml:space="preserve">1 751 746 ménages multidimensionnellement pauvres</w:t>
      </w:r>
      <w:r>
        <w:rPr>
          <w:lang w:val="fr-FR"/>
        </w:rPr>
        <w:t xml:space="preserve">, chacun avec son</w:t>
      </w:r>
      <w:r>
        <w:rPr>
          <w:lang w:val="fr-FR"/>
        </w:rPr>
        <w:t xml:space="preserve"> </w:t>
      </w:r>
      <w:r>
        <w:rPr>
          <w:lang w:val="fr-FR"/>
        </w:rPr>
        <w:t xml:space="preserve">score, son identifiant et sa localisation. L’objectif de 827 000 ménages représente donc</w:t>
      </w:r>
      <w:r>
        <w:rPr>
          <w:lang w:val="fr-FR"/>
        </w:rPr>
        <w:t xml:space="preserve"> </w:t>
      </w:r>
      <w:r>
        <w:rPr>
          <w:b/>
          <w:bCs/>
          <w:lang w:val="fr-FR"/>
        </w:rPr>
        <w:t xml:space="preserve">47 % des ménages pauvres</w:t>
      </w:r>
      <w:r>
        <w:rPr>
          <w:lang w:val="fr-FR"/>
        </w:rPr>
        <w:t xml:space="preserve"> </w:t>
      </w:r>
      <w:r>
        <w:rPr>
          <w:lang w:val="fr-FR"/>
        </w:rPr>
        <w:t xml:space="preserve">: le problème n’est pas d’en trouver assez, mais de choisir</w:t>
      </w:r>
      <w:r>
        <w:rPr>
          <w:lang w:val="fr-FR"/>
        </w:rPr>
        <w:t xml:space="preserve"> </w:t>
      </w:r>
      <w:r>
        <w:rPr>
          <w:lang w:val="fr-FR"/>
        </w:rPr>
        <w:t xml:space="preserve">lesquels — ce qu’un score par ménage permet de faire par ordre de sévérité.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lang w:val="fr-FR"/>
              </w:rPr>
              <w:t xml:space="preserve">Statut</w:t>
            </w:r>
          </w:p>
        </w:tc>
        <w:tc>
          <w:tcPr/>
          <w:p>
            <w:pPr>
              <w:pStyle w:val="Compact"/>
              <w:jc w:val="right"/>
            </w:pPr>
            <w:r>
              <w:rPr>
                <w:b/>
                <w:bCs/>
                <w:lang w:val="fr-FR"/>
              </w:rPr>
              <w:t xml:space="preserve">Ménages</w:t>
            </w:r>
          </w:p>
        </w:tc>
      </w:tr>
      <w:tr>
        <w:tc>
          <w:tcPr/>
          <w:p>
            <w:pPr>
              <w:pStyle w:val="Compact"/>
              <w:jc w:val="left"/>
            </w:pPr>
            <w:r>
              <w:rPr>
                <w:lang w:val="fr-FR"/>
              </w:rPr>
              <w:t xml:space="preserve">Pauvreté sévère (</w:t>
            </w:r>
            <m:oMath>
              <m:sSub>
                <m:e>
                  <m:r>
                    <m:t>c</m:t>
                  </m:r>
                </m:e>
                <m:sub>
                  <m:r>
                    <m:t>i</m:t>
                  </m:r>
                </m:sub>
              </m:sSub>
              <m:r>
                <m:rPr>
                  <m:sty m:val="p"/>
                </m:rPr>
                <m:t>≥</m:t>
              </m:r>
              <m:r>
                <m:t>0</m:t>
              </m:r>
              <m:r>
                <m:rPr>
                  <m:sty m:val="p"/>
                </m:rPr>
                <m:t>,</m:t>
              </m:r>
              <m:r>
                <m:t>5</m:t>
              </m:r>
            </m:oMath>
            <w:r>
              <w:rPr>
                <w:lang w:val="fr-FR"/>
              </w:rPr>
              <w:t xml:space="preserve">)</w:t>
            </w:r>
          </w:p>
        </w:tc>
        <w:tc>
          <w:tcPr/>
          <w:p>
            <w:pPr>
              <w:pStyle w:val="Compact"/>
              <w:jc w:val="right"/>
            </w:pPr>
            <w:r>
              <w:rPr>
                <w:lang w:val="fr-FR"/>
              </w:rPr>
              <w:t xml:space="preserve">285 115</w:t>
            </w:r>
          </w:p>
        </w:tc>
      </w:tr>
      <w:tr>
        <w:tc>
          <w:tcPr/>
          <w:p>
            <w:pPr>
              <w:pStyle w:val="Compact"/>
              <w:jc w:val="left"/>
            </w:pPr>
            <w:r>
              <w:rPr>
                <w:lang w:val="fr-FR"/>
              </w:rPr>
              <w:t xml:space="preserve">Pauvres (</w:t>
            </w:r>
            <m:oMath>
              <m:sSub>
                <m:e>
                  <m:r>
                    <m:t>c</m:t>
                  </m:r>
                </m:e>
                <m:sub>
                  <m:r>
                    <m:t>i</m:t>
                  </m:r>
                </m:sub>
              </m:sSub>
              <m:r>
                <m:rPr>
                  <m:sty m:val="p"/>
                </m:rPr>
                <m:t>≥</m:t>
              </m:r>
              <m:r>
                <m:t>1</m:t>
              </m:r>
              <m:r>
                <m:rPr>
                  <m:sty m:val="p"/>
                </m:rPr>
                <m:t>/</m:t>
              </m:r>
              <m:r>
                <m:t>3</m:t>
              </m:r>
            </m:oMath>
            <w:r>
              <w:rPr>
                <w:lang w:val="fr-FR"/>
              </w:rPr>
              <w:t xml:space="preserve">)</w:t>
            </w:r>
          </w:p>
        </w:tc>
        <w:tc>
          <w:tcPr/>
          <w:p>
            <w:pPr>
              <w:pStyle w:val="Compact"/>
              <w:jc w:val="right"/>
            </w:pPr>
            <w:r>
              <w:rPr>
                <w:lang w:val="fr-FR"/>
              </w:rPr>
              <w:t xml:space="preserve">1 751 746</w:t>
            </w:r>
          </w:p>
        </w:tc>
      </w:tr>
      <w:tr>
        <w:tc>
          <w:tcPr/>
          <w:p>
            <w:pPr>
              <w:pStyle w:val="Compact"/>
              <w:jc w:val="left"/>
            </w:pPr>
            <w:r>
              <w:rPr>
                <w:lang w:val="fr-FR"/>
              </w:rPr>
              <w:t xml:space="preserve">Vulnérables (</w:t>
            </w:r>
            <m:oMath>
              <m:r>
                <m:t>0</m:t>
              </m:r>
              <m:r>
                <m:rPr>
                  <m:sty m:val="p"/>
                </m:rPr>
                <m:t>,</m:t>
              </m:r>
              <m:r>
                <m:t>2</m:t>
              </m:r>
              <m:r>
                <m:rPr>
                  <m:sty m:val="p"/>
                </m:rPr>
                <m:t>≤</m:t>
              </m:r>
              <m:sSub>
                <m:e>
                  <m:r>
                    <m:t>c</m:t>
                  </m:r>
                </m:e>
                <m:sub>
                  <m:r>
                    <m:t>i</m:t>
                  </m:r>
                </m:sub>
              </m:sSub>
              <m:r>
                <m:rPr>
                  <m:sty m:val="p"/>
                </m:rPr>
                <m:t>&lt;</m:t>
              </m:r>
              <m:r>
                <m:t>1</m:t>
              </m:r>
              <m:r>
                <m:rPr>
                  <m:sty m:val="p"/>
                </m:rPr>
                <m:t>/</m:t>
              </m:r>
              <m:r>
                <m:t>3</m:t>
              </m:r>
            </m:oMath>
            <w:r>
              <w:rPr>
                <w:lang w:val="fr-FR"/>
              </w:rPr>
              <w:t xml:space="preserve">)</w:t>
            </w:r>
          </w:p>
        </w:tc>
        <w:tc>
          <w:tcPr/>
          <w:p>
            <w:pPr>
              <w:pStyle w:val="Compact"/>
              <w:jc w:val="right"/>
            </w:pPr>
            <w:r>
              <w:rPr>
                <w:lang w:val="fr-FR"/>
              </w:rPr>
              <w:t xml:space="preserve">1 155 195</w:t>
            </w:r>
          </w:p>
        </w:tc>
      </w:tr>
    </w:tbl>
    <w:p>
      <w:pPr>
        <w:pStyle w:val="BodyText"/>
      </w:pPr>
      <w:r>
        <w:rPr>
          <w:lang w:val="fr-FR"/>
        </w:rPr>
        <w:t xml:space="preserve">Sur le plan géographique,</w:t>
      </w:r>
      <w:r>
        <w:rPr>
          <w:lang w:val="fr-FR"/>
        </w:rPr>
        <w:t xml:space="preserve"> </w:t>
      </w:r>
      <w:r>
        <w:rPr>
          <w:b/>
          <w:bCs/>
          <w:lang w:val="fr-FR"/>
        </w:rPr>
        <w:t xml:space="preserve">121 sous-préfectures concentrent la moitié</w:t>
      </w:r>
      <w:r>
        <w:rPr>
          <w:lang w:val="fr-FR"/>
        </w:rPr>
        <w:t xml:space="preserve"> </w:t>
      </w:r>
      <w:r>
        <w:rPr>
          <w:lang w:val="fr-FR"/>
        </w:rPr>
        <w:t xml:space="preserve">de la pauvreté</w:t>
      </w:r>
      <w:r>
        <w:rPr>
          <w:lang w:val="fr-FR"/>
        </w:rPr>
        <w:t xml:space="preserve"> </w:t>
      </w:r>
      <w:r>
        <w:rPr>
          <w:lang w:val="fr-FR"/>
        </w:rPr>
        <w:t xml:space="preserve">multidimensionnelle du pays, pour 41,5 % de sa population, et 277 en concentrent 80 %. Une</w:t>
      </w:r>
      <w:r>
        <w:rPr>
          <w:lang w:val="fr-FR"/>
        </w:rPr>
        <w:t xml:space="preserve"> </w:t>
      </w:r>
      <w:r>
        <w:rPr>
          <w:lang w:val="fr-FR"/>
        </w:rPr>
        <w:t xml:space="preserve">politique de ciblage géographique dispose là de sa liste de priorités.</w:t>
      </w:r>
    </w:p>
    <w:bookmarkEnd w:id="16"/>
    <w:bookmarkStart w:id="17" w:name="la-mortalité-seule-prise-sur-la-santé"/>
    <w:p>
      <w:pPr>
        <w:pStyle w:val="Heading2"/>
      </w:pPr>
      <w:r>
        <w:rPr>
          <w:lang w:val="fr-FR"/>
        </w:rPr>
        <w:t xml:space="preserve">La mortalité, seule prise sur la santé</w:t>
      </w:r>
    </w:p>
    <w:p>
      <w:pPr>
        <w:pStyle w:val="FirstParagraph"/>
      </w:pPr>
      <w:r>
        <w:rPr>
          <w:lang w:val="fr-FR"/>
        </w:rPr>
        <w:t xml:space="preserve">Le recensement ne pose aucune question de santé, mais il recense les décès survenus dans le ménage</w:t>
      </w:r>
      <w:r>
        <w:rPr>
          <w:lang w:val="fr-FR"/>
        </w:rPr>
        <w:t xml:space="preserve"> </w:t>
      </w:r>
      <w:r>
        <w:rPr>
          <w:lang w:val="fr-FR"/>
        </w:rPr>
        <w:t xml:space="preserve">au cours des douze mois précédents. L’IPM en tire son unique indicateur de santé : le décès d’un</w:t>
      </w:r>
      <w:r>
        <w:rPr>
          <w:lang w:val="fr-FR"/>
        </w:rPr>
        <w:t xml:space="preserve"> </w:t>
      </w:r>
      <w:r>
        <w:rPr>
          <w:lang w:val="fr-FR"/>
        </w:rPr>
        <w:t xml:space="preserve">enfant de moins de 18 ans, qui touche</w:t>
      </w:r>
      <w:r>
        <w:rPr>
          <w:lang w:val="fr-FR"/>
        </w:rPr>
        <w:t xml:space="preserve"> </w:t>
      </w:r>
      <w:r>
        <w:rPr>
          <w:b/>
          <w:bCs/>
          <w:lang w:val="fr-FR"/>
        </w:rPr>
        <w:t xml:space="preserve">1,1 %</w:t>
      </w:r>
      <w:r>
        <w:rPr>
          <w:lang w:val="fr-FR"/>
        </w:rPr>
        <w:t xml:space="preserve"> </w:t>
      </w:r>
      <w:r>
        <w:rPr>
          <w:lang w:val="fr-FR"/>
        </w:rPr>
        <w:t xml:space="preserve">des ménages.</w:t>
      </w:r>
    </w:p>
    <w:p>
      <w:pPr>
        <w:pStyle w:val="BodyText"/>
      </w:pPr>
      <w:r>
        <w:rPr>
          <w:lang w:val="fr-FR"/>
        </w:rPr>
        <w:t xml:space="preserve">C’est la seule prise, même indirecte, sur la cible « espérance de vie de 62,3 à 65 ans ».</w:t>
      </w:r>
    </w:p>
    <w:bookmarkEnd w:id="17"/>
    <w:bookmarkEnd w:id="18"/>
    <w:bookmarkStart w:id="23" w:name="X097913a2dd0ddb2328aa7dcebd95ce838522fad"/>
    <w:p>
      <w:pPr>
        <w:pStyle w:val="Heading1"/>
      </w:pPr>
      <w:r>
        <w:rPr>
          <w:lang w:val="fr-FR"/>
        </w:rPr>
        <w:t xml:space="preserve">Ce que l’IPM RGPH ne peut pas faire pour le PND</w:t>
      </w:r>
    </w:p>
    <w:bookmarkStart w:id="19" w:name="X343e61f72511570418b8815700b92cc4c63dd2a"/>
    <w:p>
      <w:pPr>
        <w:pStyle w:val="Heading2"/>
      </w:pPr>
      <w:r>
        <w:rPr>
          <w:lang w:val="fr-FR"/>
        </w:rPr>
        <w:t xml:space="preserve">La dimension Santé du Pilier 4 lui échappe entièrement</w:t>
      </w:r>
    </w:p>
    <w:p>
      <w:pPr>
        <w:pStyle w:val="BlockText"/>
      </w:pPr>
      <w:r>
        <w:rPr>
          <w:b/>
          <w:bCs/>
          <w:lang w:val="fr-FR"/>
        </w:rPr>
        <w:t xml:space="preserve">Attention — Quatre cibles chiffrées sans aucune prise</w:t>
      </w:r>
    </w:p>
    <w:p>
      <w:pPr>
        <w:pStyle w:val="BlockText"/>
      </w:pPr>
      <w:r>
        <w:rPr>
          <w:lang w:val="fr-FR"/>
        </w:rPr>
        <w:t xml:space="preserve">Le recensement ne permet de mesurer</w:t>
      </w:r>
      <w:r>
        <w:rPr>
          <w:lang w:val="fr-FR"/>
        </w:rPr>
        <w:t xml:space="preserve"> </w:t>
      </w:r>
      <w:r>
        <w:rPr>
          <w:b/>
          <w:bCs/>
          <w:lang w:val="fr-FR"/>
        </w:rPr>
        <w:t xml:space="preserve">aucune</w:t>
      </w:r>
      <w:r>
        <w:rPr>
          <w:lang w:val="fr-FR"/>
        </w:rPr>
        <w:t xml:space="preserve"> </w:t>
      </w:r>
      <w:r>
        <w:rPr>
          <w:lang w:val="fr-FR"/>
        </w:rPr>
        <w:t xml:space="preserve">des quatre cibles santé et nutrition du</w:t>
      </w:r>
      <w:r>
        <w:rPr>
          <w:lang w:val="fr-FR"/>
        </w:rPr>
        <w:t xml:space="preserve"> </w:t>
      </w:r>
      <w:r>
        <w:rPr>
          <w:lang w:val="fr-FR"/>
        </w:rPr>
        <w:t xml:space="preserve">Pilier 4 : les 30 millions d’enrôlés à la CMU, la couverture par la protection sociale portée à</w:t>
      </w:r>
      <w:r>
        <w:rPr>
          <w:lang w:val="fr-FR"/>
        </w:rPr>
        <w:t xml:space="preserve"> </w:t>
      </w:r>
      <w:r>
        <w:rPr>
          <w:lang w:val="fr-FR"/>
        </w:rPr>
        <w:t xml:space="preserve">50 %, la population à moins de 5 km d’un établissement de santé portée à 100 %, et la prévalence</w:t>
      </w:r>
      <w:r>
        <w:rPr>
          <w:lang w:val="fr-FR"/>
        </w:rPr>
        <w:t xml:space="preserve"> </w:t>
      </w:r>
      <w:r>
        <w:rPr>
          <w:lang w:val="fr-FR"/>
        </w:rPr>
        <w:t xml:space="preserve">du retard de croissance ramenée à 18 %.</w:t>
      </w:r>
    </w:p>
    <w:p>
      <w:pPr>
        <w:pStyle w:val="BlockText"/>
      </w:pPr>
      <w:r>
        <w:rPr>
          <w:lang w:val="fr-FR"/>
        </w:rPr>
        <w:t xml:space="preserve">Ce n’est pas une lacune de l’indice, c’est une propriété du questionnaire : un recensement</w:t>
      </w:r>
      <w:r>
        <w:rPr>
          <w:lang w:val="fr-FR"/>
        </w:rPr>
        <w:t xml:space="preserve"> </w:t>
      </w:r>
      <w:r>
        <w:rPr>
          <w:lang w:val="fr-FR"/>
        </w:rPr>
        <w:t xml:space="preserve">administré à trente millions de personnes ne peut pas porter de module de santé.</w:t>
      </w:r>
    </w:p>
    <w:p>
      <w:pPr>
        <w:pStyle w:val="FirstParagraph"/>
      </w:pPr>
      <w:r>
        <w:rPr>
          <w:lang w:val="fr-FR"/>
        </w:rPr>
        <w:t xml:space="preserve">La conséquence se lit dans la décomposition de l’indice. La dimension Santé, réduite à la seule</w:t>
      </w:r>
      <w:r>
        <w:rPr>
          <w:lang w:val="fr-FR"/>
        </w:rPr>
        <w:t xml:space="preserve"> </w:t>
      </w:r>
      <w:r>
        <w:rPr>
          <w:lang w:val="fr-FR"/>
        </w:rPr>
        <w:t xml:space="preserve">mortalité, porte un quart du poids nominal et ne contribue qu’à</w:t>
      </w:r>
      <w:r>
        <w:rPr>
          <w:lang w:val="fr-FR"/>
        </w:rPr>
        <w:t xml:space="preserve"> </w:t>
      </w:r>
      <w:r>
        <w:rPr>
          <w:b/>
          <w:bCs/>
          <w:lang w:val="fr-FR"/>
        </w:rPr>
        <w:t xml:space="preserve">1,6 %</w:t>
      </w:r>
      <w:r>
        <w:rPr>
          <w:lang w:val="fr-FR"/>
        </w:rPr>
        <w:t xml:space="preserve"> </w:t>
      </w:r>
      <w:r>
        <w:rPr>
          <w:lang w:val="fr-FR"/>
        </w:rPr>
        <w:t xml:space="preserve">de</w:t>
      </w:r>
      <w:r>
        <w:rPr>
          <w:lang w:val="fr-FR"/>
        </w:rPr>
        <w:t xml:space="preserve"> </w:t>
      </w:r>
      <m:oMath>
        <m:sSub>
          <m:e>
            <m:r>
              <m:t>M</m:t>
            </m:r>
          </m:e>
          <m:sub>
            <m:r>
              <m:t>0</m:t>
            </m:r>
          </m:sub>
        </m:sSub>
      </m:oMath>
      <w:r>
        <w:rPr>
          <w:lang w:val="fr-FR"/>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b/>
                <w:bCs/>
                <w:lang w:val="fr-FR"/>
              </w:rPr>
              <w:t xml:space="preserve">Dimension</w:t>
            </w:r>
          </w:p>
        </w:tc>
        <w:tc>
          <w:tcPr/>
          <w:p>
            <w:pPr>
              <w:pStyle w:val="Compact"/>
              <w:jc w:val="right"/>
            </w:pPr>
            <w:r>
              <w:rPr>
                <w:b/>
                <w:bCs/>
                <w:lang w:val="fr-FR"/>
              </w:rPr>
              <w:t xml:space="preserve">Poids nominal</w:t>
            </w:r>
          </w:p>
        </w:tc>
        <w:tc>
          <w:tcPr/>
          <w:p>
            <w:pPr>
              <w:pStyle w:val="Compact"/>
              <w:jc w:val="right"/>
            </w:pPr>
            <w:r>
              <w:rPr>
                <w:b/>
                <w:bCs/>
                <w:lang w:val="fr-FR"/>
              </w:rPr>
              <w:t xml:space="preserve">Contribution à</w:t>
            </w:r>
            <w:r>
              <w:rPr>
                <w:b/>
                <w:bCs/>
                <w:lang w:val="fr-FR"/>
              </w:rPr>
              <w:t xml:space="preserve"> </w:t>
            </w:r>
            <m:oMath>
              <m:sSub>
                <m:e>
                  <m:r>
                    <m:t>M</m:t>
                  </m:r>
                </m:e>
                <m:sub>
                  <m:r>
                    <m:t>0</m:t>
                  </m:r>
                </m:sub>
              </m:sSub>
            </m:oMath>
          </w:p>
        </w:tc>
      </w:tr>
      <w:tr>
        <w:tc>
          <w:tcPr/>
          <w:p>
            <w:pPr>
              <w:pStyle w:val="Compact"/>
              <w:jc w:val="left"/>
            </w:pPr>
            <w:r>
              <w:rPr>
                <w:lang w:val="fr-FR"/>
              </w:rPr>
              <w:t xml:space="preserve">Éducation</w:t>
            </w:r>
          </w:p>
        </w:tc>
        <w:tc>
          <w:tcPr/>
          <w:p>
            <w:pPr>
              <w:pStyle w:val="Compact"/>
              <w:jc w:val="right"/>
            </w:pPr>
            <w:r>
              <w:rPr>
                <w:lang w:val="fr-FR"/>
              </w:rPr>
              <w:t xml:space="preserve">25 %</w:t>
            </w:r>
          </w:p>
        </w:tc>
        <w:tc>
          <w:tcPr/>
          <w:p>
            <w:pPr>
              <w:pStyle w:val="Compact"/>
              <w:jc w:val="right"/>
            </w:pPr>
            <w:r>
              <w:rPr>
                <w:lang w:val="fr-FR"/>
              </w:rPr>
              <w:t xml:space="preserve">40,6 %</w:t>
            </w:r>
          </w:p>
        </w:tc>
      </w:tr>
      <w:tr>
        <w:tc>
          <w:tcPr/>
          <w:p>
            <w:pPr>
              <w:pStyle w:val="Compact"/>
              <w:jc w:val="left"/>
            </w:pPr>
            <w:r>
              <w:rPr>
                <w:lang w:val="fr-FR"/>
              </w:rPr>
              <w:t xml:space="preserve">Conditions de vie</w:t>
            </w:r>
          </w:p>
        </w:tc>
        <w:tc>
          <w:tcPr/>
          <w:p>
            <w:pPr>
              <w:pStyle w:val="Compact"/>
              <w:jc w:val="right"/>
            </w:pPr>
            <w:r>
              <w:rPr>
                <w:lang w:val="fr-FR"/>
              </w:rPr>
              <w:t xml:space="preserve">25 %</w:t>
            </w:r>
          </w:p>
        </w:tc>
        <w:tc>
          <w:tcPr/>
          <w:p>
            <w:pPr>
              <w:pStyle w:val="Compact"/>
              <w:jc w:val="right"/>
            </w:pPr>
            <w:r>
              <w:rPr>
                <w:lang w:val="fr-FR"/>
              </w:rPr>
              <w:t xml:space="preserve">29,2 %</w:t>
            </w:r>
          </w:p>
        </w:tc>
      </w:tr>
      <w:tr>
        <w:tc>
          <w:tcPr/>
          <w:p>
            <w:pPr>
              <w:pStyle w:val="Compact"/>
              <w:jc w:val="left"/>
            </w:pPr>
            <w:r>
              <w:rPr>
                <w:lang w:val="fr-FR"/>
              </w:rPr>
              <w:t xml:space="preserve">Emploi</w:t>
            </w:r>
          </w:p>
        </w:tc>
        <w:tc>
          <w:tcPr/>
          <w:p>
            <w:pPr>
              <w:pStyle w:val="Compact"/>
              <w:jc w:val="right"/>
            </w:pPr>
            <w:r>
              <w:rPr>
                <w:lang w:val="fr-FR"/>
              </w:rPr>
              <w:t xml:space="preserve">25 %</w:t>
            </w:r>
          </w:p>
        </w:tc>
        <w:tc>
          <w:tcPr/>
          <w:p>
            <w:pPr>
              <w:pStyle w:val="Compact"/>
              <w:jc w:val="right"/>
            </w:pPr>
            <w:r>
              <w:rPr>
                <w:lang w:val="fr-FR"/>
              </w:rPr>
              <w:t xml:space="preserve">28,6 %</w:t>
            </w:r>
          </w:p>
        </w:tc>
      </w:tr>
      <w:tr>
        <w:tc>
          <w:tcPr/>
          <w:p>
            <w:pPr>
              <w:pStyle w:val="Compact"/>
              <w:jc w:val="left"/>
            </w:pPr>
            <w:r>
              <w:rPr>
                <w:lang w:val="fr-FR"/>
              </w:rPr>
              <w:t xml:space="preserve">Santé</w:t>
            </w:r>
          </w:p>
        </w:tc>
        <w:tc>
          <w:tcPr/>
          <w:p>
            <w:pPr>
              <w:pStyle w:val="Compact"/>
              <w:jc w:val="right"/>
            </w:pPr>
            <w:r>
              <w:rPr>
                <w:lang w:val="fr-FR"/>
              </w:rPr>
              <w:t xml:space="preserve">25 %</w:t>
            </w:r>
          </w:p>
        </w:tc>
        <w:tc>
          <w:tcPr/>
          <w:p>
            <w:pPr>
              <w:pStyle w:val="Compact"/>
              <w:jc w:val="right"/>
            </w:pPr>
            <w:r>
              <w:rPr>
                <w:b/>
                <w:bCs/>
                <w:lang w:val="fr-FR"/>
              </w:rPr>
              <w:t xml:space="preserve">1,6 %</w:t>
            </w:r>
          </w:p>
        </w:tc>
      </w:tr>
    </w:tbl>
    <w:bookmarkEnd w:id="19"/>
    <w:bookmarkStart w:id="20" w:name="le-suivi-dans-le-temps"/>
    <w:p>
      <w:pPr>
        <w:pStyle w:val="Heading2"/>
      </w:pPr>
      <w:r>
        <w:rPr>
          <w:lang w:val="fr-FR"/>
        </w:rPr>
        <w:t xml:space="preserve">Le suivi dans le temps</w:t>
      </w:r>
    </w:p>
    <w:p>
      <w:pPr>
        <w:pStyle w:val="BlockText"/>
      </w:pPr>
      <w:r>
        <w:rPr>
          <w:b/>
          <w:bCs/>
          <w:lang w:val="fr-FR"/>
        </w:rPr>
        <w:t xml:space="preserve">Attention — Une photographie, pas un film</w:t>
      </w:r>
    </w:p>
    <w:p>
      <w:pPr>
        <w:pStyle w:val="BlockText"/>
      </w:pPr>
      <w:r>
        <w:rPr>
          <w:lang w:val="fr-FR"/>
        </w:rPr>
        <w:t xml:space="preserve">Le RGPH est décennal. Le prochain n’interviendra pas avant la fin du PND 2026-2030. L’IPM RGPH</w:t>
      </w:r>
      <w:r>
        <w:rPr>
          <w:lang w:val="fr-FR"/>
        </w:rPr>
        <w:t xml:space="preserve"> </w:t>
      </w:r>
      <w:r>
        <w:rPr>
          <w:lang w:val="fr-FR"/>
        </w:rPr>
        <w:t xml:space="preserve">fournit donc une</w:t>
      </w:r>
      <w:r>
        <w:rPr>
          <w:lang w:val="fr-FR"/>
        </w:rPr>
        <w:t xml:space="preserve"> </w:t>
      </w:r>
      <w:r>
        <w:rPr>
          <w:b/>
          <w:bCs/>
          <w:lang w:val="fr-FR"/>
        </w:rPr>
        <w:t xml:space="preserve">valeur de départ</w:t>
      </w:r>
      <w:r>
        <w:rPr>
          <w:lang w:val="fr-FR"/>
        </w:rPr>
        <w:t xml:space="preserve"> </w:t>
      </w:r>
      <w:r>
        <w:rPr>
          <w:lang w:val="fr-FR"/>
        </w:rPr>
        <w:t xml:space="preserve">très solide et très détaillée, mais ne pourra pas dire,</w:t>
      </w:r>
      <w:r>
        <w:rPr>
          <w:lang w:val="fr-FR"/>
        </w:rPr>
        <w:t xml:space="preserve"> </w:t>
      </w:r>
      <w:r>
        <w:rPr>
          <w:lang w:val="fr-FR"/>
        </w:rPr>
        <w:t xml:space="preserve">à mi-parcours ni en 2030, si les cibles ont été atteintes.</w:t>
      </w:r>
    </w:p>
    <w:p>
      <w:pPr>
        <w:pStyle w:val="BlockText"/>
      </w:pPr>
      <w:r>
        <w:rPr>
          <w:lang w:val="fr-FR"/>
        </w:rPr>
        <w:t xml:space="preserve">Le PND prévoit un cadre de gouvernance chargé d’apprécier les progrès : le recensement ne peut pas</w:t>
      </w:r>
      <w:r>
        <w:rPr>
          <w:lang w:val="fr-FR"/>
        </w:rPr>
        <w:t xml:space="preserve"> </w:t>
      </w:r>
      <w:r>
        <w:rPr>
          <w:lang w:val="fr-FR"/>
        </w:rPr>
        <w:t xml:space="preserve">l’alimenter en évolution.</w:t>
      </w:r>
    </w:p>
    <w:bookmarkEnd w:id="20"/>
    <w:bookmarkStart w:id="21" w:name="trois-autres-manques"/>
    <w:p>
      <w:pPr>
        <w:pStyle w:val="Heading2"/>
      </w:pPr>
      <w:r>
        <w:rPr>
          <w:lang w:val="fr-FR"/>
        </w:rPr>
        <w:t xml:space="preserve">Trois autres manques</w:t>
      </w:r>
    </w:p>
    <w:p>
      <w:pPr>
        <w:pStyle w:val="DefinitionTerm"/>
      </w:pPr>
      <w:r>
        <w:rPr>
          <w:lang w:val="fr-FR"/>
        </w:rPr>
        <w:t xml:space="preserve">Le genre.</w:t>
      </w:r>
    </w:p>
    <w:p>
      <w:pPr>
        <w:pStyle w:val="Definition"/>
      </w:pPr>
      <w:r>
        <w:rPr>
          <w:lang w:val="fr-FR"/>
        </w:rPr>
        <w:t xml:space="preserve">Le sexe du chef de ménage n’est pas dans l’extrait transmis. La cible « indice</w:t>
      </w:r>
      <w:r>
        <w:rPr>
          <w:lang w:val="fr-FR"/>
        </w:rPr>
        <w:t xml:space="preserve"> </w:t>
      </w:r>
      <w:r>
        <w:rPr>
          <w:lang w:val="fr-FR"/>
        </w:rPr>
        <w:t xml:space="preserve">de l’écart genre 0,655</w:t>
      </w:r>
      <w:r>
        <w:rPr>
          <w:lang w:val="fr-FR"/>
        </w:rPr>
        <w:t xml:space="preserve"> </w:t>
      </w:r>
      <m:oMath>
        <m:r>
          <m:rPr>
            <m:sty m:val="p"/>
          </m:rPr>
          <m:t>→</m:t>
        </m:r>
      </m:oMath>
      <w:r>
        <w:rPr>
          <w:lang w:val="fr-FR"/>
        </w:rPr>
        <w:t xml:space="preserve"> </w:t>
      </w:r>
      <w:r>
        <w:rPr>
          <w:lang w:val="fr-FR"/>
        </w:rPr>
        <w:t xml:space="preserve">0,7 » ne peut pas être éclairée par cet indice.</w:t>
      </w:r>
    </w:p>
    <w:p>
      <w:pPr>
        <w:pStyle w:val="DefinitionTerm"/>
      </w:pPr>
      <w:r>
        <w:rPr>
          <w:lang w:val="fr-FR"/>
        </w:rPr>
        <w:t xml:space="preserve">La pauvreté monétaire.</w:t>
      </w:r>
    </w:p>
    <w:p>
      <w:pPr>
        <w:pStyle w:val="Definition"/>
      </w:pPr>
      <w:r>
        <w:rPr>
          <w:lang w:val="fr-FR"/>
        </w:rPr>
        <w:t xml:space="preserve">Le recensement n’a pas de module de consommation. L’objectif</w:t>
      </w:r>
      <w:r>
        <w:rPr>
          <w:lang w:val="fr-FR"/>
        </w:rPr>
        <w:t xml:space="preserve"> </w:t>
      </w:r>
      <w:r>
        <w:rPr>
          <w:lang w:val="fr-FR"/>
        </w:rPr>
        <w:t xml:space="preserve">« baisser significativement le taux de pauvreté », que le PND documente sur la série monétaire,</w:t>
      </w:r>
      <w:r>
        <w:rPr>
          <w:lang w:val="fr-FR"/>
        </w:rPr>
        <w:t xml:space="preserve"> </w:t>
      </w:r>
      <w:r>
        <w:rPr>
          <w:lang w:val="fr-FR"/>
        </w:rPr>
        <w:t xml:space="preserve">ne peut pas être croisé avec la pauvreté multidimensionnelle dans cette source.</w:t>
      </w:r>
    </w:p>
    <w:p>
      <w:pPr>
        <w:pStyle w:val="DefinitionTerm"/>
      </w:pPr>
      <w:r>
        <w:rPr>
          <w:lang w:val="fr-FR"/>
        </w:rPr>
        <w:t xml:space="preserve">La promiscuité.</w:t>
      </w:r>
    </w:p>
    <w:p>
      <w:pPr>
        <w:pStyle w:val="Definition"/>
      </w:pPr>
      <w:r>
        <w:rPr>
          <w:lang w:val="fr-FR"/>
        </w:rPr>
        <w:t xml:space="preserve">Le nombre de pièces du logement n’est pas collecté, alors que le</w:t>
      </w:r>
      <w:r>
        <w:rPr>
          <w:lang w:val="fr-FR"/>
        </w:rPr>
        <w:t xml:space="preserve"> </w:t>
      </w:r>
      <w:r>
        <w:rPr>
          <w:lang w:val="fr-FR"/>
        </w:rPr>
        <w:t xml:space="preserve">développement urbain et l’accès à un logement décent figurent parmi les dix défis du diagnostic</w:t>
      </w:r>
      <w:r>
        <w:rPr>
          <w:lang w:val="fr-FR"/>
        </w:rPr>
        <w:t xml:space="preserve"> </w:t>
      </w:r>
      <w:r>
        <w:rPr>
          <w:lang w:val="fr-FR"/>
        </w:rPr>
        <w:t xml:space="preserve">stratégique du PND.</w:t>
      </w:r>
    </w:p>
    <w:bookmarkEnd w:id="21"/>
    <w:bookmarkStart w:id="22" w:name="deux-approximations-à-signaler"/>
    <w:p>
      <w:pPr>
        <w:pStyle w:val="Heading2"/>
      </w:pPr>
      <w:r>
        <w:rPr>
          <w:lang w:val="fr-FR"/>
        </w:rPr>
        <w:t xml:space="preserve">Deux approximations à signaler</w:t>
      </w:r>
    </w:p>
    <w:p>
      <w:pPr>
        <w:pStyle w:val="FirstParagraph"/>
      </w:pPr>
      <w:r>
        <w:rPr>
          <w:lang w:val="fr-FR"/>
        </w:rPr>
        <w:t xml:space="preserve">Deux indicateurs reposent sur une substitution qu’il faut mentionner si le chiffre est publié dans</w:t>
      </w:r>
      <w:r>
        <w:rPr>
          <w:lang w:val="fr-FR"/>
        </w:rPr>
        <w:t xml:space="preserve"> </w:t>
      </w:r>
      <w:r>
        <w:rPr>
          <w:lang w:val="fr-FR"/>
        </w:rPr>
        <w:t xml:space="preserve">un document du PND.</w:t>
      </w:r>
    </w:p>
    <w:p>
      <w:pPr>
        <w:pStyle w:val="DefinitionTerm"/>
      </w:pPr>
      <w:r>
        <w:rPr>
          <w:lang w:val="fr-FR"/>
        </w:rPr>
        <w:t xml:space="preserve">L’année de scolarité</w:t>
      </w:r>
    </w:p>
    <w:p>
      <w:pPr>
        <w:pStyle w:val="Definition"/>
      </w:pPr>
      <w:r>
        <w:rPr>
          <w:lang w:val="fr-FR"/>
        </w:rPr>
        <w:t xml:space="preserve">est mesurée par le</w:t>
      </w:r>
      <w:r>
        <w:rPr>
          <w:lang w:val="fr-FR"/>
        </w:rPr>
        <w:t xml:space="preserve"> </w:t>
      </w:r>
      <w:r>
        <w:rPr>
          <w:i/>
          <w:iCs/>
          <w:lang w:val="fr-FR"/>
        </w:rPr>
        <w:t xml:space="preserve">diplôme</w:t>
      </w:r>
      <w:r>
        <w:rPr>
          <w:lang w:val="fr-FR"/>
        </w:rPr>
        <w:t xml:space="preserve"> </w:t>
      </w:r>
      <w:r>
        <w:rPr>
          <w:lang w:val="fr-FR"/>
        </w:rPr>
        <w:t xml:space="preserve">le plus élevé — le BEPC ou plus</w:t>
      </w:r>
      <w:r>
        <w:rPr>
          <w:lang w:val="fr-FR"/>
        </w:rPr>
        <w:t xml:space="preserve"> </w:t>
      </w:r>
      <w:r>
        <w:rPr>
          <w:lang w:val="fr-FR"/>
        </w:rPr>
        <w:t xml:space="preserve">vaut dix années accomplies — faute de question sur les années d’études ou la classe atteinte.</w:t>
      </w:r>
      <w:r>
        <w:rPr>
          <w:lang w:val="fr-FR"/>
        </w:rPr>
        <w:t xml:space="preserve"> </w:t>
      </w:r>
      <w:r>
        <w:rPr>
          <w:lang w:val="fr-FR"/>
        </w:rPr>
        <w:t xml:space="preserve">L’approximation est bonne au niveau national (63,2 % contre 62,9 % à l’enquête), moins bonne</w:t>
      </w:r>
      <w:r>
        <w:rPr>
          <w:lang w:val="fr-FR"/>
        </w:rPr>
        <w:t xml:space="preserve"> </w:t>
      </w:r>
      <w:r>
        <w:rPr>
          <w:lang w:val="fr-FR"/>
        </w:rPr>
        <w:t xml:space="preserve">individuellement.</w:t>
      </w:r>
    </w:p>
    <w:p>
      <w:pPr>
        <w:pStyle w:val="DefinitionTerm"/>
      </w:pPr>
      <w:r>
        <w:rPr>
          <w:lang w:val="fr-FR"/>
        </w:rPr>
        <w:t xml:space="preserve">L’emploi agricole de subsistance</w:t>
      </w:r>
    </w:p>
    <w:p>
      <w:pPr>
        <w:pStyle w:val="Definition"/>
      </w:pPr>
      <w:r>
        <w:rPr>
          <w:lang w:val="fr-FR"/>
        </w:rPr>
        <w:t xml:space="preserve">retient le chef de ménage occupé dans une branche</w:t>
      </w:r>
      <w:r>
        <w:rPr>
          <w:lang w:val="fr-FR"/>
        </w:rPr>
        <w:t xml:space="preserve"> </w:t>
      </w:r>
      <w:r>
        <w:rPr>
          <w:lang w:val="fr-FR"/>
        </w:rPr>
        <w:t xml:space="preserve">agricole, à son compte ou comme aide familial, faute de question sur « son propre champ ».</w:t>
      </w:r>
      <w:r>
        <w:rPr>
          <w:lang w:val="fr-FR"/>
        </w:rPr>
        <w:t xml:space="preserve"> </w:t>
      </w:r>
      <w:r>
        <w:rPr>
          <w:lang w:val="fr-FR"/>
        </w:rPr>
        <w:t xml:space="preserve">C’est le</w:t>
      </w:r>
      <w:r>
        <w:rPr>
          <w:lang w:val="fr-FR"/>
        </w:rPr>
        <w:t xml:space="preserve"> </w:t>
      </w:r>
      <w:r>
        <w:rPr>
          <w:b/>
          <w:bCs/>
          <w:lang w:val="fr-FR"/>
        </w:rPr>
        <w:t xml:space="preserve">premier contributeur à l’indice</w:t>
      </w:r>
      <w:r>
        <w:rPr>
          <w:lang w:val="fr-FR"/>
        </w:rPr>
        <w:t xml:space="preserve"> </w:t>
      </w:r>
      <w:r>
        <w:rPr>
          <w:lang w:val="fr-FR"/>
        </w:rPr>
        <w:t xml:space="preserve">(26,8 %) : l’approximation pèse lourd.</w:t>
      </w:r>
    </w:p>
    <w:bookmarkEnd w:id="22"/>
    <w:bookmarkEnd w:id="23"/>
    <w:bookmarkStart w:id="24" w:name="lusage-auquel-lipm-rgph-se-prête"/>
    <w:p>
      <w:pPr>
        <w:pStyle w:val="Heading1"/>
      </w:pPr>
      <w:r>
        <w:rPr>
          <w:lang w:val="fr-FR"/>
        </w:rPr>
        <w:t xml:space="preserve">L’usage auquel l’IPM RGPH se prête</w:t>
      </w:r>
    </w:p>
    <w:p>
      <w:pPr>
        <w:pStyle w:val="BlockText"/>
      </w:pPr>
      <w:r>
        <w:rPr>
          <w:b/>
          <w:bCs/>
          <w:lang w:val="fr-FR"/>
        </w:rPr>
        <w:t xml:space="preserve">Trois emplois immédiats</w:t>
      </w:r>
    </w:p>
    <w:p>
      <w:pPr>
        <w:pStyle w:val="BlockText"/>
        <w:numPr>
          <w:ilvl w:val="0"/>
          <w:numId w:val="1002"/>
        </w:numPr>
      </w:pPr>
      <w:r>
        <w:rPr>
          <w:b/>
          <w:bCs/>
          <w:lang w:val="fr-FR"/>
        </w:rPr>
        <w:t xml:space="preserve">La carte de référence du Pilier 5.</w:t>
      </w:r>
      <w:r>
        <w:rPr>
          <w:lang w:val="fr-FR"/>
        </w:rPr>
        <w:t xml:space="preserve"> </w:t>
      </w:r>
      <w:r>
        <w:rPr>
          <w:lang w:val="fr-FR"/>
        </w:rPr>
        <w:t xml:space="preserve">Un IPM publiable pour 111 départements et 500</w:t>
      </w:r>
      <w:r>
        <w:rPr>
          <w:lang w:val="fr-FR"/>
        </w:rPr>
        <w:t xml:space="preserve"> </w:t>
      </w:r>
      <w:r>
        <w:rPr>
          <w:lang w:val="fr-FR"/>
        </w:rPr>
        <w:t xml:space="preserve">sous-préfectures, qui donne à la « planification spatiale des investissements » sa base</w:t>
      </w:r>
      <w:r>
        <w:rPr>
          <w:lang w:val="fr-FR"/>
        </w:rPr>
        <w:t xml:space="preserve"> </w:t>
      </w:r>
      <w:r>
        <w:rPr>
          <w:lang w:val="fr-FR"/>
        </w:rPr>
        <w:t xml:space="preserve">statistique.</w:t>
      </w:r>
    </w:p>
    <w:p>
      <w:pPr>
        <w:pStyle w:val="BlockText"/>
        <w:numPr>
          <w:ilvl w:val="0"/>
          <w:numId w:val="1002"/>
        </w:numPr>
      </w:pPr>
      <w:r>
        <w:rPr>
          <w:b/>
          <w:bCs/>
          <w:lang w:val="fr-FR"/>
        </w:rPr>
        <w:t xml:space="preserve">Le socle du registre social unifié du Pilier 6.</w:t>
      </w:r>
      <w:r>
        <w:rPr>
          <w:lang w:val="fr-FR"/>
        </w:rPr>
        <w:t xml:space="preserve"> </w:t>
      </w:r>
      <w:r>
        <w:rPr>
          <w:lang w:val="fr-FR"/>
        </w:rPr>
        <w:t xml:space="preserve">5,6 millions de ménages, chacun</w:t>
      </w:r>
      <w:r>
        <w:rPr>
          <w:lang w:val="fr-FR"/>
        </w:rPr>
        <w:t xml:space="preserve"> </w:t>
      </w:r>
      <w:r>
        <w:rPr>
          <w:lang w:val="fr-FR"/>
        </w:rPr>
        <w:t xml:space="preserve">avec un score de privation, un identifiant et une localisation — dont 1,75 million de</w:t>
      </w:r>
      <w:r>
        <w:rPr>
          <w:lang w:val="fr-FR"/>
        </w:rPr>
        <w:t xml:space="preserve"> </w:t>
      </w:r>
      <w:r>
        <w:rPr>
          <w:lang w:val="fr-FR"/>
        </w:rPr>
        <w:t xml:space="preserve">pauvres et 285 000 en pauvreté sévère.</w:t>
      </w:r>
    </w:p>
    <w:p>
      <w:pPr>
        <w:pStyle w:val="BlockText"/>
        <w:numPr>
          <w:ilvl w:val="0"/>
          <w:numId w:val="1002"/>
        </w:numPr>
      </w:pPr>
      <w:r>
        <w:rPr>
          <w:b/>
          <w:bCs/>
          <w:lang w:val="fr-FR"/>
        </w:rPr>
        <w:t xml:space="preserve">La liste de priorités des filets sociaux.</w:t>
      </w:r>
      <w:r>
        <w:rPr>
          <w:lang w:val="fr-FR"/>
        </w:rPr>
        <w:t xml:space="preserve"> </w:t>
      </w:r>
      <w:r>
        <w:rPr>
          <w:lang w:val="fr-FR"/>
        </w:rPr>
        <w:t xml:space="preserve">121 sous-préfectures concentrent la</w:t>
      </w:r>
      <w:r>
        <w:rPr>
          <w:lang w:val="fr-FR"/>
        </w:rPr>
        <w:t xml:space="preserve"> </w:t>
      </w:r>
      <w:r>
        <w:rPr>
          <w:lang w:val="fr-FR"/>
        </w:rPr>
        <w:t xml:space="preserve">moitié de la pauvreté du pays ; l’objectif de 827 000 ménages peut y être décliné par ordre</w:t>
      </w:r>
      <w:r>
        <w:rPr>
          <w:lang w:val="fr-FR"/>
        </w:rPr>
        <w:t xml:space="preserve"> </w:t>
      </w:r>
      <w:r>
        <w:rPr>
          <w:lang w:val="fr-FR"/>
        </w:rPr>
        <w:t xml:space="preserve">de sévérité.</w:t>
      </w:r>
    </w:p>
    <w:p>
      <w:pPr>
        <w:pStyle w:val="FirstParagraph"/>
      </w:pPr>
      <w:r>
        <w:rPr>
          <w:lang w:val="fr-FR"/>
        </w:rPr>
        <w:t xml:space="preserve">Il ne se prête en revanche pas au cadre de résultats du plan : sept cibles seulement, aucune sur la</w:t>
      </w:r>
      <w:r>
        <w:rPr>
          <w:lang w:val="fr-FR"/>
        </w:rPr>
        <w:t xml:space="preserve"> </w:t>
      </w:r>
      <w:r>
        <w:rPr>
          <w:lang w:val="fr-FR"/>
        </w:rPr>
        <w:t xml:space="preserve">santé, et aucune possibilité d’actualisation avant 2030.</w:t>
      </w:r>
    </w:p>
    <w:bookmarkEnd w:id="24"/>
    <w:bookmarkStart w:id="25" w:name="limites-de-cette-analyse"/>
    <w:p>
      <w:pPr>
        <w:pStyle w:val="Heading1"/>
      </w:pPr>
      <w:r>
        <w:rPr>
          <w:lang w:val="fr-FR"/>
        </w:rPr>
        <w:t xml:space="preserve">Limites de cette analyse</w:t>
      </w:r>
    </w:p>
    <w:p>
      <w:pPr>
        <w:numPr>
          <w:ilvl w:val="0"/>
          <w:numId w:val="1003"/>
        </w:numPr>
      </w:pPr>
      <w:r>
        <w:rPr>
          <w:b/>
          <w:bCs/>
          <w:lang w:val="fr-FR"/>
        </w:rPr>
        <w:t xml:space="preserve">Les correspondances ne sont pas des identités.</w:t>
      </w:r>
      <w:r>
        <w:rPr>
          <w:lang w:val="fr-FR"/>
        </w:rPr>
        <w:t xml:space="preserve"> </w:t>
      </w:r>
      <w:r>
        <w:rPr>
          <w:lang w:val="fr-FR"/>
        </w:rPr>
        <w:t xml:space="preserve">Les indicateurs de l’IPM sont des</w:t>
      </w:r>
      <w:r>
        <w:rPr>
          <w:lang w:val="fr-FR"/>
        </w:rPr>
        <w:t xml:space="preserve"> </w:t>
      </w:r>
      <w:r>
        <w:rPr>
          <w:lang w:val="fr-FR"/>
        </w:rPr>
        <w:t xml:space="preserve">indicateurs de</w:t>
      </w:r>
      <w:r>
        <w:rPr>
          <w:lang w:val="fr-FR"/>
        </w:rPr>
        <w:t xml:space="preserve"> </w:t>
      </w:r>
      <w:r>
        <w:rPr>
          <w:i/>
          <w:iCs/>
          <w:lang w:val="fr-FR"/>
        </w:rPr>
        <w:t xml:space="preserve">ménage</w:t>
      </w:r>
      <w:r>
        <w:rPr>
          <w:lang w:val="fr-FR"/>
        </w:rPr>
        <w:t xml:space="preserve"> </w:t>
      </w:r>
      <w:r>
        <w:rPr>
          <w:lang w:val="fr-FR"/>
        </w:rPr>
        <w:t xml:space="preserve">; les cibles du PND sont le plus souvent des taux</w:t>
      </w:r>
      <w:r>
        <w:rPr>
          <w:lang w:val="fr-FR"/>
        </w:rPr>
        <w:t xml:space="preserve"> </w:t>
      </w:r>
      <w:r>
        <w:rPr>
          <w:i/>
          <w:iCs/>
          <w:lang w:val="fr-FR"/>
        </w:rPr>
        <w:t xml:space="preserve">individuels</w:t>
      </w:r>
      <w:r>
        <w:rPr>
          <w:lang w:val="fr-FR"/>
        </w:rPr>
        <w:t xml:space="preserve">. Les deux évoluent dans le même sens sans être le même nombre.</w:t>
      </w:r>
    </w:p>
    <w:p>
      <w:pPr>
        <w:numPr>
          <w:ilvl w:val="0"/>
          <w:numId w:val="1003"/>
        </w:numPr>
      </w:pPr>
      <w:r>
        <w:rPr>
          <w:b/>
          <w:bCs/>
          <w:lang w:val="fr-FR"/>
        </w:rPr>
        <w:t xml:space="preserve">L’IPM RGPH n’est pas comparable en niveau à l’IPM EHCVM</w:t>
      </w:r>
      <w:r>
        <w:rPr>
          <w:lang w:val="fr-FR"/>
        </w:rPr>
        <w:t xml:space="preserve">, la dimension Santé du</w:t>
      </w:r>
      <w:r>
        <w:rPr>
          <w:lang w:val="fr-FR"/>
        </w:rPr>
        <w:t xml:space="preserve"> </w:t>
      </w:r>
      <w:r>
        <w:rPr>
          <w:lang w:val="fr-FR"/>
        </w:rPr>
        <w:t xml:space="preserve">premier étant presque inerte. Toute comparaison entre les deux sources doit passer par la</w:t>
      </w:r>
      <w:r>
        <w:rPr>
          <w:lang w:val="fr-FR"/>
        </w:rPr>
        <w:t xml:space="preserve"> </w:t>
      </w:r>
      <w:r>
        <w:rPr>
          <w:lang w:val="fr-FR"/>
        </w:rPr>
        <w:t xml:space="preserve">variante harmonisée.</w:t>
      </w:r>
    </w:p>
    <w:p>
      <w:pPr>
        <w:numPr>
          <w:ilvl w:val="0"/>
          <w:numId w:val="1003"/>
        </w:numPr>
      </w:pPr>
      <w:r>
        <w:rPr>
          <w:b/>
          <w:bCs/>
          <w:lang w:val="fr-FR"/>
        </w:rPr>
        <w:t xml:space="preserve">Un écart de taux de privation sur la toilette</w:t>
      </w:r>
      <w:r>
        <w:rPr>
          <w:lang w:val="fr-FR"/>
        </w:rPr>
        <w:t xml:space="preserve"> </w:t>
      </w:r>
      <w:r>
        <w:rPr>
          <w:lang w:val="fr-FR"/>
        </w:rPr>
        <w:t xml:space="preserve">(45,1 % ici, 33,09 % dans la</w:t>
      </w:r>
      <w:r>
        <w:rPr>
          <w:lang w:val="fr-FR"/>
        </w:rPr>
        <w:t xml:space="preserve"> </w:t>
      </w:r>
      <w:r>
        <w:rPr>
          <w:lang w:val="fr-FR"/>
        </w:rPr>
        <w:t xml:space="preserve">production Stata antérieure) n’est pas réconcilié et reste à élucider avec l’INS.</w:t>
      </w:r>
    </w:p>
    <w:p>
      <w:pPr>
        <w:numPr>
          <w:ilvl w:val="0"/>
          <w:numId w:val="1003"/>
        </w:numPr>
      </w:pPr>
      <w:r>
        <w:rPr>
          <w:b/>
          <w:bCs/>
          <w:lang w:val="fr-FR"/>
        </w:rPr>
        <w:t xml:space="preserve">Les intervalles de confiance d’un recensement</w:t>
      </w:r>
      <w:r>
        <w:rPr>
          <w:lang w:val="fr-FR"/>
        </w:rPr>
        <w:t xml:space="preserve"> </w:t>
      </w:r>
      <w:r>
        <w:rPr>
          <w:lang w:val="fr-FR"/>
        </w:rPr>
        <w:t xml:space="preserve">ne mesurent pas une incertitude</w:t>
      </w:r>
      <w:r>
        <w:rPr>
          <w:lang w:val="fr-FR"/>
        </w:rPr>
        <w:t xml:space="preserve"> </w:t>
      </w:r>
      <w:r>
        <w:rPr>
          <w:lang w:val="fr-FR"/>
        </w:rPr>
        <w:t xml:space="preserve">d’échantillonnage mais une dispersion entre zones de dénombrement. Le seuil de publication</w:t>
      </w:r>
      <w:r>
        <w:rPr>
          <w:lang w:val="fr-FR"/>
        </w:rPr>
        <w:t xml:space="preserve"> </w:t>
      </w:r>
      <w:r>
        <w:rPr>
          <w:lang w:val="fr-FR"/>
        </w:rPr>
        <w:t xml:space="preserve">à 20 % de coefficient de variation reste une convention prudente, non une règle absolue.</w:t>
      </w:r>
    </w:p>
    <w:p>
      <w:pPr>
        <w:numPr>
          <w:ilvl w:val="0"/>
          <w:numId w:val="1003"/>
        </w:numPr>
      </w:pPr>
      <w:r>
        <w:rPr>
          <w:b/>
          <w:bCs/>
          <w:lang w:val="fr-FR"/>
        </w:rPr>
        <w:t xml:space="preserve">Le PND ne contient pas de cible d’IPM.</w:t>
      </w:r>
      <w:r>
        <w:rPr>
          <w:lang w:val="fr-FR"/>
        </w:rPr>
        <w:t xml:space="preserve"> </w:t>
      </w:r>
      <w:r>
        <w:rPr>
          <w:lang w:val="fr-FR"/>
        </w:rPr>
        <w:t xml:space="preserve">L’alignement établi ici est un alignement de</w:t>
      </w:r>
      <w:r>
        <w:rPr>
          <w:lang w:val="fr-FR"/>
        </w:rPr>
        <w:t xml:space="preserve"> </w:t>
      </w:r>
      <w:r>
        <w:rPr>
          <w:i/>
          <w:iCs/>
          <w:lang w:val="fr-FR"/>
        </w:rPr>
        <w:t xml:space="preserve">contenu</w:t>
      </w:r>
      <w:r>
        <w:rPr>
          <w:lang w:val="fr-FR"/>
        </w:rPr>
        <w:t xml:space="preserve">, pas une correspondance institutionnelle.</w:t>
      </w:r>
    </w:p>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L’IPM calculé sur le RGPH 2021 au service du PND 2026-2030 Analyse d’alignement</dc:title>
  <dc:creator>Pipeline PythonIPM</dc:creator>
  <cp:keywords/>
  <dcterms:created xsi:type="dcterms:W3CDTF">2026-09-11T15:32:07Z</dcterms:created>
  <dcterms:modified xsi:type="dcterms:W3CDTF">2026-09-11T15:32:07Z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Ce document confronte l’indice de pauvreté multidimensionnelle calculé sur le Recensement général de la population et de l’habitation 2021 au Plan National de Développement 2026-2030. Il établit, cible par cible, ce que l’un permet de mesurer de l’autre, ce qu’il ne permet pas, et l’usage auquel il se prête le mieux. Un document jumeau traite de l’IPM calculé sur l’EHCVM 2021 ; un troisième les compare et conclut.</vt:lpwstr>
  </property>
  <property fmtid="{D5CDD505-2E9C-101B-9397-08002B2CF9AE}" pid="3" name="date">
    <vt:lpwstr>Septembre 2026</vt:lpwstr>
  </property>
</Properties>
</file>