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  <w:lang w:val="fr-FR"/>
        </w:rPr>
        <w:t xml:space="preserve">Lecture des sorties</w:t>
      </w:r>
      <w:r>
        <w:br/>
      </w:r>
      <w:r>
        <w:rPr>
          <w:b/>
          <w:bCs/>
          <w:lang w:val="fr-FR"/>
        </w:rPr>
        <w:t xml:space="preserve">Ce que contiennent les classeurs de l’IPM, et comment les lire</w:t>
      </w:r>
      <w:r>
        <w:br/>
      </w:r>
      <w:r>
        <w:rPr>
          <w:b/>
          <w:bCs/>
          <w:lang w:val="fr-FR"/>
        </w:rPr>
        <w:t xml:space="preserve">RGPH 2021</w:t>
      </w:r>
    </w:p>
    <w:p>
      <w:pPr>
        <w:pStyle w:val="Author"/>
      </w:pPr>
      <w:r>
        <w:rPr>
          <w:lang w:val="fr-FR"/>
        </w:rPr>
        <w:t xml:space="preserve">Pipeline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PythonIPM</w:t>
      </w:r>
      <w:r>
        <w:rPr>
          <w:lang w:val="fr-FR"/>
        </w:rPr>
        <w:t xml:space="preserve"> </w:t>
      </w:r>
      <w:r>
        <w:rPr>
          <w:lang w:val="fr-FR"/>
        </w:rPr>
        <w:t xml:space="preserve">— IPM Côte d’Ivoire</w:t>
      </w:r>
    </w:p>
    <w:p>
      <w:pPr>
        <w:pStyle w:val="Date"/>
      </w:pPr>
      <w:r>
        <w:rPr>
          <w:lang w:val="fr-FR"/>
        </w:rPr>
        <w:t xml:space="preserve">Septembre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fr-FR"/>
        </w:rPr>
        <w:t xml:space="preserve">Ce document accompagne les classeurs produits par l’étape 05 du pipeline sur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recensement. Il décrit ce qu’on y trouve, ce qui diffère des sorties de l’EHCVM, et propose une</w:t>
      </w:r>
      <w:r>
        <w:rPr>
          <w:lang w:val="fr-FR"/>
        </w:rPr>
        <w:t xml:space="preserve"> </w:t>
      </w:r>
      <w:r>
        <w:rPr>
          <w:lang w:val="fr-FR"/>
        </w:rPr>
        <w:t xml:space="preserve">lecture commentée des chiffres — national, territorial, par indicateur — avec les précautions</w:t>
      </w:r>
      <w:r>
        <w:rPr>
          <w:lang w:val="fr-FR"/>
        </w:rPr>
        <w:t xml:space="preserve"> </w:t>
      </w:r>
      <w:r>
        <w:rPr>
          <w:lang w:val="fr-FR"/>
        </w:rPr>
        <w:t xml:space="preserve">qui s’attachent à chacun. Les définitions colonne par colonne sont communes aux deux sources et</w:t>
      </w:r>
      <w:r>
        <w:rPr>
          <w:lang w:val="fr-FR"/>
        </w:rPr>
        <w:t xml:space="preserve"> </w:t>
      </w:r>
      <w:r>
        <w:rPr>
          <w:lang w:val="fr-FR"/>
        </w:rPr>
        <w:t xml:space="preserve">figurent dans le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Dictionnaire des sorties</w:t>
      </w:r>
      <w:r>
        <w:rPr>
          <w:lang w:val="fr-FR"/>
        </w:rPr>
        <w:t xml:space="preserve"> </w:t>
      </w:r>
      <w:r>
        <w:rPr>
          <w:lang w:val="fr-FR"/>
        </w:rPr>
        <w:t xml:space="preserve">de l’EHCVM ; on n’y revient ici que là où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change quelque chose.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  <w:lang w:val="fr-FR"/>
        </w:rPr>
        <w:t xml:space="preserve">Où trouver le chiffre que je cherche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La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Où regarder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L’IPM de la Côte d’Ivoire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indices_ipm_ci_rgph2021.xlsx</w:t>
            </w:r>
            <w:r>
              <w:rPr>
                <w:lang w:val="fr-FR"/>
              </w:rPr>
              <w:t xml:space="preserve">, feuille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L’IPM d’une sous-préfecture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feuille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Sous-préfecture ou commune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 territoire pèse le plus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contribution_M0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 la feuille correspondante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Quel indicateur pèse le plus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feuille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chiffre est-il publiable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M0_cv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— au-delà de 0,20, s’abstenir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Comparer au chiffre de l’EHCVM 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indices_ipm_harmonise_*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des deux sources</w:t>
            </w:r>
          </w:p>
        </w:tc>
      </w:tr>
    </w:tbl>
    <w:bookmarkStart w:id="9" w:name="ce-que-le-pipeline-a-produit"/>
    <w:p>
      <w:pPr>
        <w:pStyle w:val="Heading1"/>
      </w:pPr>
      <w:r>
        <w:rPr>
          <w:lang w:val="fr-FR"/>
        </w:rPr>
        <w:t xml:space="preserve">Ce que le pipeline a produit</w:t>
      </w:r>
    </w:p>
    <w:p>
      <w:pPr>
        <w:pStyle w:val="FirstParagraph"/>
      </w:pPr>
      <w:r>
        <w:rPr>
          <w:lang w:val="fr-FR"/>
        </w:rPr>
        <w:t xml:space="preserve">Trois classeurs, de structure identique, qui ne diffèrent que par le périmètre d’indicateurs.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Classeur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Ind.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Dim.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Ce qu’il mesure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indices_ipm_ci_rgph2021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l’</w:t>
            </w:r>
            <w:r>
              <w:rPr>
                <w:b/>
                <w:bCs/>
                <w:lang w:val="fr-FR"/>
              </w:rPr>
              <w:t xml:space="preserve">IPM national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appliqué au recensement — le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chiffre de 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indices_ipm_international_rgph2021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 périmètre comparable au niveau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international : l’Emploi est retiré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fr-FR"/>
              </w:rPr>
              <w:t xml:space="preserve">indices_ipm_harmonise_rgph2021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le</w:t>
            </w:r>
            <w:r>
              <w:rPr>
                <w:lang w:val="fr-FR"/>
              </w:rPr>
              <w:t xml:space="preserve"> </w:t>
            </w:r>
            <w:r>
              <w:rPr>
                <w:b/>
                <w:bCs/>
                <w:lang w:val="fr-FR"/>
              </w:rPr>
              <w:t xml:space="preserve">socle commun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avec l’EHCVM : la</w:t>
            </w:r>
            <w:r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seule variante comparable d’une source à l’autre</w:t>
            </w:r>
          </w:p>
        </w:tc>
      </w:tr>
    </w:tbl>
    <w:p>
      <w:pPr>
        <w:pStyle w:val="BodyText"/>
      </w:pPr>
      <w:r>
        <w:rPr>
          <w:lang w:val="fr-FR"/>
        </w:rPr>
        <w:t xml:space="preserve">À côté des classeurs, chaque variante est aussi écrite en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.dta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.csv</w:t>
      </w:r>
      <w:r>
        <w:rPr>
          <w:lang w:val="fr-FR"/>
        </w:rPr>
        <w:t xml:space="preserve">, accompagnée de</w:t>
      </w:r>
      <w:r>
        <w:rPr>
          <w:lang w:val="fr-FR"/>
        </w:rPr>
        <w:t xml:space="preserve"> </w:t>
      </w:r>
      <w:r>
        <w:rPr>
          <w:lang w:val="fr-FR"/>
        </w:rPr>
        <w:t xml:space="preserve">sa table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contributions_…</w:t>
      </w:r>
      <w:r>
        <w:rPr>
          <w:lang w:val="fr-FR"/>
        </w:rPr>
        <w:t xml:space="preserve">. Les tables de travail —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preconstruction_…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matrice_situationnelle_…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matrice_privations_ponderees_…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matrice_privations_censuree_…</w:t>
      </w:r>
      <w:r>
        <w:rPr>
          <w:lang w:val="fr-FR"/>
        </w:rPr>
        <w:t xml:space="preserve"> </w:t>
      </w:r>
      <w:r>
        <w:rPr>
          <w:lang w:val="fr-FR"/>
        </w:rPr>
        <w:t xml:space="preserve">— ne sont écrites qu’en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.dta</w:t>
      </w:r>
      <w:r>
        <w:rPr>
          <w:lang w:val="fr-FR"/>
        </w:rPr>
        <w:t xml:space="preserve"> </w:t>
      </w:r>
      <w:r>
        <w:rPr>
          <w:lang w:val="fr-FR"/>
        </w:rPr>
        <w:t xml:space="preserve">: à 5,6 millions de</w:t>
      </w:r>
      <w:r>
        <w:rPr>
          <w:lang w:val="fr-FR"/>
        </w:rPr>
        <w:t xml:space="preserve"> </w:t>
      </w:r>
      <w:r>
        <w:rPr>
          <w:lang w:val="fr-FR"/>
        </w:rPr>
        <w:t xml:space="preserve">lignes, leur doublon texte pèserait plusieurs gigaoctets que personne ne lit.</w:t>
      </w:r>
    </w:p>
    <w:p>
      <w:pPr>
        <w:pStyle w:val="BlockText"/>
      </w:pPr>
      <w:r>
        <w:rPr>
          <w:b/>
          <w:bCs/>
          <w:lang w:val="fr-FR"/>
        </w:rPr>
        <w:t xml:space="preserve">Un suffixe par source</w:t>
      </w:r>
    </w:p>
    <w:p>
      <w:pPr>
        <w:pStyle w:val="BlockText"/>
      </w:pPr>
      <w:r>
        <w:rPr>
          <w:lang w:val="fr-FR"/>
        </w:rPr>
        <w:t xml:space="preserve">Tous les fichiers portent le suffixe de leur source :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_rgph2021</w:t>
      </w:r>
      <w:r>
        <w:rPr>
          <w:lang w:val="fr-FR"/>
        </w:rPr>
        <w:t xml:space="preserve"> </w:t>
      </w:r>
      <w:r>
        <w:rPr>
          <w:lang w:val="fr-FR"/>
        </w:rPr>
        <w:t xml:space="preserve">ou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_ehcvm2021</w:t>
      </w:r>
      <w:r>
        <w:rPr>
          <w:lang w:val="fr-FR"/>
        </w:rPr>
        <w:t xml:space="preserve">. Les</w:t>
      </w:r>
      <w:r>
        <w:rPr>
          <w:lang w:val="fr-FR"/>
        </w:rPr>
        <w:t xml:space="preserve"> </w:t>
      </w:r>
      <w:r>
        <w:rPr>
          <w:lang w:val="fr-FR"/>
        </w:rPr>
        <w:t xml:space="preserve">deux séries cohabitent dans le même dossier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sorties/</w:t>
      </w:r>
      <w:r>
        <w:rPr>
          <w:lang w:val="fr-FR"/>
        </w:rPr>
        <w:t xml:space="preserve"> </w:t>
      </w:r>
      <w:r>
        <w:rPr>
          <w:lang w:val="fr-FR"/>
        </w:rPr>
        <w:t xml:space="preserve">sans se recouvrir. Un fichier sans</w:t>
      </w:r>
      <w:r>
        <w:rPr>
          <w:lang w:val="fr-FR"/>
        </w:rPr>
        <w:t xml:space="preserve"> </w:t>
      </w:r>
      <w:r>
        <w:rPr>
          <w:lang w:val="fr-FR"/>
        </w:rPr>
        <w:t xml:space="preserve">suffixe provient d’une exécution antérieure à l’extension du pipeline au recensement.</w:t>
      </w:r>
    </w:p>
    <w:bookmarkEnd w:id="9"/>
    <w:bookmarkStart w:id="10" w:name="huit-feuilles-et-non-neuf"/>
    <w:p>
      <w:pPr>
        <w:pStyle w:val="Heading1"/>
      </w:pPr>
      <w:r>
        <w:rPr>
          <w:lang w:val="fr-FR"/>
        </w:rPr>
        <w:t xml:space="preserve">Huit feuilles, et non neuf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Feuille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Une ligne =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Lignes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Ensemble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la Côte d’Ivoire entière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Contributions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indicateur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Ponderations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indicateur : sa dimension et son poids</w:t>
            </w:r>
            <w:r>
              <w:rPr>
                <w:lang w:val="fr-FR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Milieu de résidence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urbain, semi-urbain ou rural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Région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des 33 régions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Département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 des 111 départements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Sous-préfecture ou commune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des 519 sous-préfectures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Taille du ménage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une classe de taille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</w:t>
            </w:r>
          </w:p>
        </w:tc>
      </w:tr>
    </w:tbl>
    <w:p>
      <w:pPr>
        <w:pStyle w:val="BodyText"/>
      </w:pPr>
      <w:r>
        <w:rPr>
          <w:lang w:val="fr-FR"/>
        </w:rPr>
        <w:t xml:space="preserve">Trois différences avec les sorties de l’EHCVM.</w:t>
      </w:r>
    </w:p>
    <w:p>
      <w:pPr>
        <w:pStyle w:val="DefinitionTerm"/>
      </w:pPr>
      <w:r>
        <w:rPr>
          <w:lang w:val="fr-FR"/>
        </w:rPr>
        <w:t xml:space="preserve">Pas de feuille</w:t>
      </w:r>
      <w:r>
        <w:rPr>
          <w:lang w:val="fr-FR"/>
        </w:rPr>
        <w:t xml:space="preserve"> </w:t>
      </w:r>
      <w:r>
        <w:rPr>
          <w:lang w:val="fr-FR"/>
        </w:rPr>
        <w:t xml:space="preserve">Sexe du chef de ménage</w:t>
      </w:r>
      <w:r>
        <w:rPr>
          <w:lang w:val="fr-FR"/>
        </w:rPr>
        <w:t xml:space="preserve">.</w:t>
      </w:r>
    </w:p>
    <w:p>
      <w:pPr>
        <w:pStyle w:val="Definition"/>
      </w:pPr>
      <w:r>
        <w:rPr>
          <w:lang w:val="fr-FR"/>
        </w:rPr>
        <w:t xml:space="preserve">Le sexe n’est pas dans l’extrait de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transmis. La désagrégation est simplement absente ; le pipeline la signale dans son</w:t>
      </w:r>
      <w:r>
        <w:rPr>
          <w:lang w:val="fr-FR"/>
        </w:rPr>
        <w:t xml:space="preserve"> </w:t>
      </w:r>
      <w:r>
        <w:rPr>
          <w:lang w:val="fr-FR"/>
        </w:rPr>
        <w:t xml:space="preserve">journal plutôt que de produire une feuille vide.</w:t>
      </w:r>
    </w:p>
    <w:p>
      <w:pPr>
        <w:pStyle w:val="DefinitionTerm"/>
      </w:pPr>
      <w:r>
        <w:rPr>
          <w:lang w:val="fr-FR"/>
        </w:rPr>
        <w:t xml:space="preserve">Trois milieux au lieu de deux.</w:t>
      </w:r>
    </w:p>
    <w:p>
      <w:pPr>
        <w:pStyle w:val="Definition"/>
      </w:pPr>
      <w:r>
        <w:rPr>
          <w:lang w:val="fr-FR"/>
        </w:rPr>
        <w:t xml:space="preserve">Le recensement distingue l’</w:t>
      </w:r>
      <w:r>
        <w:rPr>
          <w:b/>
          <w:bCs/>
          <w:lang w:val="fr-FR"/>
        </w:rPr>
        <w:t xml:space="preserve">urbain</w:t>
      </w:r>
      <w:r>
        <w:rPr>
          <w:lang w:val="fr-FR"/>
        </w:rPr>
        <w:t xml:space="preserve">,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semi-urbain</w:t>
      </w:r>
      <w:r>
        <w:rPr>
          <w:lang w:val="fr-FR"/>
        </w:rPr>
        <w:t xml:space="preserve"> </w:t>
      </w:r>
      <w:r>
        <w:rPr>
          <w:lang w:val="fr-FR"/>
        </w:rPr>
        <w:t xml:space="preserve">et le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rural</w:t>
      </w:r>
      <w:r>
        <w:rPr>
          <w:lang w:val="fr-FR"/>
        </w:rPr>
        <w:t xml:space="preserve">, là où l’enquête n’en code que deux. Le semi-urbain</w:t>
      </w:r>
      <w:r>
        <w:rPr>
          <w:lang w:val="fr-FR"/>
        </w:rPr>
        <w:t xml:space="preserve"> </w:t>
      </w:r>
      <w:r>
        <w:rPr>
          <w:lang w:val="fr-FR"/>
        </w:rPr>
        <w:t xml:space="preserve">n’a pas d’équivalent dans les sorties EHCVM : ne pas additionner les deux séries.</w:t>
      </w:r>
    </w:p>
    <w:p>
      <w:pPr>
        <w:pStyle w:val="DefinitionTerm"/>
      </w:pPr>
      <w:r>
        <w:rPr>
          <w:lang w:val="fr-FR"/>
        </w:rPr>
        <w:t xml:space="preserve">Un territoire plus fin.</w:t>
      </w:r>
    </w:p>
    <w:p>
      <w:pPr>
        <w:pStyle w:val="Definition"/>
      </w:pPr>
      <w:r>
        <w:rPr>
          <w:lang w:val="fr-FR"/>
        </w:rPr>
        <w:t xml:space="preserve">111 départements et 519 sous-préfectures ou communes, contre 108 et</w:t>
      </w:r>
      <w:r>
        <w:rPr>
          <w:lang w:val="fr-FR"/>
        </w:rPr>
        <w:t xml:space="preserve"> </w:t>
      </w:r>
      <w:r>
        <w:rPr>
          <w:lang w:val="fr-FR"/>
        </w:rPr>
        <w:t xml:space="preserve">442 dans l’enquête. L’écart tient au découpage administratif retenu et au fait que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atteint des localités qu’un échantillon ne touche pas.</w:t>
      </w:r>
    </w:p>
    <w:bookmarkEnd w:id="10"/>
    <w:bookmarkStart w:id="11" w:name="X57788a5656bfa45ba3adf0a7a493e6bd3a02823"/>
    <w:p>
      <w:pPr>
        <w:pStyle w:val="Heading1"/>
      </w:pPr>
      <w:r>
        <w:rPr>
          <w:lang w:val="fr-FR"/>
        </w:rPr>
        <w:t xml:space="preserve">Trois colonnes qui ne se lisent pas comme dans l’enquête</w:t>
      </w:r>
    </w:p>
    <w:p>
      <w:pPr>
        <w:pStyle w:val="FirstParagraph"/>
      </w:pPr>
      <w:r>
        <w:rPr>
          <w:lang w:val="fr-FR"/>
        </w:rPr>
        <w:t xml:space="preserve">Les colonnes sont les mêmes et les formules sont les mêmes. Trois d’entre elles changent de sens</w:t>
      </w:r>
      <w:r>
        <w:rPr>
          <w:lang w:val="fr-FR"/>
        </w:rPr>
        <w:t xml:space="preserve"> </w:t>
      </w:r>
      <w:r>
        <w:rPr>
          <w:lang w:val="fr-FR"/>
        </w:rPr>
        <w:t xml:space="preserve">parce que la source change de nature.</w:t>
      </w:r>
    </w:p>
    <w:p>
      <w:pPr>
        <w:pStyle w:val="DefinitionTerm"/>
      </w:pPr>
      <w:r>
        <w:rPr>
          <w:rStyle w:val="VerbatimChar"/>
          <w:lang w:val="fr-FR"/>
        </w:rPr>
        <w:t xml:space="preserve">menages</w:t>
      </w:r>
    </w:p>
    <w:p>
      <w:pPr>
        <w:pStyle w:val="Definition"/>
      </w:pPr>
      <w:r>
        <w:rPr>
          <w:lang w:val="fr-FR"/>
        </w:rPr>
        <w:t xml:space="preserve">n’est plus un effectif d’échantillon mais un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effectif réel</w:t>
      </w:r>
      <w:r>
        <w:rPr>
          <w:lang w:val="fr-FR"/>
        </w:rPr>
        <w:t xml:space="preserve">. La</w:t>
      </w:r>
      <w:r>
        <w:rPr>
          <w:lang w:val="fr-FR"/>
        </w:rPr>
        <w:t xml:space="preserve"> </w:t>
      </w:r>
      <w:r>
        <w:rPr>
          <w:lang w:val="fr-FR"/>
        </w:rPr>
        <w:t xml:space="preserve">feuille</w:t>
      </w:r>
      <w:r>
        <w:rPr>
          <w:lang w:val="fr-FR"/>
        </w:rPr>
        <w:t xml:space="preserve"> </w:t>
      </w:r>
      <w:r>
        <w:rPr>
          <w:lang w:val="fr-FR"/>
        </w:rPr>
        <w:t xml:space="preserve">Ensemble</w:t>
      </w:r>
      <w:r>
        <w:rPr>
          <w:lang w:val="fr-FR"/>
        </w:rPr>
        <w:t xml:space="preserve"> </w:t>
      </w:r>
      <w:r>
        <w:rPr>
          <w:lang w:val="fr-FR"/>
        </w:rPr>
        <w:t xml:space="preserve">affiche 5 616 487 : ce sont tous les ménages du pays, pas un</w:t>
      </w:r>
      <w:r>
        <w:rPr>
          <w:lang w:val="fr-FR"/>
        </w:rPr>
        <w:t xml:space="preserve"> </w:t>
      </w:r>
      <w:r>
        <w:rPr>
          <w:lang w:val="fr-FR"/>
        </w:rPr>
        <w:t xml:space="preserve">sous-ensemble tiré au sort. La sous-préfecture médiane en compte 5 224, la plus petite 597.</w:t>
      </w:r>
      <w:r>
        <w:rPr>
          <w:lang w:val="fr-FR"/>
        </w:rPr>
        <w:t xml:space="preserve"> </w:t>
      </w:r>
      <w:r>
        <w:rPr>
          <w:lang w:val="fr-FR"/>
        </w:rPr>
        <w:t xml:space="preserve">Cette colonne ne sert donc plus à juger de la robustesse d’un chiffre — pour cela, voir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grappes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M0_cv</w:t>
      </w:r>
      <w:r>
        <w:rPr>
          <w:lang w:val="fr-FR"/>
        </w:rPr>
        <w:t xml:space="preserve">.</w:t>
      </w:r>
    </w:p>
    <w:p>
      <w:pPr>
        <w:pStyle w:val="DefinitionTerm"/>
      </w:pPr>
      <w:r>
        <w:rPr>
          <w:rStyle w:val="VerbatimChar"/>
          <w:lang w:val="fr-FR"/>
        </w:rPr>
        <w:t xml:space="preserve">grappes</w:t>
      </w:r>
    </w:p>
    <w:p>
      <w:pPr>
        <w:pStyle w:val="Definition"/>
      </w:pPr>
      <w:r>
        <w:rPr>
          <w:lang w:val="fr-FR"/>
        </w:rPr>
        <w:t xml:space="preserve">compte les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zones de dénombrement</w:t>
      </w:r>
      <w:r>
        <w:rPr>
          <w:lang w:val="fr-FR"/>
        </w:rPr>
        <w:t xml:space="preserve">, l’unité de collecte du</w:t>
      </w:r>
      <w:r>
        <w:rPr>
          <w:lang w:val="fr-FR"/>
        </w:rPr>
        <w:t xml:space="preserve"> </w:t>
      </w:r>
      <w:r>
        <w:rPr>
          <w:lang w:val="fr-FR"/>
        </w:rPr>
        <w:t xml:space="preserve">recensement, au nombre de 28 329. Elle ne désigne plus une unité primaire de sondage, puisqu’il</w:t>
      </w:r>
      <w:r>
        <w:rPr>
          <w:lang w:val="fr-FR"/>
        </w:rPr>
        <w:t xml:space="preserve"> </w:t>
      </w:r>
      <w:r>
        <w:rPr>
          <w:lang w:val="fr-FR"/>
        </w:rPr>
        <w:t xml:space="preserve">n’y a pas de tirage. Elle conserve son rôle dans le calcul de la variance : c’est à cette maille</w:t>
      </w:r>
      <w:r>
        <w:rPr>
          <w:lang w:val="fr-FR"/>
        </w:rPr>
        <w:t xml:space="preserve"> </w:t>
      </w:r>
      <w:r>
        <w:rPr>
          <w:lang w:val="fr-FR"/>
        </w:rPr>
        <w:t xml:space="preserve">que les erreurs de dénombrement se corrèlent.</w:t>
      </w:r>
    </w:p>
    <w:p>
      <w:pPr>
        <w:pStyle w:val="DefinitionTerm"/>
      </w:pPr>
      <w:r>
        <w:rPr>
          <w:rStyle w:val="VerbatimChar"/>
          <w:lang w:val="fr-FR"/>
        </w:rPr>
        <w:t xml:space="preserve">population</w:t>
      </w:r>
    </w:p>
    <w:p>
      <w:pPr>
        <w:pStyle w:val="Definition"/>
      </w:pPr>
      <w:r>
        <w:rPr>
          <w:lang w:val="fr-FR"/>
        </w:rPr>
        <w:t xml:space="preserve">vaut 29 276 660 sur la feuille</w:t>
      </w:r>
      <w:r>
        <w:rPr>
          <w:lang w:val="fr-FR"/>
        </w:rPr>
        <w:t xml:space="preserve"> </w:t>
      </w:r>
      <w:r>
        <w:rPr>
          <w:lang w:val="fr-FR"/>
        </w:rPr>
        <w:t xml:space="preserve">Ensemble</w:t>
      </w:r>
      <w:r>
        <w:rPr>
          <w:lang w:val="fr-FR"/>
        </w:rPr>
        <w:t xml:space="preserve">. C’est le résultat de</w:t>
      </w:r>
      <w:r>
        <w:rPr>
          <w:lang w:val="fr-FR"/>
        </w:rPr>
        <w:t xml:space="preserve"> </w:t>
      </w:r>
      <w:r>
        <w:rPr>
          <w:lang w:val="fr-FR"/>
        </w:rPr>
        <w:t xml:space="preserve">l’application du taux net de couverture post-censitaire (</w:t>
      </w:r>
      <w:r>
        <w:rPr>
          <w:rStyle w:val="VerbatimChar"/>
          <w:lang w:val="fr-FR"/>
        </w:rPr>
        <w:t xml:space="preserve">EW</w:t>
      </w:r>
      <w:r>
        <w:rPr>
          <w:lang w:val="fr-FR"/>
        </w:rPr>
        <w:t xml:space="preserve">) aux 27 984 405 individus</w:t>
      </w:r>
      <w:r>
        <w:rPr>
          <w:lang w:val="fr-FR"/>
        </w:rPr>
        <w:t xml:space="preserve"> </w:t>
      </w:r>
      <w:r>
        <w:rPr>
          <w:lang w:val="fr-FR"/>
        </w:rPr>
        <w:t xml:space="preserve">recensés. Le chiffre publié du RGPH 2021 est 29 389 150 : l’écart est de 0,4 %.</w:t>
      </w:r>
    </w:p>
    <w:p>
      <w:pPr>
        <w:pStyle w:val="BlockText"/>
      </w:pPr>
      <w:r>
        <w:rPr>
          <w:b/>
          <w:bCs/>
          <w:lang w:val="fr-FR"/>
        </w:rPr>
        <w:t xml:space="preserve">Attention — Comment lire un intervalle de confiance sur un recensement</w:t>
      </w:r>
    </w:p>
    <w:p>
      <w:pPr>
        <w:pStyle w:val="BlockText"/>
      </w:pPr>
      <w:r>
        <w:rPr>
          <w:lang w:val="fr-FR"/>
        </w:rPr>
        <w:t xml:space="preserve">Les colonnes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M0_ic_bas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M0_ic_haut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M0_erreur_type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M0_cv</w:t>
      </w:r>
      <w:r>
        <w:rPr>
          <w:lang w:val="fr-FR"/>
        </w:rPr>
        <w:t xml:space="preserve"> </w:t>
      </w:r>
      <w:r>
        <w:rPr>
          <w:lang w:val="fr-FR"/>
        </w:rPr>
        <w:t xml:space="preserve">sont</w:t>
      </w:r>
      <w:r>
        <w:rPr>
          <w:lang w:val="fr-FR"/>
        </w:rPr>
        <w:t xml:space="preserve"> </w:t>
      </w:r>
      <w:r>
        <w:rPr>
          <w:lang w:val="fr-FR"/>
        </w:rPr>
        <w:t xml:space="preserve">calculées exactement comme sur l’enquête. Mais leur sens change : elles ne mesurent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pas une incertitude d’échantillonnage</w:t>
      </w:r>
      <w:r>
        <w:rPr>
          <w:lang w:val="fr-FR"/>
        </w:rPr>
        <w:t xml:space="preserve"> </w:t>
      </w:r>
      <w:r>
        <w:rPr>
          <w:lang w:val="fr-FR"/>
        </w:rPr>
        <w:t xml:space="preserve">— il n’y a pas d’échantillon — mais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dispersion du phénomène entre zones de dénombrement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Elles restent utiles, et pour une raison précise : elles disent si une sous-préfecture au chiffre</w:t>
      </w:r>
      <w:r>
        <w:rPr>
          <w:lang w:val="fr-FR"/>
        </w:rPr>
        <w:t xml:space="preserve"> </w:t>
      </w:r>
      <w:r>
        <w:rPr>
          <w:lang w:val="fr-FR"/>
        </w:rPr>
        <w:t xml:space="preserve">extrême l’est réellement, ou si son chiffre est porté par deux ou trois zones atypiques. Elles sont,</w:t>
      </w:r>
      <w:r>
        <w:rPr>
          <w:lang w:val="fr-FR"/>
        </w:rPr>
        <w:t xml:space="preserve"> </w:t>
      </w:r>
      <w:r>
        <w:rPr>
          <w:lang w:val="fr-FR"/>
        </w:rPr>
        <w:t xml:space="preserve">par construction, bien plus étroites que celles de l’EHCVM — l’IPM national est donné à</w:t>
      </w:r>
      <w:r>
        <w:rPr>
          <w:lang w:val="fr-FR"/>
        </w:rPr>
        <w:t xml:space="preserve"> </w:t>
      </w:r>
      <w:r>
        <w:rPr>
          <w:lang w:val="fr-FR"/>
        </w:rPr>
        <w:t xml:space="preserve">[0,1645 ; 0,1684] contre [0,2701 ; 0,3026] sur l’enquête.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Ne pas en conclure que le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recensement est « douze fois plus précis »</w:t>
      </w:r>
      <w:r>
        <w:rPr>
          <w:lang w:val="fr-FR"/>
        </w:rPr>
        <w:t xml:space="preserve"> </w:t>
      </w:r>
      <w:r>
        <w:rPr>
          <w:lang w:val="fr-FR"/>
        </w:rPr>
        <w:t xml:space="preserve">: les deux grandeurs ne mesurent pas la même chose.</w:t>
      </w:r>
    </w:p>
    <w:bookmarkEnd w:id="11"/>
    <w:bookmarkStart w:id="12" w:name="lecture-du-chiffre-national"/>
    <w:p>
      <w:pPr>
        <w:pStyle w:val="Heading1"/>
      </w:pPr>
      <w:r>
        <w:rPr>
          <w:lang w:val="fr-FR"/>
        </w:rPr>
        <w:t xml:space="preserve">Lecture du chiffre national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IPM national (13 indicateurs, 4 dimensions)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38,8 %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0,4287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0,1664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IC 95 %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[38,4 ; 39,3]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[0,4281 ; 0,4294]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[0,1645 ; 0,1684]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Les trois phrases à retenir</w:t>
      </w:r>
    </w:p>
    <w:p>
      <w:pPr>
        <w:pStyle w:val="BlockText"/>
        <w:numPr>
          <w:ilvl w:val="0"/>
          <w:numId w:val="1001"/>
        </w:numPr>
      </w:pPr>
      <w:r>
        <w:rPr>
          <w:b/>
          <w:bCs/>
          <w:lang w:val="fr-FR"/>
        </w:rPr>
        <w:t xml:space="preserve">38,8 %</w:t>
      </w:r>
      <w:r>
        <w:rPr>
          <w:lang w:val="fr-FR"/>
        </w:rPr>
        <w:t xml:space="preserve"> </w:t>
      </w:r>
      <w:r>
        <w:rPr>
          <w:lang w:val="fr-FR"/>
        </w:rPr>
        <w:t xml:space="preserve">de la population ivoirienne — 11,4 millions de personnes — vit dans un</w:t>
      </w:r>
      <w:r>
        <w:rPr>
          <w:lang w:val="fr-FR"/>
        </w:rPr>
        <w:t xml:space="preserve"> </w:t>
      </w:r>
      <w:r>
        <w:rPr>
          <w:lang w:val="fr-FR"/>
        </w:rPr>
        <w:t xml:space="preserve">ménage qui cumule au moins un tiers des privations pondérées.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Ces personnes subissent en moyenne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42,9 %</w:t>
      </w:r>
      <w:r>
        <w:rPr>
          <w:lang w:val="fr-FR"/>
        </w:rPr>
        <w:t xml:space="preserve"> </w:t>
      </w:r>
      <w:r>
        <w:rPr>
          <w:lang w:val="fr-FR"/>
        </w:rPr>
        <w:t xml:space="preserve">des privations pondérées possibles.</w:t>
      </w:r>
    </w:p>
    <w:p>
      <w:pPr>
        <w:pStyle w:val="BlockText"/>
        <w:numPr>
          <w:ilvl w:val="0"/>
          <w:numId w:val="1001"/>
        </w:numPr>
      </w:pPr>
      <w:r>
        <w:rPr>
          <w:lang w:val="fr-FR"/>
        </w:rPr>
        <w:t xml:space="preserve">L’indice qui combine les deux vaut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0,1664</w:t>
      </w:r>
      <w:r>
        <w:rPr>
          <w:lang w:val="fr-FR"/>
        </w:rPr>
        <w:t xml:space="preserve">.</w:t>
      </w:r>
    </w:p>
    <w:p>
      <w:pPr>
        <w:pStyle w:val="FirstParagraph"/>
      </w:pPr>
      <w:r>
        <w:rPr>
          <w:lang w:val="fr-FR"/>
        </w:rPr>
        <w:t xml:space="preserve">À côté du seuil, deux indicateurs complémentaires :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20,7 %</w:t>
      </w:r>
      <w:r>
        <w:rPr>
          <w:lang w:val="fr-FR"/>
        </w:rPr>
        <w:t xml:space="preserve"> </w:t>
      </w:r>
      <w:r>
        <w:rPr>
          <w:lang w:val="fr-FR"/>
        </w:rPr>
        <w:t xml:space="preserve">de la population est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vulnérable</w:t>
      </w:r>
      <w:r>
        <w:rPr>
          <w:lang w:val="fr-FR"/>
        </w:rPr>
        <w:t xml:space="preserve"> </w:t>
      </w:r>
      <w:r>
        <w:rPr>
          <w:lang w:val="fr-FR"/>
        </w:rPr>
        <w:t xml:space="preserve">— un score entre 0,2 et 1/3, donc juste sous le seuil — 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7,8 %</w:t>
      </w:r>
      <w:r>
        <w:rPr>
          <w:lang w:val="fr-FR"/>
        </w:rPr>
        <w:t xml:space="preserve"> </w:t>
      </w:r>
      <w:r>
        <w:rPr>
          <w:lang w:val="fr-FR"/>
        </w:rPr>
        <w:t xml:space="preserve">est</w:t>
      </w:r>
      <w:r>
        <w:rPr>
          <w:lang w:val="fr-FR"/>
        </w:rPr>
        <w:t xml:space="preserve"> </w:t>
      </w:r>
      <w:r>
        <w:rPr>
          <w:lang w:val="fr-FR"/>
        </w:rPr>
        <w:t xml:space="preserve">en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pauvreté sévère</w:t>
      </w:r>
      <w:r>
        <w:rPr>
          <w:lang w:val="fr-FR"/>
        </w:rPr>
        <w:t xml:space="preserve">, avec un score d’au moins 0,5.</w:t>
      </w:r>
    </w:p>
    <w:p>
      <w:pPr>
        <w:pStyle w:val="BlockText"/>
      </w:pPr>
      <w:r>
        <w:rPr>
          <w:b/>
          <w:bCs/>
          <w:lang w:val="fr-FR"/>
        </w:rPr>
        <w:t xml:space="preserve">Attention — Ce chiffre ne se compare pas à l’IPM de l’EHCVM</w:t>
      </w:r>
    </w:p>
    <w:p>
      <w:pPr>
        <w:pStyle w:val="BlockText"/>
      </w:pPr>
      <w:r>
        <w:rPr>
          <w:lang w:val="fr-FR"/>
        </w:rPr>
        <w:t xml:space="preserve">L’IPM national calculé sur l’enquête vaut 0,2863, celui-ci 0,1664. L’écart n’est pas une</w:t>
      </w:r>
      <w:r>
        <w:rPr>
          <w:lang w:val="fr-FR"/>
        </w:rPr>
        <w:t xml:space="preserve"> </w:t>
      </w:r>
      <w:r>
        <w:rPr>
          <w:lang w:val="fr-FR"/>
        </w:rPr>
        <w:t xml:space="preserve">contradiction entre deux mesures : les deux indices ne portent pas sur les mêmes indicateurs.</w:t>
      </w:r>
    </w:p>
    <w:p>
      <w:pPr>
        <w:pStyle w:val="BlockText"/>
      </w:pPr>
      <w:r>
        <w:rPr>
          <w:lang w:val="fr-FR"/>
        </w:rPr>
        <w:t xml:space="preserve">Le recensement ne pose aucune question de santé. Sa dimension Santé ne tient qu’à la mortalité</w:t>
      </w:r>
      <w:r>
        <w:rPr>
          <w:lang w:val="fr-FR"/>
        </w:rPr>
        <w:t xml:space="preserve"> </w:t>
      </w:r>
      <w:r>
        <w:rPr>
          <w:lang w:val="fr-FR"/>
        </w:rPr>
        <w:t xml:space="preserve">— une privation qui ne touche que 1,1 % des ménages — et cette dimension porte pourtant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 quart du poids</w:t>
      </w:r>
      <w:r>
        <w:rPr>
          <w:lang w:val="fr-FR"/>
        </w:rPr>
        <w:t xml:space="preserve">. Un ménage du recensement ne peut donc pratiquement pas dépasser un</w:t>
      </w:r>
      <w:r>
        <w:rPr>
          <w:lang w:val="fr-FR"/>
        </w:rPr>
        <w:t xml:space="preserve"> </w:t>
      </w:r>
      <w:r>
        <w:rPr>
          <w:lang w:val="fr-FR"/>
        </w:rPr>
        <w:t xml:space="preserve">score de 0,75, et beaucoup de ménages que l’enquête classerait pauvres restent sous le seuil.</w:t>
      </w:r>
    </w:p>
    <w:p>
      <w:pPr>
        <w:pStyle w:val="BlockText"/>
      </w:pPr>
      <w:r>
        <w:rPr>
          <w:lang w:val="fr-FR"/>
        </w:rPr>
        <w:t xml:space="preserve">Pour comparer les deux sources, il faut passer par le classeur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indices_ipm_harmonise_*</w:t>
      </w:r>
      <w:r>
        <w:rPr>
          <w:lang w:val="fr-FR"/>
        </w:rPr>
        <w:t xml:space="preserve"> </w:t>
      </w:r>
      <w:r>
        <w:rPr>
          <w:lang w:val="fr-FR"/>
        </w:rPr>
        <w:t xml:space="preserve">(section </w:t>
      </w:r>
      <w:hyperlink w:anchor="sec:harmonise">
        <w:r>
          <w:rPr>
            <w:rStyle w:val="Hyperlink"/>
            <w:lang w:val="fr-FR"/>
          </w:rPr>
          <w:t xml:space="preserve">7</w:t>
        </w:r>
      </w:hyperlink>
      <w:r>
        <w:rPr>
          <w:lang w:val="fr-FR"/>
        </w:rPr>
        <w:t xml:space="preserve">).</w:t>
      </w:r>
    </w:p>
    <w:bookmarkEnd w:id="12"/>
    <w:bookmarkStart w:id="17" w:name="lecture-territoriale"/>
    <w:p>
      <w:pPr>
        <w:pStyle w:val="Heading1"/>
      </w:pPr>
      <w:r>
        <w:rPr>
          <w:lang w:val="fr-FR"/>
        </w:rPr>
        <w:t xml:space="preserve">Lecture territoriale</w:t>
      </w:r>
    </w:p>
    <w:bookmarkStart w:id="13" w:name="le-milieu-de-résidence"/>
    <w:p>
      <w:pPr>
        <w:pStyle w:val="Heading2"/>
      </w:pPr>
      <w:r>
        <w:rPr>
          <w:lang w:val="fr-FR"/>
        </w:rPr>
        <w:t xml:space="preserve">Le milieu de résidence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Milieu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Part pop.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Vulnér.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Sévère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Urbain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44,8 %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0,0212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17,7 %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Semi-urbain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41,0 %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0,1705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34,2 %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6,4 %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45,8 %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71,1 %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0,3075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84,7 %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20,9 %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15,3 %</w:t>
            </w:r>
          </w:p>
        </w:tc>
      </w:tr>
    </w:tbl>
    <w:p>
      <w:pPr>
        <w:pStyle w:val="BodyText"/>
      </w:pPr>
      <w:r>
        <w:rPr>
          <w:lang w:val="fr-FR"/>
        </w:rPr>
        <w:t xml:space="preserve">C’est le résultat le plus net des sorties. Le rural et l’urbain pèsent le même poids démographique</w:t>
      </w:r>
      <w:r>
        <w:rPr>
          <w:lang w:val="fr-FR"/>
        </w:rPr>
        <w:t xml:space="preserve"> </w:t>
      </w:r>
      <w:r>
        <w:rPr>
          <w:lang w:val="fr-FR"/>
        </w:rPr>
        <w:t xml:space="preserve">— 45,8 % contre 44,8 % — mais le rural porte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84,7 %</w:t>
      </w:r>
      <w:r>
        <w:rPr>
          <w:lang w:val="fr-FR"/>
        </w:rPr>
        <w:t xml:space="preserve"> </w:t>
      </w:r>
      <w:r>
        <w:rPr>
          <w:lang w:val="fr-FR"/>
        </w:rPr>
        <w:t xml:space="preserve">de la pauvreté</w:t>
      </w:r>
      <w:r>
        <w:rPr>
          <w:lang w:val="fr-FR"/>
        </w:rPr>
        <w:t xml:space="preserve"> </w:t>
      </w:r>
      <w:r>
        <w:rPr>
          <w:lang w:val="fr-FR"/>
        </w:rPr>
        <w:t xml:space="preserve">multidimensionnelle du pays, contre 5,7 % pour l’urbain. Le rapport des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est de un à quinze.</w:t>
      </w:r>
    </w:p>
    <w:p>
      <w:pPr>
        <w:pStyle w:val="BodyText"/>
      </w:pPr>
      <w:r>
        <w:rPr>
          <w:lang w:val="fr-FR"/>
        </w:rPr>
        <w:t xml:space="preserve">Le semi-urbain mérite une lecture à part. Son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est intermédiaire, mais c’est le milieu où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vulnérabilité est la plus forte</w:t>
      </w:r>
      <w:r>
        <w:rPr>
          <w:lang w:val="fr-FR"/>
        </w:rPr>
        <w:t xml:space="preserve"> </w:t>
      </w:r>
      <w:r>
        <w:rPr>
          <w:lang w:val="fr-FR"/>
        </w:rPr>
        <w:t xml:space="preserve">: 34,2 % de sa population a un score entre 0,2 et 1/3,</w:t>
      </w:r>
      <w:r>
        <w:rPr>
          <w:lang w:val="fr-FR"/>
        </w:rPr>
        <w:t xml:space="preserve"> </w:t>
      </w:r>
      <w:r>
        <w:rPr>
          <w:lang w:val="fr-FR"/>
        </w:rPr>
        <w:t xml:space="preserve">contre 17,7 % en urbain et 20,9 % en rural. Autrement dit, une part inhabituellement large de sa</w:t>
      </w:r>
      <w:r>
        <w:rPr>
          <w:lang w:val="fr-FR"/>
        </w:rPr>
        <w:t xml:space="preserve"> </w:t>
      </w:r>
      <w:r>
        <w:rPr>
          <w:lang w:val="fr-FR"/>
        </w:rPr>
        <w:t xml:space="preserve">population est juste sous le seuil — une population que peu de choses sépareraient du basculement.</w:t>
      </w:r>
    </w:p>
    <w:bookmarkEnd w:id="13"/>
    <w:bookmarkStart w:id="14" w:name="les-régions"/>
    <w:p>
      <w:pPr>
        <w:pStyle w:val="Heading2"/>
      </w:pPr>
      <w:r>
        <w:rPr>
          <w:lang w:val="fr-FR"/>
        </w:rPr>
        <w:t xml:space="preserve">Les régions</w:t>
      </w:r>
    </w:p>
    <w:p>
      <w:pPr>
        <w:pStyle w:val="FirstParagraph"/>
      </w:pPr>
      <w:r>
        <w:rPr>
          <w:lang w:val="fr-FR"/>
        </w:rPr>
        <w:t xml:space="preserve">@lrrrr@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Région</w:t>
      </w:r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Part pop.</w:t>
      </w:r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m:oMath>
        <m:r>
          <m:t>H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&amp;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Contribution</w:t>
      </w:r>
      <w:r>
        <w:br/>
      </w:r>
      <w:r>
        <w:br/>
      </w:r>
      <w:r>
        <w:rPr>
          <w:lang w:val="fr-FR"/>
        </w:rPr>
        <w:t xml:space="preserve">District autonome d’Abidjan &amp; 21,5 % &amp; 1,8 % &amp; 0,0069 &amp; 0,9 %</w:t>
      </w:r>
      <w:r>
        <w:br/>
      </w:r>
      <w:r>
        <w:rPr>
          <w:lang w:val="fr-FR"/>
        </w:rPr>
        <w:t xml:space="preserve">District autonome de Yamoussoukro &amp; 1,4 % &amp; 18,7 % &amp; 0,0755 &amp; 0,6 %</w:t>
      </w:r>
      <w:r>
        <w:br/>
      </w:r>
      <w:r>
        <w:rPr>
          <w:lang w:val="fr-FR"/>
        </w:rPr>
        <w:t xml:space="preserve">Sud-Comoé &amp; 2,7 % &amp; 28,1 % &amp; 0,1181 &amp; 1,9 %</w:t>
      </w:r>
      <w:r>
        <w:br/>
      </w:r>
      <w:r>
        <w:rPr>
          <w:lang w:val="fr-FR"/>
        </w:rPr>
        <w:t xml:space="preserve">Gbêkê &amp; 4,6 % &amp; 30,2 % &amp; 0,1279 &amp; 3,5 %</w:t>
      </w:r>
      <w:r>
        <w:br/>
      </w:r>
      <w:r>
        <w:rPr>
          <w:lang w:val="fr-FR"/>
        </w:rPr>
        <w:t xml:space="preserve">La Mé &amp; 2,5 % &amp; 32,2 % &amp; 0,1324 &amp; 2,0 %</w:t>
      </w:r>
      <w:r>
        <w:br/>
      </w:r>
      <w:r>
        <w:br/>
      </w:r>
      <w:r>
        <w:rPr>
          <w:lang w:val="fr-FR"/>
        </w:rPr>
        <w:t xml:space="preserve">Gbôklé &amp; 1,6 % &amp; 65,1 % &amp; 0,2804 &amp; 2,6 %</w:t>
      </w:r>
      <w:r>
        <w:br/>
      </w:r>
      <w:r>
        <w:rPr>
          <w:lang w:val="fr-FR"/>
        </w:rPr>
        <w:t xml:space="preserve">Béré &amp; 1,7 % &amp; 66,9 % &amp; 0,2843 &amp; 2,9 %</w:t>
      </w:r>
      <w:r>
        <w:br/>
      </w:r>
      <w:r>
        <w:rPr>
          <w:lang w:val="fr-FR"/>
        </w:rPr>
        <w:t xml:space="preserve">Bafing &amp; 0,9 % &amp; 69,5 % &amp; 0,3139 &amp; 1,7 %</w:t>
      </w:r>
      <w:r>
        <w:br/>
      </w:r>
      <w:r>
        <w:rPr>
          <w:lang w:val="fr-FR"/>
        </w:rPr>
        <w:t xml:space="preserve">Folon &amp; 0,5 % &amp; 76,2 % &amp; 0,3275 &amp; 1,0 %</w:t>
      </w:r>
      <w:r>
        <w:br/>
      </w:r>
      <w:r>
        <w:rPr>
          <w:lang w:val="fr-FR"/>
        </w:rPr>
        <w:t xml:space="preserve">Bounkani &amp; 1,5 % &amp; 76,5 % &amp; 0,3654 &amp; 3,2 %</w:t>
      </w:r>
      <w:r>
        <w:br/>
      </w:r>
    </w:p>
    <w:p>
      <w:pPr>
        <w:pStyle w:val="BodyText"/>
      </w:pPr>
      <w:r>
        <w:rPr>
          <w:lang w:val="fr-FR"/>
        </w:rPr>
        <w:t xml:space="preserve">L’écart va de 0,0069 à 0,3654 : un rapport de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un à cinquante-trois</w:t>
      </w:r>
      <w:r>
        <w:rPr>
          <w:lang w:val="fr-FR"/>
        </w:rPr>
        <w:t xml:space="preserve">. Abidjan concentre</w:t>
      </w:r>
      <w:r>
        <w:rPr>
          <w:lang w:val="fr-FR"/>
        </w:rPr>
        <w:t xml:space="preserve"> </w:t>
      </w:r>
      <w:r>
        <w:rPr>
          <w:lang w:val="fr-FR"/>
        </w:rPr>
        <w:t xml:space="preserve">21,5 % de la population du pays et moins de 1 % de sa pauvreté multidimensionnelle.</w:t>
      </w:r>
    </w:p>
    <w:p>
      <w:pPr>
        <w:pStyle w:val="BlockText"/>
      </w:pPr>
      <w:r>
        <w:rPr>
          <w:b/>
          <w:bCs/>
          <w:lang w:val="fr-FR"/>
        </w:rPr>
        <w:t xml:space="preserve">Ne pas confondre</w:t>
      </w:r>
      <w:r>
        <w:rPr>
          <w:b/>
          <w:bCs/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et contribution</w:t>
      </w:r>
    </w:p>
    <w:p>
      <w:pPr>
        <w:pStyle w:val="BlockText"/>
      </w:pPr>
      <w:r>
        <w:rPr>
          <w:lang w:val="fr-FR"/>
        </w:rPr>
        <w:t xml:space="preserve">Bounkani a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le plus élevé du pays (0,3654) mais ne contribue qu’à 3,2 % de l’indice</w:t>
      </w:r>
      <w:r>
        <w:rPr>
          <w:lang w:val="fr-FR"/>
        </w:rPr>
        <w:t xml:space="preserve"> </w:t>
      </w:r>
      <w:r>
        <w:rPr>
          <w:lang w:val="fr-FR"/>
        </w:rPr>
        <w:t xml:space="preserve">national, parce qu’elle ne pèse que 1,5 % de la population.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dit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où la pauvreté est la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plus intense</w:t>
      </w:r>
      <w:r>
        <w:rPr>
          <w:lang w:val="fr-FR"/>
        </w:rPr>
        <w:t xml:space="preserve"> </w:t>
      </w:r>
      <w:r>
        <w:rPr>
          <w:lang w:val="fr-FR"/>
        </w:rPr>
        <w:t xml:space="preserve">;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contribution_M0</w:t>
      </w:r>
      <w:r>
        <w:rPr>
          <w:lang w:val="fr-FR"/>
        </w:rPr>
        <w:t xml:space="preserve"> </w:t>
      </w:r>
      <w:r>
        <w:rPr>
          <w:lang w:val="fr-FR"/>
        </w:rPr>
        <w:t xml:space="preserve">dit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où se trouve le plus de pauvreté</w:t>
      </w:r>
      <w:r>
        <w:rPr>
          <w:lang w:val="fr-FR"/>
        </w:rPr>
        <w:t xml:space="preserve">. La première</w:t>
      </w:r>
      <w:r>
        <w:rPr>
          <w:lang w:val="fr-FR"/>
        </w:rPr>
        <w:t xml:space="preserve"> </w:t>
      </w:r>
      <w:r>
        <w:rPr>
          <w:lang w:val="fr-FR"/>
        </w:rPr>
        <w:t xml:space="preserve">oriente le ciblage, la seconde le volume des moyens.</w:t>
      </w:r>
    </w:p>
    <w:bookmarkEnd w:id="14"/>
    <w:bookmarkStart w:id="15" w:name="départements-et-sous-préfectures"/>
    <w:p>
      <w:pPr>
        <w:pStyle w:val="Heading2"/>
      </w:pPr>
      <w:r>
        <w:rPr>
          <w:lang w:val="fr-FR"/>
        </w:rPr>
        <w:t xml:space="preserve">Départements et sous-préfectures</w:t>
      </w:r>
    </w:p>
    <w:p>
      <w:pPr>
        <w:pStyle w:val="FirstParagraph"/>
      </w:pPr>
      <w:r>
        <w:rPr>
          <w:lang w:val="fr-FR"/>
        </w:rPr>
        <w:t xml:space="preserve">C’est la raison d’être du calcul sur recensement. À la maille du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département</w:t>
      </w:r>
      <w:r>
        <w:rPr>
          <w:lang w:val="fr-FR"/>
        </w:rPr>
        <w:t xml:space="preserve">, l’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va</w:t>
      </w:r>
      <w:r>
        <w:rPr>
          <w:lang w:val="fr-FR"/>
        </w:rPr>
        <w:t xml:space="preserve"> </w:t>
      </w:r>
      <w:r>
        <w:rPr>
          <w:lang w:val="fr-FR"/>
        </w:rPr>
        <w:t xml:space="preserve">d’Abidjan (0,0069) à Téhini (0,4191), en passant par Sipilou (0,3760) et Kong (0,3699). À celle de</w:t>
      </w:r>
      <w:r>
        <w:rPr>
          <w:lang w:val="fr-FR"/>
        </w:rPr>
        <w:t xml:space="preserve"> </w:t>
      </w:r>
      <w:r>
        <w:rPr>
          <w:lang w:val="fr-FR"/>
        </w:rPr>
        <w:t xml:space="preserve">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sous-préfecture ou commune</w:t>
      </w:r>
      <w:r>
        <w:rPr>
          <w:lang w:val="fr-FR"/>
        </w:rPr>
        <w:t xml:space="preserve">, il va du Plateau (0,0015) à Santa de Ouaninou (0,4752), où</w:t>
      </w:r>
      <w:r>
        <w:rPr>
          <w:lang w:val="fr-FR"/>
        </w:rPr>
        <w:t xml:space="preserve"> </w:t>
      </w:r>
      <w:r>
        <w:rPr>
          <w:lang w:val="fr-FR"/>
        </w:rPr>
        <w:t xml:space="preserve">92,6 % de la population est multidimensionnellement pauvre — suivie de Niamoué (0,4748) et Gogo</w:t>
      </w:r>
      <w:r>
        <w:rPr>
          <w:lang w:val="fr-FR"/>
        </w:rPr>
        <w:t xml:space="preserve"> </w:t>
      </w:r>
      <w:r>
        <w:rPr>
          <w:lang w:val="fr-FR"/>
        </w:rPr>
        <w:t xml:space="preserve">(0,4747).</w:t>
      </w:r>
    </w:p>
    <w:p>
      <w:pPr>
        <w:pStyle w:val="BlockText"/>
      </w:pPr>
      <w:r>
        <w:rPr>
          <w:b/>
          <w:bCs/>
          <w:lang w:val="fr-FR"/>
        </w:rPr>
        <w:t xml:space="preserve">Attention — Dix-neuf sous-préfectures à ne pas publier telles quelles</w:t>
      </w:r>
    </w:p>
    <w:p>
      <w:pPr>
        <w:pStyle w:val="BlockText"/>
      </w:pPr>
      <w:r>
        <w:rPr>
          <w:lang w:val="fr-FR"/>
        </w:rPr>
        <w:t xml:space="preserve">Sur les 519 modalités de la feuille</w:t>
      </w:r>
      <w:r>
        <w:rPr>
          <w:lang w:val="fr-FR"/>
        </w:rPr>
        <w:t xml:space="preserve"> </w:t>
      </w:r>
      <w:r>
        <w:rPr>
          <w:lang w:val="fr-FR"/>
        </w:rPr>
        <w:t xml:space="preserve">Sous-préfecture ou commune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19 dépassent un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coefficient de variation de 20 %</w:t>
      </w:r>
      <w:r>
        <w:rPr>
          <w:lang w:val="fr-FR"/>
        </w:rPr>
        <w:t xml:space="preserve">. Elles représentent ensemble 1,55 % de la population. Les plus</w:t>
      </w:r>
      <w:r>
        <w:rPr>
          <w:lang w:val="fr-FR"/>
        </w:rPr>
        <w:t xml:space="preserve"> </w:t>
      </w:r>
      <w:r>
        <w:rPr>
          <w:lang w:val="fr-FR"/>
        </w:rPr>
        <w:t xml:space="preserve">imprécises sont Plateau (CV 39 %, 8 zones de dénombrement), Oress-Krobou (38 %, 6 zones) et</w:t>
      </w:r>
      <w:r>
        <w:rPr>
          <w:lang w:val="fr-FR"/>
        </w:rPr>
        <w:t xml:space="preserve"> </w:t>
      </w:r>
      <w:r>
        <w:rPr>
          <w:lang w:val="fr-FR"/>
        </w:rPr>
        <w:t xml:space="preserve">Toukouzou (30 %, 3 zones).</w:t>
      </w:r>
    </w:p>
    <w:p>
      <w:pPr>
        <w:pStyle w:val="BlockText"/>
      </w:pPr>
      <w:r>
        <w:rPr>
          <w:lang w:val="fr-FR"/>
        </w:rPr>
        <w:t xml:space="preserve">Le point commun est le petit nombre de zones de dénombrement, pas le petit nombre de ménages :</w:t>
      </w:r>
      <w:r>
        <w:rPr>
          <w:lang w:val="fr-FR"/>
        </w:rPr>
        <w:t xml:space="preserve"> </w:t>
      </w:r>
      <w:r>
        <w:rPr>
          <w:lang w:val="fr-FR"/>
        </w:rPr>
        <w:t xml:space="preserve">Plateau compte 1 584 ménages, mais tous issus de 8 zones seulement. La colonne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grappes</w:t>
      </w:r>
      <w:r>
        <w:rPr>
          <w:lang w:val="fr-FR"/>
        </w:rPr>
        <w:t xml:space="preserve"> </w:t>
      </w:r>
      <w:r>
        <w:rPr>
          <w:lang w:val="fr-FR"/>
        </w:rPr>
        <w:t xml:space="preserve">est</w:t>
      </w:r>
      <w:r>
        <w:rPr>
          <w:lang w:val="fr-FR"/>
        </w:rPr>
        <w:t xml:space="preserve"> </w:t>
      </w:r>
      <w:r>
        <w:rPr>
          <w:lang w:val="fr-FR"/>
        </w:rPr>
        <w:t xml:space="preserve">donc le bon signal d’alerte, pas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menages</w:t>
      </w:r>
      <w:r>
        <w:rPr>
          <w:lang w:val="fr-FR"/>
        </w:rPr>
        <w:t xml:space="preserve">.</w:t>
      </w:r>
    </w:p>
    <w:p>
      <w:pPr>
        <w:pStyle w:val="BlockText"/>
      </w:pPr>
      <w:r>
        <w:rPr>
          <w:lang w:val="fr-FR"/>
        </w:rPr>
        <w:t xml:space="preserve">Toutes les autres mailles — ensemble, milieu, 33 régions, 111 départements, classes de taille —</w:t>
      </w:r>
      <w:r>
        <w:rPr>
          <w:lang w:val="fr-FR"/>
        </w:rPr>
        <w:t xml:space="preserve"> </w:t>
      </w:r>
      <w:r>
        <w:rPr>
          <w:lang w:val="fr-FR"/>
        </w:rPr>
        <w:t xml:space="preserve">sont sous le seuil de 20 %, sans exception.</w:t>
      </w:r>
    </w:p>
    <w:bookmarkEnd w:id="15"/>
    <w:bookmarkStart w:id="16" w:name="la-taille-du-ménage"/>
    <w:p>
      <w:pPr>
        <w:pStyle w:val="Heading2"/>
      </w:pPr>
      <w:r>
        <w:rPr>
          <w:lang w:val="fr-FR"/>
        </w:rPr>
        <w:t xml:space="preserve">La taille du ménage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Taille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Part pop.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1-2 personnes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20,9 %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0,0825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3-4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17,8 %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28,8 %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12,7 %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5-6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22,3 %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34,9 %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0,1491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19,9 %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7-9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22,2 %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40,5 %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0,1747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23,3 %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10 et plus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51,8 %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0,2266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39,9 %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Attention — Une pente en partie mécanique</w:t>
      </w:r>
    </w:p>
    <w:p>
      <w:pPr>
        <w:pStyle w:val="BlockText"/>
      </w:pPr>
      <w:r>
        <w:rPr>
          <w:lang w:val="fr-FR"/>
        </w:rPr>
        <w:t xml:space="preserve">La relation est monotone, mais une partie en est un artefact de définition. Plusieurs indicateurs</w:t>
      </w:r>
      <w:r>
        <w:rPr>
          <w:lang w:val="fr-FR"/>
        </w:rPr>
        <w:t xml:space="preserve"> </w:t>
      </w:r>
      <w:r>
        <w:rPr>
          <w:lang w:val="fr-FR"/>
        </w:rPr>
        <w:t xml:space="preserve">sont formulés en «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au moins un</w:t>
      </w:r>
      <w:r>
        <w:rPr>
          <w:lang w:val="fr-FR"/>
        </w:rPr>
        <w:t xml:space="preserve"> </w:t>
      </w:r>
      <w:r>
        <w:rPr>
          <w:lang w:val="fr-FR"/>
        </w:rPr>
        <w:t xml:space="preserve">membre » — au moins un enfant non scolarisé, au moins un</w:t>
      </w:r>
      <w:r>
        <w:rPr>
          <w:lang w:val="fr-FR"/>
        </w:rPr>
        <w:t xml:space="preserve"> </w:t>
      </w:r>
      <w:r>
        <w:rPr>
          <w:lang w:val="fr-FR"/>
        </w:rPr>
        <w:t xml:space="preserve">chômeur, au moins un membre non alphabétisé. Un ménage de dix personnes a mécaniquement plus de</w:t>
      </w:r>
      <w:r>
        <w:rPr>
          <w:lang w:val="fr-FR"/>
        </w:rPr>
        <w:t xml:space="preserve"> </w:t>
      </w:r>
      <w:r>
        <w:rPr>
          <w:lang w:val="fr-FR"/>
        </w:rPr>
        <w:t xml:space="preserve">chances d’en compter un qu’un ménage de deux, à conditions de vie identiques.</w:t>
      </w:r>
    </w:p>
    <w:p>
      <w:pPr>
        <w:pStyle w:val="BlockText"/>
      </w:pPr>
      <w:r>
        <w:rPr>
          <w:lang w:val="fr-FR"/>
        </w:rPr>
        <w:t xml:space="preserve">Cette feuille se lit donc comme une description, non comme une causalité : elle ne dit pas que</w:t>
      </w:r>
      <w:r>
        <w:rPr>
          <w:lang w:val="fr-FR"/>
        </w:rPr>
        <w:t xml:space="preserve"> </w:t>
      </w:r>
      <w:r>
        <w:rPr>
          <w:lang w:val="fr-FR"/>
        </w:rPr>
        <w:t xml:space="preserve">« les grands ménages sont plus pauvres », mais que « la pauvreté mesurée par cet indice se</w:t>
      </w:r>
      <w:r>
        <w:rPr>
          <w:lang w:val="fr-FR"/>
        </w:rPr>
        <w:t xml:space="preserve"> </w:t>
      </w:r>
      <w:r>
        <w:rPr>
          <w:lang w:val="fr-FR"/>
        </w:rPr>
        <w:t xml:space="preserve">concentre dans les grands ménages ».</w:t>
      </w:r>
    </w:p>
    <w:bookmarkEnd w:id="16"/>
    <w:bookmarkEnd w:id="17"/>
    <w:bookmarkStart w:id="18" w:name="lecture-de-la-feuille-contributions"/>
    <w:p>
      <w:pPr>
        <w:pStyle w:val="Heading1"/>
      </w:pPr>
      <w:r>
        <w:rPr>
          <w:lang w:val="fr-FR"/>
        </w:rPr>
        <w:t xml:space="preserve">Lecture de la feuille</w:t>
      </w:r>
      <w:r>
        <w:rPr>
          <w:lang w:val="fr-FR"/>
        </w:rPr>
        <w:t xml:space="preserve"> </w:t>
      </w:r>
      <w:r>
        <w:rPr>
          <w:lang w:val="fr-FR"/>
        </w:rPr>
        <w:t xml:space="preserve">Contributions</w:t>
      </w:r>
    </w:p>
    <w:p>
      <w:pPr>
        <w:pStyle w:val="FirstParagraph"/>
      </w:pPr>
      <w:r>
        <w:rPr>
          <w:lang w:val="fr-FR"/>
        </w:rPr>
        <w:t xml:space="preserve">Cette feuille répond à une seule question :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quel indicateur fait l’indice ?</w:t>
      </w:r>
      <w:r>
        <w:rPr>
          <w:lang w:val="fr-FR"/>
        </w:rPr>
        <w:t xml:space="preserve"> </w:t>
      </w:r>
      <w:r>
        <w:rPr>
          <w:lang w:val="fr-FR"/>
        </w:rPr>
        <w:t xml:space="preserve">Sa colonne de</w:t>
      </w:r>
      <w:r>
        <w:rPr>
          <w:lang w:val="fr-FR"/>
        </w:rPr>
        <w:t xml:space="preserve"> </w:t>
      </w:r>
      <w:r>
        <w:rPr>
          <w:lang w:val="fr-FR"/>
        </w:rPr>
        <w:t xml:space="preserve">contribution somme à 1.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Priv. censurée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 de subsistance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35,7 %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26,8 %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Alphabétisation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36,3 %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Année de scolarité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35,6 %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13,4 %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Énergie de cuisson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37,8 %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Fréquentation scolaire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23,2 %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Toilette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7,4 %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État civil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0,0625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4,9 %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18,9 %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Eau potable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11,2 %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9,9 %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Cond. de vie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Biens d’équipement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0,0417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2,3 %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0,1250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2,4 %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1,8 %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Santé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Mortalité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0,2500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1,6 %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Poids 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Contribution réelle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Éducation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40,6 %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Conditions de vie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29,2 %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28,6 %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Santé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1,6 %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Ce que « privation censurée » veut dire</w:t>
      </w:r>
    </w:p>
    <w:p>
      <w:pPr>
        <w:pStyle w:val="BlockText"/>
      </w:pPr>
      <w:r>
        <w:rPr>
          <w:rStyle w:val="VerbatimChar"/>
          <w:lang w:val="fr-FR"/>
        </w:rPr>
        <w:t xml:space="preserve">taux_privation_censure</w:t>
      </w:r>
      <w:r>
        <w:rPr>
          <w:lang w:val="fr-FR"/>
        </w:rPr>
        <w:t xml:space="preserve"> </w:t>
      </w:r>
      <w:r>
        <w:rPr>
          <w:lang w:val="fr-FR"/>
        </w:rPr>
        <w:t xml:space="preserve">n’est pas le taux de privation brut : c’est la privation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des seuls ménages pauvres</w:t>
      </w:r>
      <w:r>
        <w:rPr>
          <w:lang w:val="fr-FR"/>
        </w:rPr>
        <w:t xml:space="preserve">. C’est pour cette raison que les deux ne coïncident pas —</w:t>
      </w:r>
      <w:r>
        <w:rPr>
          <w:lang w:val="fr-FR"/>
        </w:rPr>
        <w:t xml:space="preserve"> </w:t>
      </w:r>
      <w:r>
        <w:rPr>
          <w:lang w:val="fr-FR"/>
        </w:rPr>
        <w:t xml:space="preserve">l’énergie de cuisson prive 62,7 % de la population, mais 37,8 % en privation censurée. La</w:t>
      </w:r>
      <w:r>
        <w:rPr>
          <w:lang w:val="fr-FR"/>
        </w:rPr>
        <w:t xml:space="preserve"> </w:t>
      </w:r>
      <w:r>
        <w:rPr>
          <w:lang w:val="fr-FR"/>
        </w:rPr>
        <w:t xml:space="preserve">contribution se lit sur cette seconde grandeur : c’est elle qui décompose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.</w:t>
      </w:r>
    </w:p>
    <w:p>
      <w:pPr>
        <w:pStyle w:val="FirstParagraph"/>
      </w:pPr>
      <w:r>
        <w:rPr>
          <w:lang w:val="fr-FR"/>
        </w:rPr>
        <w:t xml:space="preserve">Deux lectures s’imposent devant cette feuille.</w:t>
      </w:r>
    </w:p>
    <w:p>
      <w:pPr>
        <w:pStyle w:val="BlockText"/>
      </w:pPr>
      <w:r>
        <w:rPr>
          <w:b/>
          <w:bCs/>
          <w:lang w:val="fr-FR"/>
        </w:rPr>
        <w:t xml:space="preserve">Attention — La dimension Santé est presque inerte</w:t>
      </w:r>
    </w:p>
    <w:p>
      <w:pPr>
        <w:pStyle w:val="BlockText"/>
      </w:pPr>
      <w:r>
        <w:rPr>
          <w:lang w:val="fr-FR"/>
        </w:rPr>
        <w:t xml:space="preserve">Un poids nominal de 25 %, une contribution réelle de 1,6 %. La dimension ne tient qu’à la</w:t>
      </w:r>
      <w:r>
        <w:rPr>
          <w:lang w:val="fr-FR"/>
        </w:rPr>
        <w:t xml:space="preserve"> </w:t>
      </w:r>
      <w:r>
        <w:rPr>
          <w:lang w:val="fr-FR"/>
        </w:rPr>
        <w:t xml:space="preserve">mortalité : le recensement ne pose aucune autre question de santé, et la mortalité n’y est relevée</w:t>
      </w:r>
      <w:r>
        <w:rPr>
          <w:lang w:val="fr-FR"/>
        </w:rPr>
        <w:t xml:space="preserve"> </w:t>
      </w:r>
      <w:r>
        <w:rPr>
          <w:lang w:val="fr-FR"/>
        </w:rPr>
        <w:t xml:space="preserve">que sur douze mois quand l’IPM mondial en retient soixante. S’y ajoute que l’âge au décès est</w:t>
      </w:r>
      <w:r>
        <w:rPr>
          <w:lang w:val="fr-FR"/>
        </w:rPr>
        <w:t xml:space="preserve"> </w:t>
      </w:r>
      <w:r>
        <w:rPr>
          <w:lang w:val="fr-FR"/>
        </w:rPr>
        <w:t xml:space="preserve">inconnu pour 27,1 % des décès enregistrés.</w:t>
      </w:r>
    </w:p>
    <w:p>
      <w:pPr>
        <w:pStyle w:val="BlockText"/>
      </w:pPr>
      <w:r>
        <w:rPr>
          <w:lang w:val="fr-FR"/>
        </w:rPr>
        <w:t xml:space="preserve">Conséquence pratique : l’IPM RGPH se comporte, pour l’essentiel, comme un indice à trois dimensions</w:t>
      </w:r>
      <w:r>
        <w:rPr>
          <w:lang w:val="fr-FR"/>
        </w:rPr>
        <w:t xml:space="preserve"> </w:t>
      </w:r>
      <w:r>
        <w:rPr>
          <w:lang w:val="fr-FR"/>
        </w:rPr>
        <w:t xml:space="preserve">dont la quatrième plafonne le score à 0,75. C’est la principale réserve à formuler devant le</w:t>
      </w:r>
      <w:r>
        <w:rPr>
          <w:lang w:val="fr-FR"/>
        </w:rPr>
        <w:t xml:space="preserve"> </w:t>
      </w:r>
      <w:r>
        <w:rPr>
          <w:lang w:val="fr-FR"/>
        </w:rPr>
        <w:t xml:space="preserve">chiffre de 0,1664.</w:t>
      </w:r>
    </w:p>
    <w:p>
      <w:pPr>
        <w:pStyle w:val="BlockText"/>
      </w:pPr>
      <w:r>
        <w:rPr>
          <w:b/>
          <w:bCs/>
          <w:lang w:val="fr-FR"/>
        </w:rPr>
        <w:t xml:space="preserve">Attention — L’emploi de subsistance porte plus du quart de l’indice</w:t>
      </w:r>
    </w:p>
    <w:p>
      <w:pPr>
        <w:pStyle w:val="BlockText"/>
      </w:pPr>
      <w:r>
        <w:rPr>
          <w:lang w:val="fr-FR"/>
        </w:rPr>
        <w:t xml:space="preserve">26,8 % de</w:t>
      </w:r>
      <w:r>
        <w:rPr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sur un seul indicateur — et c’est celui dont la mesure est la plus approximative.</w:t>
      </w:r>
      <w:r>
        <w:rPr>
          <w:lang w:val="fr-FR"/>
        </w:rPr>
        <w:t xml:space="preserve"> </w:t>
      </w:r>
      <w:r>
        <w:rPr>
          <w:lang w:val="fr-FR"/>
        </w:rPr>
        <w:t xml:space="preserve">Le recensement ne demande pas si le chef de ménage travaille « sur son propre champ » : on retient</w:t>
      </w:r>
      <w:r>
        <w:rPr>
          <w:lang w:val="fr-FR"/>
        </w:rPr>
        <w:t xml:space="preserve"> </w:t>
      </w:r>
      <w:r>
        <w:rPr>
          <w:lang w:val="fr-FR"/>
        </w:rPr>
        <w:t xml:space="preserve">donc le chef occupé dans une branche agricole, à son compte ou comme aide familial.</w:t>
      </w:r>
    </w:p>
    <w:p>
      <w:pPr>
        <w:pStyle w:val="BlockText"/>
      </w:pPr>
      <w:r>
        <w:rPr>
          <w:lang w:val="fr-FR"/>
        </w:rPr>
        <w:t xml:space="preserve">Deux effets se conjuguent pour lui donner ce poids : la dimension Emploi ne compte que deux</w:t>
      </w:r>
      <w:r>
        <w:rPr>
          <w:lang w:val="fr-FR"/>
        </w:rPr>
        <w:t xml:space="preserve"> </w:t>
      </w:r>
      <w:r>
        <w:rPr>
          <w:lang w:val="fr-FR"/>
        </w:rPr>
        <w:t xml:space="preserve">indicateurs, chacun à 0,125 ; et le chômage ne prive que 2,4 % des ménages pauvres, laissant</w:t>
      </w:r>
      <w:r>
        <w:rPr>
          <w:lang w:val="fr-FR"/>
        </w:rPr>
        <w:t xml:space="preserve"> </w:t>
      </w:r>
      <w:r>
        <w:rPr>
          <w:lang w:val="fr-FR"/>
        </w:rPr>
        <w:t xml:space="preserve">l’emploi de subsistance porter la dimension presque seul.</w:t>
      </w:r>
    </w:p>
    <w:p>
      <w:pPr>
        <w:pStyle w:val="BlockText"/>
      </w:pPr>
      <w:r>
        <w:rPr>
          <w:lang w:val="fr-FR"/>
        </w:rPr>
        <w:t xml:space="preserve">Si l’approximation devait être resserrée, c’est plus du quart de l’indice qui se déplacerait. C’est</w:t>
      </w:r>
      <w:r>
        <w:rPr>
          <w:lang w:val="fr-FR"/>
        </w:rPr>
        <w:t xml:space="preserve"> </w:t>
      </w:r>
      <w:r>
        <w:rPr>
          <w:lang w:val="fr-FR"/>
        </w:rPr>
        <w:t xml:space="preserve">le premier point à réexaminer avant publication.</w:t>
      </w:r>
    </w:p>
    <w:bookmarkEnd w:id="18"/>
    <w:bookmarkStart w:id="19" w:name="sec:harmonise"/>
    <w:p>
      <w:pPr>
        <w:pStyle w:val="Heading1"/>
      </w:pPr>
      <w:r>
        <w:rPr>
          <w:lang w:val="fr-FR"/>
        </w:rPr>
        <w:t xml:space="preserve">Comparer le recensement et l’enquête</w:t>
      </w:r>
    </w:p>
    <w:p>
      <w:pPr>
        <w:pStyle w:val="FirstParagraph"/>
      </w:pPr>
      <w:r>
        <w:rPr>
          <w:lang w:val="fr-FR"/>
        </w:rPr>
        <w:t xml:space="preserve">Les deux IPM nationaux ne se comparent pas. Le classeur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indices_ipm_harmonise_*</w:t>
      </w:r>
      <w:r>
        <w:rPr>
          <w:lang w:val="fr-FR"/>
        </w:rPr>
        <w:t xml:space="preserve"> </w:t>
      </w:r>
      <w:r>
        <w:rPr>
          <w:lang w:val="fr-FR"/>
        </w:rPr>
        <w:t xml:space="preserve">existe pour</w:t>
      </w:r>
      <w:r>
        <w:rPr>
          <w:lang w:val="fr-FR"/>
        </w:rPr>
        <w:t xml:space="preserve"> </w:t>
      </w:r>
      <w:r>
        <w:rPr>
          <w:lang w:val="fr-FR"/>
        </w:rPr>
        <w:t xml:space="preserve">cela : il restreint le calcul au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socle commun</w:t>
      </w:r>
      <w:r>
        <w:rPr>
          <w:lang w:val="fr-FR"/>
        </w:rPr>
        <w:t xml:space="preserve"> </w:t>
      </w:r>
      <w:r>
        <w:rPr>
          <w:lang w:val="fr-FR"/>
        </w:rPr>
        <w:t xml:space="preserve">— les douze indicateurs que les deux</w:t>
      </w:r>
      <w:r>
        <w:rPr>
          <w:lang w:val="fr-FR"/>
        </w:rPr>
        <w:t xml:space="preserve"> </w:t>
      </w:r>
      <w:r>
        <w:rPr>
          <w:lang w:val="fr-FR"/>
        </w:rPr>
        <w:t xml:space="preserve">sources savent mesurer — en trois dimensions à 1/3. La dimension Santé disparaît : l’enquête et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n’ont pas un seul indicateur de santé en commun.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t>H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rPr>
                <w:lang w:val="fr-FR"/>
              </w:rP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lang w:val="fr-FR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EHCVM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53,5 %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RGPH 2021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52,0 %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0,5157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0,2680</w:t>
            </w:r>
          </w:p>
        </w:tc>
      </w:tr>
    </w:tbl>
    <w:p>
      <w:pPr>
        <w:pStyle w:val="BlockText"/>
      </w:pPr>
      <w:r>
        <w:rPr>
          <w:b/>
          <w:bCs/>
          <w:lang w:val="fr-FR"/>
        </w:rPr>
        <w:t xml:space="preserve">Le meilleur contrôle de cohérence disponible</w:t>
      </w:r>
    </w:p>
    <w:p>
      <w:pPr>
        <w:pStyle w:val="BlockText"/>
      </w:pPr>
      <w:r>
        <w:rPr>
          <w:lang w:val="fr-FR"/>
        </w:rPr>
        <w:t xml:space="preserve">À indicateurs identiques, une enquête par sondage de 12 965 ménages et un recensement exhaustif de</w:t>
      </w:r>
      <w:r>
        <w:rPr>
          <w:lang w:val="fr-FR"/>
        </w:rPr>
        <w:t xml:space="preserve"> </w:t>
      </w:r>
      <w:r>
        <w:rPr>
          <w:lang w:val="fr-FR"/>
        </w:rPr>
        <w:t xml:space="preserve">5,6 millions de ménages, collectés la même année par deux dispositifs entièrement différents,</w:t>
      </w:r>
      <w:r>
        <w:rPr>
          <w:lang w:val="fr-FR"/>
        </w:rPr>
        <w:t xml:space="preserve"> </w:t>
      </w:r>
      <w:r>
        <w:rPr>
          <w:lang w:val="fr-FR"/>
        </w:rPr>
        <w:t xml:space="preserve">donnent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0,2737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0,2680</w:t>
      </w:r>
      <w:r>
        <w:rPr>
          <w:lang w:val="fr-FR"/>
        </w:rPr>
        <w:t xml:space="preserve"> </w:t>
      </w:r>
      <w:r>
        <w:rPr>
          <w:lang w:val="fr-FR"/>
        </w:rPr>
        <w:t xml:space="preserve">— soit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2 % d’écart</w:t>
      </w:r>
      <w:r>
        <w:rPr>
          <w:lang w:val="fr-FR"/>
        </w:rPr>
        <w:t xml:space="preserve">. L’incidence diffère de</w:t>
      </w:r>
      <w:r>
        <w:rPr>
          <w:lang w:val="fr-FR"/>
        </w:rPr>
        <w:t xml:space="preserve"> </w:t>
      </w:r>
      <w:r>
        <w:rPr>
          <w:lang w:val="fr-FR"/>
        </w:rPr>
        <w:t xml:space="preserve">1,5 point, l’intensité de 0,004.</w:t>
      </w:r>
    </w:p>
    <w:p>
      <w:pPr>
        <w:pStyle w:val="FirstParagraph"/>
      </w:pPr>
      <w:r>
        <w:rPr>
          <w:lang w:val="fr-FR"/>
        </w:rPr>
        <w:t xml:space="preserve">La décomposition confirme l’accord indicateur par indicateur.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  <w:lang w:val="fr-FR"/>
              </w:rPr>
              <w:t xml:space="preserve">Contribution à</w:t>
            </w:r>
            <w:r>
              <w:rPr>
                <w:b/>
                <w:bCs/>
                <w:lang w:val="fr-FR"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EHCVM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fr-FR"/>
              </w:rPr>
              <w:t xml:space="preserve">RGPH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Emploi de subsistance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23,3 %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26,6 %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Année de scolarité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Alphabétisation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13,6 %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14,5 %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Énergie de cuisson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10,1 %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10,0 %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Toilette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9,6 %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Fréquentation scolaire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8,7 %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État civil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7,2 %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Eau potable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3,5 %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2,7 %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Biens d’équipement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3,3 %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2,5 %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Logement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3,2 %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4,6 %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Chômage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2,0 %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2,1 %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fr-FR"/>
              </w:rPr>
              <w:t xml:space="preserve">Électricité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1,8 %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fr-FR"/>
              </w:rPr>
              <w:t xml:space="preserve">2,3 %</w:t>
            </w:r>
          </w:p>
        </w:tc>
      </w:tr>
    </w:tbl>
    <w:p>
      <w:pPr>
        <w:pStyle w:val="BodyText"/>
      </w:pPr>
      <w:r>
        <w:rPr>
          <w:lang w:val="fr-FR"/>
        </w:rPr>
        <w:t xml:space="preserve">Les deux seuls écarts notables sont ceux qu’on attend. La</w:t>
      </w:r>
      <w:r>
        <w:rPr>
          <w:lang w:val="fr-FR"/>
        </w:rPr>
        <w:t xml:space="preserve"> </w:t>
      </w:r>
      <w:r>
        <w:rPr>
          <w:b/>
          <w:bCs/>
          <w:lang w:val="fr-FR"/>
        </w:rPr>
        <w:t xml:space="preserve">toilette</w:t>
      </w:r>
      <w:r>
        <w:rPr>
          <w:lang w:val="fr-FR"/>
        </w:rPr>
        <w:t xml:space="preserve"> </w:t>
      </w:r>
      <w:r>
        <w:rPr>
          <w:lang w:val="fr-FR"/>
        </w:rPr>
        <w:t xml:space="preserve">pèse moins au</w:t>
      </w:r>
      <w:r>
        <w:rPr>
          <w:lang w:val="fr-FR"/>
        </w:rPr>
        <w:t xml:space="preserve"> </w:t>
      </w:r>
      <w:r>
        <w:rPr>
          <w:lang w:val="fr-FR"/>
        </w:rPr>
        <w:t xml:space="preserve">recensement (7,5 % contre 9,6 %) parce qu’il ne mesure pas le partage des sanitaires, second</w:t>
      </w:r>
      <w:r>
        <w:rPr>
          <w:lang w:val="fr-FR"/>
        </w:rPr>
        <w:t xml:space="preserve"> </w:t>
      </w:r>
      <w:r>
        <w:rPr>
          <w:lang w:val="fr-FR"/>
        </w:rPr>
        <w:t xml:space="preserve">critère de la définition PNUD. L’</w:t>
      </w:r>
      <w:r>
        <w:rPr>
          <w:b/>
          <w:bCs/>
          <w:lang w:val="fr-FR"/>
        </w:rPr>
        <w:t xml:space="preserve">état civil</w:t>
      </w:r>
      <w:r>
        <w:rPr>
          <w:lang w:val="fr-FR"/>
        </w:rPr>
        <w:t xml:space="preserve"> </w:t>
      </w:r>
      <w:r>
        <w:rPr>
          <w:lang w:val="fr-FR"/>
        </w:rPr>
        <w:t xml:space="preserve">pèse moins également (4,5 % contre 7,2 %) :</w:t>
      </w:r>
      <w:r>
        <w:rPr>
          <w:lang w:val="fr-FR"/>
        </w:rPr>
        <w:t xml:space="preserve"> </w:t>
      </w:r>
      <w:r>
        <w:rPr>
          <w:lang w:val="fr-FR"/>
        </w:rPr>
        <w:t xml:space="preserve">la possession d’un acte de naissance est mieux renseignée au recensement.</w:t>
      </w:r>
    </w:p>
    <w:p>
      <w:pPr>
        <w:pStyle w:val="BlockText"/>
      </w:pPr>
      <w:r>
        <w:rPr>
          <w:b/>
          <w:bCs/>
          <w:lang w:val="fr-FR"/>
        </w:rPr>
        <w:t xml:space="preserve">Attention — Ce que la variante harmonisée ne dit pas</w:t>
      </w:r>
    </w:p>
    <w:p>
      <w:pPr>
        <w:pStyle w:val="BlockText"/>
      </w:pPr>
      <w:r>
        <w:rPr>
          <w:lang w:val="fr-FR"/>
        </w:rPr>
        <w:t xml:space="preserve">Elle valide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cohérence</w:t>
      </w:r>
      <w:r>
        <w:rPr>
          <w:lang w:val="fr-FR"/>
        </w:rPr>
        <w:t xml:space="preserve"> </w:t>
      </w:r>
      <w:r>
        <w:rPr>
          <w:lang w:val="fr-FR"/>
        </w:rPr>
        <w:t xml:space="preserve">des deux sources, pas l’IPM du pays. L’indice national de référence</w:t>
      </w:r>
      <w:r>
        <w:rPr>
          <w:lang w:val="fr-FR"/>
        </w:rPr>
        <w:t xml:space="preserve"> </w:t>
      </w:r>
      <w:r>
        <w:rPr>
          <w:lang w:val="fr-FR"/>
        </w:rPr>
        <w:t xml:space="preserve">reste celui de l’EHCVM, à seize indicateurs (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2863</m:t>
        </m:r>
      </m:oMath>
      <w:r>
        <w:rPr>
          <w:lang w:val="fr-FR"/>
        </w:rPr>
        <w:t xml:space="preserve">). La variante harmonisée sert au</w:t>
      </w:r>
      <w:r>
        <w:rPr>
          <w:lang w:val="fr-FR"/>
        </w:rPr>
        <w:t xml:space="preserve"> </w:t>
      </w:r>
      <w:r>
        <w:rPr>
          <w:lang w:val="fr-FR"/>
        </w:rPr>
        <w:t xml:space="preserve">contrôle et à la comparaison entre sources ; elle n’a pas vocation à être publiée comme l’indice</w:t>
      </w:r>
      <w:r>
        <w:rPr>
          <w:lang w:val="fr-FR"/>
        </w:rPr>
        <w:t xml:space="preserve"> </w:t>
      </w:r>
      <w:r>
        <w:rPr>
          <w:lang w:val="fr-FR"/>
        </w:rPr>
        <w:t xml:space="preserve">de la Côte d’Ivoire.</w:t>
      </w:r>
    </w:p>
    <w:bookmarkEnd w:id="19"/>
    <w:bookmarkStart w:id="20" w:name="X4a1ec21285f5a7ac7b75e1e87aea81ec6c90c58"/>
    <w:p>
      <w:pPr>
        <w:pStyle w:val="Heading1"/>
      </w:pPr>
      <w:r>
        <w:rPr>
          <w:lang w:val="fr-FR"/>
        </w:rPr>
        <w:t xml:space="preserve">Six précautions avant de citer un chiffre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Ne pas comparer l’IPM RGPH (0,1664) à l’IPM EHCVM (0,2863).</w:t>
      </w:r>
      <w:r>
        <w:rPr>
          <w:lang w:val="fr-FR"/>
        </w:rPr>
        <w:t xml:space="preserve"> </w:t>
      </w:r>
      <w:r>
        <w:rPr>
          <w:lang w:val="fr-FR"/>
        </w:rPr>
        <w:t xml:space="preserve">Passer par la variante</w:t>
      </w:r>
      <w:r>
        <w:rPr>
          <w:lang w:val="fr-FR"/>
        </w:rPr>
        <w:t xml:space="preserve"> </w:t>
      </w:r>
      <w:r>
        <w:rPr>
          <w:lang w:val="fr-FR"/>
        </w:rPr>
        <w:t xml:space="preserve">harmonisée. La différence de niveau vient de la dimension Santé, pas d’un désaccord entre</w:t>
      </w:r>
      <w:r>
        <w:rPr>
          <w:lang w:val="fr-FR"/>
        </w:rPr>
        <w:t xml:space="preserve"> </w:t>
      </w:r>
      <w:r>
        <w:rPr>
          <w:lang w:val="fr-FR"/>
        </w:rPr>
        <w:t xml:space="preserve">les deux sources.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Vérifier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M0_cv</w:t>
      </w:r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avant de citer une sous-préfecture.</w:t>
      </w:r>
      <w:r>
        <w:rPr>
          <w:lang w:val="fr-FR"/>
        </w:rPr>
        <w:t xml:space="preserve"> </w:t>
      </w:r>
      <w:r>
        <w:rPr>
          <w:lang w:val="fr-FR"/>
        </w:rPr>
        <w:t xml:space="preserve">Dix-neuf des 519 sont</w:t>
      </w:r>
      <w:r>
        <w:rPr>
          <w:lang w:val="fr-FR"/>
        </w:rPr>
        <w:t xml:space="preserve"> </w:t>
      </w:r>
      <w:r>
        <w:rPr>
          <w:lang w:val="fr-FR"/>
        </w:rPr>
        <w:t xml:space="preserve">au-delà de 20 %. Le signal d’alerte est la colonne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grappes</w:t>
      </w:r>
      <w:r>
        <w:rPr>
          <w:lang w:val="fr-FR"/>
        </w:rPr>
        <w:t xml:space="preserve">, pas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menages</w:t>
      </w:r>
      <w:r>
        <w:rPr>
          <w:lang w:val="fr-FR"/>
        </w:rP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Ne pas lire les intervalles de confiance comme une précision d’échantillonnage.</w:t>
      </w:r>
      <w:r>
        <w:rPr>
          <w:lang w:val="fr-FR"/>
        </w:rPr>
        <w:t xml:space="preserve"> </w:t>
      </w:r>
      <w:r>
        <w:rPr>
          <w:lang w:val="fr-FR"/>
        </w:rPr>
        <w:t xml:space="preserve">Ils mesurent une dispersion entre zones de dénombrement. Leur étroitesse ne rend pas le</w:t>
      </w:r>
      <w:r>
        <w:rPr>
          <w:lang w:val="fr-FR"/>
        </w:rPr>
        <w:t xml:space="preserve"> </w:t>
      </w:r>
      <w:r>
        <w:rPr>
          <w:lang w:val="fr-FR"/>
        </w:rPr>
        <w:t xml:space="preserve">recensement « plus précis » que l’enquête.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Distinguer</w:t>
      </w:r>
      <w:r>
        <w:rPr>
          <w:b/>
          <w:bCs/>
          <w:lang w:val="fr-FR"/>
        </w:rP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 xml:space="preserve">et</w:t>
      </w:r>
      <w:r>
        <w:rPr>
          <w:b/>
          <w:bCs/>
          <w:lang w:val="fr-FR"/>
        </w:rPr>
        <w:t xml:space="preserve"> </w:t>
      </w:r>
      <w:r>
        <w:rPr>
          <w:rStyle w:val="VerbatimChar"/>
          <w:b/>
          <w:bCs/>
          <w:lang w:val="fr-FR"/>
        </w:rPr>
        <w:t xml:space="preserve">contribution_M0</w:t>
      </w:r>
      <w:r>
        <w:rPr>
          <w:b/>
          <w:bCs/>
          <w:lang w:val="fr-FR"/>
        </w:rPr>
        <w:t xml:space="preserve">.</w:t>
      </w:r>
      <w:r>
        <w:rPr>
          <w:lang w:val="fr-FR"/>
        </w:rPr>
        <w:t xml:space="preserve"> </w:t>
      </w:r>
      <w:r>
        <w:rPr>
          <w:lang w:val="fr-FR"/>
        </w:rPr>
        <w:t xml:space="preserve">Le premier localise l’intensité, le</w:t>
      </w:r>
      <w:r>
        <w:rPr>
          <w:lang w:val="fr-FR"/>
        </w:rPr>
        <w:t xml:space="preserve"> </w:t>
      </w:r>
      <w:r>
        <w:rPr>
          <w:lang w:val="fr-FR"/>
        </w:rPr>
        <w:t xml:space="preserve">second le volume. Bounkani a le premier, le rural le second.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Ne pas additionner les milieux des deux sources.</w:t>
      </w:r>
      <w:r>
        <w:rPr>
          <w:lang w:val="fr-FR"/>
        </w:rPr>
        <w:t xml:space="preserve"> </w:t>
      </w:r>
      <w:r>
        <w:rPr>
          <w:lang w:val="fr-FR"/>
        </w:rPr>
        <w:t xml:space="preserve">Le semi-urbain du recensement n’a</w:t>
      </w:r>
      <w:r>
        <w:rPr>
          <w:lang w:val="fr-FR"/>
        </w:rPr>
        <w:t xml:space="preserve"> </w:t>
      </w:r>
      <w:r>
        <w:rPr>
          <w:lang w:val="fr-FR"/>
        </w:rPr>
        <w:t xml:space="preserve">pas d’équivalent dans l’enquête.</w:t>
      </w:r>
    </w:p>
    <w:p>
      <w:pPr>
        <w:numPr>
          <w:ilvl w:val="0"/>
          <w:numId w:val="1002"/>
        </w:numPr>
      </w:pPr>
      <w:r>
        <w:rPr>
          <w:b/>
          <w:bCs/>
          <w:lang w:val="fr-FR"/>
        </w:rPr>
        <w:t xml:space="preserve">Signaler les trois approximations</w:t>
      </w:r>
      <w:r>
        <w:rPr>
          <w:lang w:val="fr-FR"/>
        </w:rPr>
        <w:t xml:space="preserve"> </w:t>
      </w:r>
      <w:r>
        <w:rPr>
          <w:lang w:val="fr-FR"/>
        </w:rPr>
        <w:t xml:space="preserve">quand le chiffre est publié : l’année de</w:t>
      </w:r>
      <w:r>
        <w:rPr>
          <w:lang w:val="fr-FR"/>
        </w:rPr>
        <w:t xml:space="preserve"> </w:t>
      </w:r>
      <w:r>
        <w:rPr>
          <w:lang w:val="fr-FR"/>
        </w:rPr>
        <w:t xml:space="preserve">scolarité mesurée par le diplôme, l’emploi de subsistance approché par la branche et le</w:t>
      </w:r>
      <w:r>
        <w:rPr>
          <w:lang w:val="fr-FR"/>
        </w:rPr>
        <w:t xml:space="preserve"> </w:t>
      </w:r>
      <w:r>
        <w:rPr>
          <w:lang w:val="fr-FR"/>
        </w:rPr>
        <w:t xml:space="preserve">statut, l’eau et la toilette amputées de leur second critère. Elles sont détaillées dans la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Méthodologie de calcul sur le RGPH 2021</w:t>
      </w:r>
      <w:r>
        <w:rPr>
          <w:lang w:val="fr-FR"/>
        </w:rPr>
        <w:t xml:space="preserve">.</w:t>
      </w:r>
    </w:p>
    <w:bookmarkEnd w:id="20"/>
    <w:bookmarkStart w:id="21" w:name="les-autres-sorties"/>
    <w:p>
      <w:pPr>
        <w:pStyle w:val="Heading1"/>
      </w:pPr>
      <w:r>
        <w:rPr>
          <w:lang w:val="fr-FR"/>
        </w:rPr>
        <w:t xml:space="preserve">Les autres sorties</w:t>
      </w:r>
    </w:p>
    <w:p>
      <w:pPr>
        <w:pStyle w:val="DefinitionTerm"/>
      </w:pPr>
      <w:r>
        <w:rPr>
          <w:rStyle w:val="VerbatimChar"/>
          <w:lang w:val="fr-FR"/>
        </w:rPr>
        <w:t xml:space="preserve">vecteur_z_rgph2021</w:t>
      </w:r>
    </w:p>
    <w:p>
      <w:pPr>
        <w:pStyle w:val="Definition"/>
      </w:pPr>
      <w:r>
        <w:rPr>
          <w:lang w:val="fr-FR"/>
        </w:rPr>
        <w:t xml:space="preserve">les treize indicateurs avec, pour chacun, sa dimension, l’énoncé</w:t>
      </w:r>
      <w:r>
        <w:rPr>
          <w:lang w:val="fr-FR"/>
        </w:rPr>
        <w:t xml:space="preserve"> </w:t>
      </w:r>
      <w:r>
        <w:rPr>
          <w:lang w:val="fr-FR"/>
        </w:rPr>
        <w:t xml:space="preserve">exact appliqué, la source de la définition (proposition nationale ou application PNUD) et la</w:t>
      </w:r>
      <w:r>
        <w:rPr>
          <w:lang w:val="fr-FR"/>
        </w:rPr>
        <w:t xml:space="preserve"> </w:t>
      </w:r>
      <w:r>
        <w:rPr>
          <w:lang w:val="fr-FR"/>
        </w:rPr>
        <w:t xml:space="preserve">valeur du seuil. C’est le document à consulter pour savoir ce qu’un indicateur mesure</w:t>
      </w:r>
      <w:r>
        <w:rPr>
          <w:lang w:val="fr-FR"/>
        </w:rPr>
        <w:t xml:space="preserve"> </w:t>
      </w:r>
      <w:r>
        <w:rPr>
          <w:lang w:val="fr-FR"/>
        </w:rPr>
        <w:t xml:space="preserve">précisément.</w:t>
      </w:r>
    </w:p>
    <w:p>
      <w:pPr>
        <w:pStyle w:val="DefinitionTerm"/>
      </w:pPr>
      <w:r>
        <w:rPr>
          <w:rStyle w:val="VerbatimChar"/>
          <w:lang w:val="fr-FR"/>
        </w:rPr>
        <w:t xml:space="preserve">vecteur_w_rgph2021</w:t>
      </w:r>
    </w:p>
    <w:p>
      <w:pPr>
        <w:pStyle w:val="Definition"/>
      </w:pPr>
      <w:r>
        <w:rPr>
          <w:lang w:val="fr-FR"/>
        </w:rPr>
        <w:t xml:space="preserve">le poids</w:t>
      </w:r>
      <w:r>
        <w:rPr>
          <w:lang w:val="fr-FR"/>
        </w:rP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de chaque indicateur et le poids de sa dimension.</w:t>
      </w:r>
      <w:r>
        <w:rPr>
          <w:lang w:val="fr-FR"/>
        </w:rPr>
        <w:t xml:space="preserve"> </w:t>
      </w:r>
      <w:r>
        <w:rPr>
          <w:lang w:val="fr-FR"/>
        </w:rPr>
        <w:t xml:space="preserve">Somme à 1.</w:t>
      </w:r>
    </w:p>
    <w:p>
      <w:pPr>
        <w:pStyle w:val="DefinitionTerm"/>
      </w:pPr>
      <w:r>
        <w:rPr>
          <w:rStyle w:val="VerbatimChar"/>
          <w:lang w:val="fr-FR"/>
        </w:rPr>
        <w:t xml:space="preserve">matrice_situationnelle_rgph2021</w:t>
      </w:r>
    </w:p>
    <w:p>
      <w:pPr>
        <w:pStyle w:val="Definition"/>
      </w:pPr>
      <w:r>
        <w:rPr>
          <w:lang w:val="fr-FR"/>
        </w:rPr>
        <w:t xml:space="preserve">la matrice de privation</w:t>
      </w:r>
      <w:r>
        <w:rPr>
          <w:lang w:val="fr-FR"/>
        </w:rPr>
        <w:t xml:space="preserve"> </w:t>
      </w:r>
      <m:oMath>
        <m:sSup>
          <m:e>
            <m:r>
              <m:t>g</m:t>
            </m:r>
          </m:e>
          <m:sup>
            <m:r>
              <m:t>0</m:t>
            </m:r>
          </m:sup>
        </m:sSup>
      </m:oMath>
      <w:r>
        <w:rPr>
          <w:lang w:val="fr-FR"/>
        </w:rPr>
        <w:t xml:space="preserve"> </w:t>
      </w:r>
      <w:r>
        <w:rPr>
          <w:lang w:val="fr-FR"/>
        </w:rPr>
        <w:t xml:space="preserve">: une ligne par</w:t>
      </w:r>
      <w:r>
        <w:rPr>
          <w:lang w:val="fr-FR"/>
        </w:rPr>
        <w:t xml:space="preserve"> </w:t>
      </w:r>
      <w:r>
        <w:rPr>
          <w:lang w:val="fr-FR"/>
        </w:rPr>
        <w:t xml:space="preserve">ménage, une colonne 0/1 par indicateur, plus la pondération et les variables de désagrégation.</w:t>
      </w:r>
      <w:r>
        <w:rPr>
          <w:lang w:val="fr-FR"/>
        </w:rPr>
        <w:t xml:space="preserve"> </w:t>
      </w:r>
      <w:r>
        <w:rPr>
          <w:lang w:val="fr-FR"/>
        </w:rPr>
        <w:t xml:space="preserve">C’est le fichier à reprendre pour toute analyse qui sortirait du cadre des classeurs — un</w:t>
      </w:r>
      <w:r>
        <w:rPr>
          <w:lang w:val="fr-FR"/>
        </w:rPr>
        <w:t xml:space="preserve"> </w:t>
      </w:r>
      <w:r>
        <w:rPr>
          <w:lang w:val="fr-FR"/>
        </w:rPr>
        <w:t xml:space="preserve">croisement inédit, une carte, un profil de privations.</w:t>
      </w:r>
    </w:p>
    <w:p>
      <w:pPr>
        <w:pStyle w:val="DefinitionTerm"/>
      </w:pPr>
      <w:r>
        <w:rPr>
          <w:rStyle w:val="VerbatimChar"/>
          <w:lang w:val="fr-FR"/>
        </w:rPr>
        <w:t xml:space="preserve">matrice_privations_ponderees_rgph2021</w:t>
      </w:r>
      <w:r>
        <w:rPr>
          <w:lang w:val="fr-FR"/>
        </w:rPr>
        <w:t xml:space="preserve"> </w:t>
      </w:r>
      <w:r>
        <w:rPr>
          <w:lang w:val="fr-FR"/>
        </w:rPr>
        <w:t xml:space="preserve">et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…_censuree_…</w:t>
      </w:r>
    </w:p>
    <w:p>
      <w:pPr>
        <w:pStyle w:val="Definition"/>
      </w:pPr>
      <w:r>
        <w:rPr>
          <w:lang w:val="fr-FR"/>
        </w:rPr>
        <w:t xml:space="preserve">les états</w:t>
      </w:r>
      <w:r>
        <w:rPr>
          <w:lang w:val="fr-FR"/>
        </w:rPr>
        <w:t xml:space="preserve"> </w:t>
      </w:r>
      <w:r>
        <w:rPr>
          <w:lang w:val="fr-FR"/>
        </w:rPr>
        <w:t xml:space="preserve">intermédiaires du calcul :</w:t>
      </w:r>
      <w:r>
        <w:rPr>
          <w:lang w:val="fr-FR"/>
        </w:rPr>
        <w:t xml:space="preserve"> </w:t>
      </w:r>
      <m:oMath>
        <m:sSup>
          <m:e>
            <m:r>
              <m:t>g</m:t>
            </m:r>
          </m:e>
          <m:sup>
            <m:r>
              <m:t>0</m:t>
            </m:r>
          </m:sup>
        </m:sSup>
      </m:oMath>
      <w:r>
        <w:rPr>
          <w:lang w:val="fr-FR"/>
        </w:rPr>
        <w:t xml:space="preserve"> </w:t>
      </w:r>
      <w:r>
        <w:rPr>
          <w:lang w:val="fr-FR"/>
        </w:rPr>
        <w:t xml:space="preserve">pondérée et score</w:t>
      </w:r>
      <w:r>
        <w:rPr>
          <w:lang w:val="fr-FR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lang w:val="fr-FR"/>
        </w:rPr>
        <w:t xml:space="preserve"> </w:t>
      </w:r>
      <w:r>
        <w:rPr>
          <w:lang w:val="fr-FR"/>
        </w:rPr>
        <w:t xml:space="preserve">pour la première, matrice censurée au</w:t>
      </w:r>
      <w:r>
        <w:rPr>
          <w:lang w:val="fr-FR"/>
        </w:rPr>
        <w:t xml:space="preserve"> </w:t>
      </w:r>
      <w:r>
        <w:rPr>
          <w:lang w:val="fr-FR"/>
        </w:rPr>
        <w:t xml:space="preserve">seuil</w:t>
      </w:r>
      <w:r>
        <w:rPr>
          <w:lang w:val="fr-FR"/>
        </w:rPr>
        <w:t xml:space="preserve"> </w:t>
      </w:r>
      <m:oMath>
        <m:r>
          <m:t>k</m:t>
        </m:r>
      </m:oMath>
      <w:r>
        <w:rPr>
          <w:lang w:val="fr-FR"/>
        </w:rPr>
        <w:t xml:space="preserve"> </w:t>
      </w:r>
      <w:r>
        <w:rPr>
          <w:lang w:val="fr-FR"/>
        </w:rPr>
        <w:t xml:space="preserve">et statuts pauvre / vulnérable / sévère pour la seconde. Elles servent au contrôle et</w:t>
      </w:r>
      <w:r>
        <w:rPr>
          <w:lang w:val="fr-FR"/>
        </w:rPr>
        <w:t xml:space="preserve"> </w:t>
      </w:r>
      <w:r>
        <w:rPr>
          <w:lang w:val="fr-FR"/>
        </w:rPr>
        <w:t xml:space="preserve">à la reproduction pas à pas.</w:t>
      </w:r>
    </w:p>
    <w:p>
      <w:pPr>
        <w:pStyle w:val="DefinitionTerm"/>
      </w:pPr>
      <w:r>
        <w:rPr>
          <w:rStyle w:val="VerbatimChar"/>
          <w:lang w:val="fr-FR"/>
        </w:rPr>
        <w:t xml:space="preserve">preconstruction_matrice_situationnelle_rgph2021</w:t>
      </w:r>
    </w:p>
    <w:p>
      <w:pPr>
        <w:pStyle w:val="Definition"/>
      </w:pPr>
      <w:r>
        <w:rPr>
          <w:lang w:val="fr-FR"/>
        </w:rPr>
        <w:t xml:space="preserve">les situations brutes, avant</w:t>
      </w:r>
      <w:r>
        <w:rPr>
          <w:lang w:val="fr-FR"/>
        </w:rPr>
        <w:t xml:space="preserve"> </w:t>
      </w:r>
      <w:r>
        <w:rPr>
          <w:lang w:val="fr-FR"/>
        </w:rPr>
        <w:t xml:space="preserve">application de tout seuil : pour chaque indicateur, l’effectif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concerné</w:t>
      </w:r>
      <w:r>
        <w:rPr>
          <w:lang w:val="fr-FR"/>
        </w:rPr>
        <w:t xml:space="preserve"> </w:t>
      </w:r>
      <w:r>
        <w:rPr>
          <w:lang w:val="fr-FR"/>
        </w:rPr>
        <w:t xml:space="preserve">à côté de</w:t>
      </w:r>
      <w:r>
        <w:rPr>
          <w:lang w:val="fr-FR"/>
        </w:rPr>
        <w:t xml:space="preserve"> </w:t>
      </w:r>
      <w:r>
        <w:rPr>
          <w:lang w:val="fr-FR"/>
        </w:rPr>
        <w:t xml:space="preserve">l’effectif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défavorable</w:t>
      </w:r>
      <w:r>
        <w:rPr>
          <w:lang w:val="fr-FR"/>
        </w:rPr>
        <w:t xml:space="preserve">. C’est là qu’on va pour savoir combien de ménages n’étaient pas</w:t>
      </w:r>
      <w:r>
        <w:rPr>
          <w:lang w:val="fr-FR"/>
        </w:rPr>
        <w:t xml:space="preserve"> </w:t>
      </w:r>
      <w:r>
        <w:rPr>
          <w:lang w:val="fr-FR"/>
        </w:rPr>
        <w:t xml:space="preserve">concernés par un indicateur, ou pour recalculer un taux avec un autre seuil.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des sorties Ce que contiennent les classeurs de l’IPM, et comment les lire RGPH 2021</dc:title>
  <dc:creator>Pipeline PythonIPM — IPM Côte d’Ivoire</dc:creator>
  <cp:keywords/>
  <dcterms:created xsi:type="dcterms:W3CDTF">2026-09-11T15:32:18Z</dcterms:created>
  <dcterms:modified xsi:type="dcterms:W3CDTF">2026-09-11T15:32:18Z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Ce document accompagne les classeurs produits par l’étape 05 du pipeline sur le recensement. Il décrit ce qu’on y trouve, ce qui diffère des sorties de l’EHCVM, et propose une lecture commentée des chiffres — national, territorial, par indicateur — avec les précautions qui s’attachent à chacun. Les définitions colonne par colonne sont communes aux deux sources et figurent dans le Dictionnaire des sorties de l’EHCVM ; on n’y revient ici que là où le recensement change quelque chose.</vt:lpwstr>
  </property>
  <property fmtid="{D5CDD505-2E9C-101B-9397-08002B2CF9AE}" pid="3" name="date">
    <vt:lpwstr>Septembre 2026</vt:lpwstr>
  </property>
</Properties>
</file>