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L’indice de pauvreté multidimensionnelle de la Côte d’Ivoire</w:t>
      </w:r>
      <w:r>
        <w:br/>
      </w:r>
      <w:r>
        <w:rPr>
          <w:b/>
          <w:bCs/>
          <w:lang w:val="fr-FR"/>
        </w:rPr>
        <w:t xml:space="preserve">Méthodologie de calcul sur le RGPH 2021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</w:p>
    <w:p>
      <w:pPr>
        <w:pStyle w:val="Date"/>
      </w:pPr>
      <w:r>
        <w:rPr>
          <w:lang w:val="fr-FR"/>
        </w:rPr>
        <w:t xml:space="preserve">Septembre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Ce document décrit la construction de l’indice de pauvreté multidimensionnelle (IPM) de</w:t>
      </w:r>
      <w:r>
        <w:rPr>
          <w:lang w:val="fr-FR"/>
        </w:rPr>
        <w:t xml:space="preserve"> </w:t>
      </w:r>
      <w:r>
        <w:rPr>
          <w:lang w:val="fr-FR"/>
        </w:rPr>
        <w:t xml:space="preserve">la Côte d’Ivoire à partir du Recensement général de la population et de l’habitation (RGPH) 2021.</w:t>
      </w:r>
      <w:r>
        <w:rPr>
          <w:lang w:val="fr-FR"/>
        </w:rPr>
        <w:t xml:space="preserve"> </w:t>
      </w:r>
      <w:r>
        <w:rPr>
          <w:lang w:val="fr-FR"/>
        </w:rPr>
        <w:t xml:space="preserve">Il est le pendant du document consacré à l’EHCVM 2021 : même méthode d’Alkire-Foster, mêmes</w:t>
      </w:r>
      <w:r>
        <w:rPr>
          <w:lang w:val="fr-FR"/>
        </w:rPr>
        <w:t xml:space="preserve"> </w:t>
      </w:r>
      <w:r>
        <w:rPr>
          <w:lang w:val="fr-FR"/>
        </w:rPr>
        <w:t xml:space="preserve">conventions de calcul, même chaîne de traitement. Ce qui change tient aux données — un recensement</w:t>
      </w:r>
      <w:r>
        <w:rPr>
          <w:lang w:val="fr-FR"/>
        </w:rPr>
        <w:t xml:space="preserve"> </w:t>
      </w:r>
      <w:r>
        <w:rPr>
          <w:lang w:val="fr-FR"/>
        </w:rPr>
        <w:t xml:space="preserve">exhaustif de 28 millions d’individus, au questionnaire beaucoup plus court qu’une enquête ménages.</w:t>
      </w:r>
      <w:r>
        <w:rPr>
          <w:lang w:val="fr-FR"/>
        </w:rPr>
        <w:t xml:space="preserve"> </w:t>
      </w:r>
      <w:r>
        <w:rPr>
          <w:lang w:val="fr-FR"/>
        </w:rPr>
        <w:t xml:space="preserve">Le document se concentre donc sur ce qui est propre au recensement : les indicateurs qu’il permet</w:t>
      </w:r>
      <w:r>
        <w:rPr>
          <w:lang w:val="fr-FR"/>
        </w:rPr>
        <w:t xml:space="preserve"> </w:t>
      </w:r>
      <w:r>
        <w:rPr>
          <w:lang w:val="fr-FR"/>
        </w:rPr>
        <w:t xml:space="preserve">de mesurer et ceux qu’il interdit, les approximations retenues, la réconciliation avec la</w:t>
      </w:r>
      <w:r>
        <w:rPr>
          <w:lang w:val="fr-FR"/>
        </w:rPr>
        <w:t xml:space="preserve"> </w:t>
      </w:r>
      <w:r>
        <w:rPr>
          <w:lang w:val="fr-FR"/>
        </w:rPr>
        <w:t xml:space="preserve">production Stata antérieure, et la variante harmonisée qui rend les deux sources comparables.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  <w:lang w:val="fr-FR"/>
        </w:rPr>
        <w:t xml:space="preserve">Les résultats en six lignes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38,8 % de la population ivoirienne vit dans un ménage multidimensionnellement</w:t>
      </w:r>
      <w:r>
        <w:rPr>
          <w:lang w:val="fr-FR"/>
        </w:rPr>
        <w:t xml:space="preserve"> </w:t>
      </w:r>
      <w:r>
        <w:rPr>
          <w:lang w:val="fr-FR"/>
        </w:rPr>
        <w:t xml:space="preserve">pauvre, soit 11,4 millions de personnes — IC 95 % : [38,4 % ; 39,3 %].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Ces personnes cumulent en moyenne 42,9 % des privations pondérées possibles.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L’indice qui combine les deux vaut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  <m:r>
          <m:rPr>
            <m:sty m:val="b"/>
          </m:rPr>
          <m:t>,</m:t>
        </m:r>
        <m:r>
          <m:rPr>
            <m:sty m:val="b"/>
          </m:rPr>
          <m:t>1664</m:t>
        </m:r>
      </m:oMath>
      <w:r>
        <w:rPr>
          <w:lang w:val="fr-FR"/>
        </w:rPr>
        <w:t xml:space="preserve">, IC 95 %</w:t>
      </w:r>
      <w:r>
        <w:rPr>
          <w:lang w:val="fr-FR"/>
        </w:rPr>
        <w:t xml:space="preserve"> </w:t>
      </w:r>
      <w:r>
        <w:rPr>
          <w:lang w:val="fr-FR"/>
        </w:rPr>
        <w:t xml:space="preserve">[0,1645 ; 0,1684].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Le milieu rural rassemble 84,7 % de la pauvreté pour 45,8 % de la population ;</w:t>
      </w:r>
      <w:r>
        <w:rPr>
          <w:lang w:val="fr-FR"/>
        </w:rPr>
        <w:t xml:space="preserve"> </w:t>
      </w:r>
      <w:r>
        <w:rPr>
          <w:lang w:val="fr-FR"/>
        </w:rPr>
        <w:t xml:space="preserve">l’urbain en porte 5,7 % pour 44,8 % de la population.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L’écart entre régions va de 0,007 (Abidjan) à 0,365 (Bounkani), soit un rapport de</w:t>
      </w:r>
      <w:r>
        <w:rPr>
          <w:lang w:val="fr-FR"/>
        </w:rPr>
        <w:t xml:space="preserve"> </w:t>
      </w:r>
      <w:r>
        <w:rPr>
          <w:lang w:val="fr-FR"/>
        </w:rPr>
        <w:t xml:space="preserve">un à cinquante-trois.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Sur le socle commun avec l’EHCVM, les deux sources se rejoignent :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2680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au recensement contre</w:t>
      </w:r>
      <w:r>
        <w:rPr>
          <w:lang w:val="fr-FR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2737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à l’enquête, soit 2 % d’écart</w:t>
      </w:r>
      <w:r>
        <w:rPr>
          <w:lang w:val="fr-FR"/>
        </w:rPr>
        <w:t xml:space="preserve"> </w:t>
      </w:r>
      <w:r>
        <w:rPr>
          <w:lang w:val="fr-FR"/>
        </w:rPr>
        <w:t xml:space="preserve">(section </w:t>
      </w:r>
      <w:hyperlink w:anchor="sec:harmonise">
        <w:r>
          <w:rPr>
            <w:rStyle w:val="Hyperlink"/>
            <w:lang w:val="fr-FR"/>
          </w:rPr>
          <w:t xml:space="preserve">7</w:t>
        </w:r>
      </w:hyperlink>
      <w:r>
        <w:rPr>
          <w:lang w:val="fr-FR"/>
        </w:rPr>
        <w:t xml:space="preserve">).</w:t>
      </w:r>
    </w:p>
    <w:bookmarkStart w:id="9" w:name="Xf0787580038638f3fe49917004f8e9c272a2b51"/>
    <w:p>
      <w:pPr>
        <w:pStyle w:val="Heading1"/>
      </w:pPr>
      <w:r>
        <w:rPr>
          <w:lang w:val="fr-FR"/>
        </w:rPr>
        <w:t xml:space="preserve">Pourquoi calculer l’IPM sur un recensement</w:t>
      </w:r>
    </w:p>
    <w:p>
      <w:pPr>
        <w:pStyle w:val="FirstParagraph"/>
      </w:pPr>
      <w:r>
        <w:rPr>
          <w:lang w:val="fr-FR"/>
        </w:rPr>
        <w:t xml:space="preserve">L’EHCVM interroge 12 965 ménages. C’est assez pour un indice national et pour les 33 régions,</w:t>
      </w:r>
      <w:r>
        <w:rPr>
          <w:lang w:val="fr-FR"/>
        </w:rPr>
        <w:t xml:space="preserve"> </w:t>
      </w:r>
      <w:r>
        <w:rPr>
          <w:lang w:val="fr-FR"/>
        </w:rPr>
        <w:t xml:space="preserve">mais la précision se dégrade dès qu’on descend plus bas : beaucoup de sous-préfectures n’y sont</w:t>
      </w:r>
      <w:r>
        <w:rPr>
          <w:lang w:val="fr-FR"/>
        </w:rPr>
        <w:t xml:space="preserve"> </w:t>
      </w:r>
      <w:r>
        <w:rPr>
          <w:lang w:val="fr-FR"/>
        </w:rPr>
        <w:t xml:space="preserve">représentées que par une poignée de grappes.</w:t>
      </w:r>
    </w:p>
    <w:p>
      <w:pPr>
        <w:pStyle w:val="BodyText"/>
      </w:pPr>
      <w:r>
        <w:rPr>
          <w:lang w:val="fr-FR"/>
        </w:rPr>
        <w:t xml:space="preserve">Le RGPH, lui, dénombre tous les ménages du pays. Il ouvre donc ce que l’enquête ne peut</w:t>
      </w:r>
      <w:r>
        <w:rPr>
          <w:lang w:val="fr-FR"/>
        </w:rPr>
        <w:t xml:space="preserve"> </w:t>
      </w:r>
      <w:r>
        <w:rPr>
          <w:lang w:val="fr-FR"/>
        </w:rPr>
        <w:t xml:space="preserve">pas offrir : une carte de la pauvreté multidimensionnelle à la maille de la sous-préfecture et de</w:t>
      </w:r>
      <w:r>
        <w:rPr>
          <w:lang w:val="fr-FR"/>
        </w:rPr>
        <w:t xml:space="preserve"> </w:t>
      </w:r>
      <w:r>
        <w:rPr>
          <w:lang w:val="fr-FR"/>
        </w:rPr>
        <w:t xml:space="preserve">la commune, avec des effectifs qui la rendent publiable presque partout.</w:t>
      </w:r>
    </w:p>
    <w:p>
      <w:pPr>
        <w:pStyle w:val="BodyText"/>
      </w:pPr>
      <w:r>
        <w:rPr>
          <w:lang w:val="fr-FR"/>
        </w:rPr>
        <w:t xml:space="preserve">La contrepartie est le questionnaire. Un recensement doit être administré à trente millions de</w:t>
      </w:r>
      <w:r>
        <w:rPr>
          <w:lang w:val="fr-FR"/>
        </w:rPr>
        <w:t xml:space="preserve"> </w:t>
      </w:r>
      <w:r>
        <w:rPr>
          <w:lang w:val="fr-FR"/>
        </w:rPr>
        <w:t xml:space="preserve">personnes : il est court. Il ne pose aucune question de santé, aucune sur le nombre de pièces du</w:t>
      </w:r>
      <w:r>
        <w:rPr>
          <w:lang w:val="fr-FR"/>
        </w:rPr>
        <w:t xml:space="preserve"> </w:t>
      </w:r>
      <w:r>
        <w:rPr>
          <w:lang w:val="fr-FR"/>
        </w:rPr>
        <w:t xml:space="preserve">logement, aucune sur le nombre d’années d’études effectivement accomplies. Trois indicateurs de</w:t>
      </w:r>
      <w:r>
        <w:rPr>
          <w:lang w:val="fr-FR"/>
        </w:rPr>
        <w:t xml:space="preserve"> </w:t>
      </w:r>
      <w:r>
        <w:rPr>
          <w:lang w:val="fr-FR"/>
        </w:rPr>
        <w:t xml:space="preserve">l’IPM national y sont donc impossibles, un quatrième aussi, et deux autres ne peuvent être</w:t>
      </w:r>
      <w:r>
        <w:rPr>
          <w:lang w:val="fr-FR"/>
        </w:rPr>
        <w:t xml:space="preserve"> </w:t>
      </w:r>
      <w:r>
        <w:rPr>
          <w:lang w:val="fr-FR"/>
        </w:rPr>
        <w:t xml:space="preserve">qu’approchés.</w:t>
      </w:r>
    </w:p>
    <w:p>
      <w:pPr>
        <w:pStyle w:val="BlockText"/>
      </w:pPr>
      <w:r>
        <w:rPr>
          <w:b/>
          <w:bCs/>
          <w:lang w:val="fr-FR"/>
        </w:rPr>
        <w:t xml:space="preserve">Le partage des rôles</w:t>
      </w:r>
    </w:p>
    <w:p>
      <w:pPr>
        <w:pStyle w:val="BlockText"/>
      </w:pPr>
      <w:r>
        <w:rPr>
          <w:lang w:val="fr-FR"/>
        </w:rPr>
        <w:t xml:space="preserve">L’EHCVM donne l’indice le plus complet — seize indicateurs, dont la santé et</w:t>
      </w:r>
      <w:r>
        <w:rPr>
          <w:lang w:val="fr-FR"/>
        </w:rPr>
        <w:t xml:space="preserve"> </w:t>
      </w:r>
      <w:r>
        <w:rPr>
          <w:lang w:val="fr-FR"/>
        </w:rPr>
        <w:t xml:space="preserve">l’alimentation. Le RGPH donne l’indice le plus fin géographiquement — 519</w:t>
      </w:r>
      <w:r>
        <w:rPr>
          <w:lang w:val="fr-FR"/>
        </w:rPr>
        <w:t xml:space="preserve"> </w:t>
      </w:r>
      <w:r>
        <w:rPr>
          <w:lang w:val="fr-FR"/>
        </w:rPr>
        <w:t xml:space="preserve">sous-préfectures et communes contre 442 sur un échantillon. Les deux ne se remplacent pas, ils se</w:t>
      </w:r>
      <w:r>
        <w:rPr>
          <w:lang w:val="fr-FR"/>
        </w:rPr>
        <w:t xml:space="preserve"> </w:t>
      </w:r>
      <w:r>
        <w:rPr>
          <w:lang w:val="fr-FR"/>
        </w:rPr>
        <w:t xml:space="preserve">complètent.</w:t>
      </w:r>
    </w:p>
    <w:bookmarkEnd w:id="9"/>
    <w:bookmarkStart w:id="15" w:name="les-données"/>
    <w:p>
      <w:pPr>
        <w:pStyle w:val="Heading1"/>
      </w:pPr>
      <w:r>
        <w:rPr>
          <w:lang w:val="fr-FR"/>
        </w:rPr>
        <w:t xml:space="preserve">Les données</w:t>
      </w:r>
    </w:p>
    <w:p>
      <w:pPr>
        <w:pStyle w:val="FirstParagraph"/>
      </w:pPr>
      <w:r>
        <w:rPr>
          <w:lang w:val="fr-FR"/>
        </w:rPr>
        <w:t xml:space="preserve">Le RGPH 2021 couvre 5 616 487 ménages et 27 984 405 individus recensés, soit</w:t>
      </w:r>
      <w:r>
        <w:rPr>
          <w:lang w:val="fr-FR"/>
        </w:rPr>
        <w:t xml:space="preserve"> </w:t>
      </w:r>
      <w:r>
        <w:rPr>
          <w:lang w:val="fr-FR"/>
        </w:rPr>
        <w:t xml:space="preserve">29 276 660 personnes une fois la correction de couverture appliquée. L’extrait utilisé</w:t>
      </w:r>
      <w:r>
        <w:rPr>
          <w:lang w:val="fr-FR"/>
        </w:rPr>
        <w:t xml:space="preserve"> </w:t>
      </w:r>
      <w:r>
        <w:rPr>
          <w:lang w:val="fr-FR"/>
        </w:rPr>
        <w:t xml:space="preserve">tient en trois fichiers.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ligne =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Ce qu’on y prend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IPM_Data_191125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individu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27 984 405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âge, éducation, emploi, état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IPM_Data_110924_men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ménage (le chef)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5 528 535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logement, eau, énergie,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sanitaires, biens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MORTALITE_RP2021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décès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269 901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dimension Santé</w:t>
            </w:r>
          </w:p>
        </w:tc>
      </w:tr>
    </w:tbl>
    <w:bookmarkStart w:id="10" w:name="pourquoi-deux-fichiers-plutôt-quun"/>
    <w:p>
      <w:pPr>
        <w:pStyle w:val="Heading2"/>
      </w:pPr>
      <w:r>
        <w:rPr>
          <w:lang w:val="fr-FR"/>
        </w:rPr>
        <w:t xml:space="preserve">Pourquoi deux fichiers plutôt qu’un</w:t>
      </w:r>
    </w:p>
    <w:p>
      <w:pPr>
        <w:pStyle w:val="FirstParagraph"/>
      </w:pPr>
      <w:r>
        <w:rPr>
          <w:lang w:val="fr-FR"/>
        </w:rPr>
        <w:t xml:space="preserve">Le fichier individus porte lui aussi les variables de logement et de biens d’équipement. Mais</w:t>
      </w:r>
      <w:r>
        <w:rPr>
          <w:lang w:val="fr-FR"/>
        </w:rPr>
        <w:t xml:space="preserve"> </w:t>
      </w:r>
      <w:r>
        <w:rPr>
          <w:lang w:val="fr-FR"/>
        </w:rPr>
        <w:t xml:space="preserve">elles n’y sont renseignées que pour un tiers des ménages : une fusion incomplète en amont</w:t>
      </w:r>
      <w:r>
        <w:rPr>
          <w:lang w:val="fr-FR"/>
        </w:rPr>
        <w:t xml:space="preserve"> </w:t>
      </w:r>
      <w:r>
        <w:rPr>
          <w:lang w:val="fr-FR"/>
        </w:rPr>
        <w:t xml:space="preserve">les a perdues pour les deux autres tiers. Les lire là reviendrait à priver de conditions de vie</w:t>
      </w:r>
      <w:r>
        <w:rPr>
          <w:lang w:val="fr-FR"/>
        </w:rPr>
        <w:t xml:space="preserve"> </w:t>
      </w:r>
      <w:r>
        <w:rPr>
          <w:lang w:val="fr-FR"/>
        </w:rPr>
        <w:t xml:space="preserve">deux ménages sur trois.</w:t>
      </w:r>
    </w:p>
    <w:p>
      <w:pPr>
        <w:pStyle w:val="BodyText"/>
      </w:pPr>
      <w:r>
        <w:rPr>
          <w:lang w:val="fr-FR"/>
        </w:rPr>
        <w:t xml:space="preserve">Elles sont donc lues dans le fichier ménages, où elles sont complètes, et rattachées au ménage par</w:t>
      </w:r>
      <w:r>
        <w:rPr>
          <w:lang w:val="fr-FR"/>
        </w:rPr>
        <w:t xml:space="preserve"> </w:t>
      </w:r>
      <w:r>
        <w:rPr>
          <w:lang w:val="fr-FR"/>
        </w:rPr>
        <w:t xml:space="preserve">l’</w:t>
      </w:r>
      <w:r>
        <w:rPr>
          <w:rStyle w:val="VerbatimChar"/>
          <w:lang w:val="fr-FR"/>
        </w:rPr>
        <w:t xml:space="preserve">INDIV_ID</w:t>
      </w:r>
      <w:r>
        <w:rPr>
          <w:lang w:val="fr-FR"/>
        </w:rPr>
        <w:t xml:space="preserve"> </w:t>
      </w:r>
      <w:r>
        <w:rPr>
          <w:lang w:val="fr-FR"/>
        </w:rPr>
        <w:t xml:space="preserve">de son chef. Restent 87 952 ménages, soit 1,6 %, présents dans le</w:t>
      </w:r>
      <w:r>
        <w:rPr>
          <w:lang w:val="fr-FR"/>
        </w:rPr>
        <w:t xml:space="preserve"> </w:t>
      </w:r>
      <w:r>
        <w:rPr>
          <w:lang w:val="fr-FR"/>
        </w:rPr>
        <w:t xml:space="preserve">fichier individus et absents du fichier ménages : conformément à la convention du pipeline, ils ne</w:t>
      </w:r>
      <w:r>
        <w:rPr>
          <w:lang w:val="fr-FR"/>
        </w:rPr>
        <w:t xml:space="preserve"> </w:t>
      </w:r>
      <w:r>
        <w:rPr>
          <w:lang w:val="fr-FR"/>
        </w:rPr>
        <w:t xml:space="preserve">sont privés sur aucun indicateur de conditions de vie.</w:t>
      </w:r>
    </w:p>
    <w:bookmarkEnd w:id="10"/>
    <w:bookmarkStart w:id="11" w:name="les-trois-clés-de-jointure"/>
    <w:p>
      <w:pPr>
        <w:pStyle w:val="Heading2"/>
      </w:pPr>
      <w:r>
        <w:rPr>
          <w:lang w:val="fr-FR"/>
        </w:rPr>
        <w:t xml:space="preserve">Les trois clés de jointure</w:t>
      </w:r>
    </w:p>
    <w:p>
      <w:pPr>
        <w:pStyle w:val="DefinitionTerm"/>
      </w:pPr>
      <w:r>
        <w:rPr>
          <w:rStyle w:val="VerbatimChar"/>
          <w:lang w:val="fr-FR"/>
        </w:rPr>
        <w:t xml:space="preserve">ID_Menage</w:t>
      </w:r>
    </w:p>
    <w:p>
      <w:pPr>
        <w:pStyle w:val="Definition"/>
      </w:pPr>
      <w:r>
        <w:rPr>
          <w:lang w:val="fr-FR"/>
        </w:rPr>
        <w:t xml:space="preserve">rassemble les individus d’un même ménage, à l’intérieur du fichier</w:t>
      </w:r>
      <w:r>
        <w:rPr>
          <w:lang w:val="fr-FR"/>
        </w:rPr>
        <w:t xml:space="preserve"> </w:t>
      </w:r>
      <w:r>
        <w:rPr>
          <w:lang w:val="fr-FR"/>
        </w:rPr>
        <w:t xml:space="preserve">individus.</w:t>
      </w:r>
    </w:p>
    <w:p>
      <w:pPr>
        <w:pStyle w:val="DefinitionTerm"/>
      </w:pPr>
      <w:r>
        <w:rPr>
          <w:rStyle w:val="VerbatimChar"/>
          <w:lang w:val="fr-FR"/>
        </w:rPr>
        <w:t xml:space="preserve">INDIV_ID</w:t>
      </w:r>
      <w:r>
        <w:rPr>
          <w:lang w:val="fr-FR"/>
        </w:rPr>
        <w:t xml:space="preserve"> </w:t>
      </w:r>
      <w:r>
        <w:rPr>
          <w:lang w:val="fr-FR"/>
        </w:rPr>
        <w:t xml:space="preserve">du chef</w:t>
      </w:r>
    </w:p>
    <w:p>
      <w:pPr>
        <w:pStyle w:val="Definition"/>
      </w:pPr>
      <w:r>
        <w:rPr>
          <w:lang w:val="fr-FR"/>
        </w:rPr>
        <w:t xml:space="preserve">rattache le ménage à sa ligne du fichier ménages.</w:t>
      </w:r>
    </w:p>
    <w:p>
      <w:pPr>
        <w:pStyle w:val="DefinitionTerm"/>
      </w:pPr>
      <w:r>
        <w:rPr>
          <w:lang w:val="fr-FR"/>
        </w:rPr>
        <w:t xml:space="preserve">la clé géographique complète</w:t>
      </w:r>
    </w:p>
    <w:p>
      <w:pPr>
        <w:pStyle w:val="Definition"/>
      </w:pP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REGION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P10</w:t>
      </w:r>
      <w:r>
        <w:rPr>
          <w:lang w:val="fr-FR"/>
        </w:rPr>
        <w:t xml:space="preserve">, douze variables) rattache le</w:t>
      </w:r>
      <w:r>
        <w:rPr>
          <w:lang w:val="fr-FR"/>
        </w:rPr>
        <w:t xml:space="preserve"> </w:t>
      </w:r>
      <w:r>
        <w:rPr>
          <w:lang w:val="fr-FR"/>
        </w:rPr>
        <w:t xml:space="preserve">ménage à ses décès. C’est le seul lien possible : le fichier de mortalité ne porte ni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INDIV_ID</w:t>
      </w:r>
      <w:r>
        <w:rPr>
          <w:lang w:val="fr-FR"/>
        </w:rPr>
        <w:t xml:space="preserve"> </w:t>
      </w:r>
      <w:r>
        <w:rPr>
          <w:lang w:val="fr-FR"/>
        </w:rPr>
        <w:t xml:space="preserve">ni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ID_Menage</w:t>
      </w:r>
      <w:r>
        <w:rPr>
          <w:lang w:val="fr-FR"/>
        </w:rPr>
        <w:t xml:space="preserve">.</w:t>
      </w:r>
    </w:p>
    <w:bookmarkEnd w:id="11"/>
    <w:bookmarkStart w:id="12" w:name="la-pondération"/>
    <w:p>
      <w:pPr>
        <w:pStyle w:val="Heading2"/>
      </w:pPr>
      <w:r>
        <w:rPr>
          <w:lang w:val="fr-FR"/>
        </w:rPr>
        <w:t xml:space="preserve">La pondération</w:t>
      </w:r>
    </w:p>
    <w:p>
      <w:pPr>
        <w:pStyle w:val="FirstParagraph"/>
      </w:pPr>
      <w:r>
        <w:rPr>
          <w:lang w:val="fr-FR"/>
        </w:rPr>
        <w:t xml:space="preserve">Un recensement se veut exhaustif, mais aucun ne l’est parfaitement. L’Enquête post-censitaire</w:t>
      </w:r>
      <w:r>
        <w:rPr>
          <w:lang w:val="fr-FR"/>
        </w:rPr>
        <w:t xml:space="preserve"> </w:t>
      </w:r>
      <w:r>
        <w:rPr>
          <w:lang w:val="fr-FR"/>
        </w:rPr>
        <w:t xml:space="preserve">mesure le taux de couverture atteint ; la variable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EW</w:t>
      </w:r>
      <w:r>
        <w:rPr>
          <w:lang w:val="fr-FR"/>
        </w:rPr>
        <w:t xml:space="preserve"> </w:t>
      </w:r>
      <w:r>
        <w:rPr>
          <w:lang w:val="fr-FR"/>
        </w:rPr>
        <w:t xml:space="preserve">en porte la correction, comprise entre</w:t>
      </w:r>
      <w:r>
        <w:rPr>
          <w:lang w:val="fr-FR"/>
        </w:rPr>
        <w:t xml:space="preserve"> </w:t>
      </w:r>
      <w:r>
        <w:rPr>
          <w:lang w:val="fr-FR"/>
        </w:rPr>
        <w:t xml:space="preserve">1,020 et 1,057 selon la strate.</w:t>
      </w:r>
    </w:p>
    <w:p>
      <w:pPr>
        <w:pStyle w:val="BodyText"/>
      </w:pPr>
      <w:r>
        <w:rPr>
          <w:lang w:val="fr-FR"/>
        </w:rPr>
        <w:t xml:space="preserve">Appliquée, elle donne une population de 29,28 millions, à 0,4 % du chiffre publié du RGPH</w:t>
      </w:r>
      <w:r>
        <w:rPr>
          <w:lang w:val="fr-FR"/>
        </w:rPr>
        <w:t xml:space="preserve"> </w:t>
      </w:r>
      <w:r>
        <w:rPr>
          <w:lang w:val="fr-FR"/>
        </w:rPr>
        <w:t xml:space="preserve">2021 (29 389 150). C’est le contrôle qui valide le choix de la variable.</w:t>
      </w:r>
    </w:p>
    <w:p>
      <w:pPr>
        <w:pStyle w:val="BlockText"/>
      </w:pPr>
      <w:r>
        <w:rPr>
          <w:b/>
          <w:bCs/>
          <w:lang w:val="fr-FR"/>
        </w:rPr>
        <w:t xml:space="preserve">Attention — Ne pas confondre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EW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et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PROJ24</w:t>
      </w:r>
    </w:p>
    <w:p>
      <w:pPr>
        <w:pStyle w:val="BlockText"/>
      </w:pPr>
      <w:r>
        <w:rPr>
          <w:lang w:val="fr-FR"/>
        </w:rPr>
        <w:t xml:space="preserve">La base porte une seconde pondération,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PROJ24</w:t>
      </w:r>
      <w:r>
        <w:rPr>
          <w:lang w:val="fr-FR"/>
        </w:rPr>
        <w:t xml:space="preserve">, dite « de ratissage », comprise entre 1,109 et</w:t>
      </w:r>
      <w:r>
        <w:rPr>
          <w:lang w:val="fr-FR"/>
        </w:rPr>
        <w:t xml:space="preserve"> </w:t>
      </w:r>
      <w:r>
        <w:rPr>
          <w:lang w:val="fr-FR"/>
        </w:rPr>
        <w:t xml:space="preserve">1,153. Elle projette les effectifs à 2024 et donnerait 31,9 millions de personnes. Elle n’est pas</w:t>
      </w:r>
      <w:r>
        <w:rPr>
          <w:lang w:val="fr-FR"/>
        </w:rPr>
        <w:t xml:space="preserve"> </w:t>
      </w:r>
      <w:r>
        <w:rPr>
          <w:lang w:val="fr-FR"/>
        </w:rPr>
        <w:t xml:space="preserve">retenue : l’IPM publié ici décrit la Côte d’Ivoire de 2021.</w:t>
      </w:r>
    </w:p>
    <w:bookmarkEnd w:id="12"/>
    <w:bookmarkStart w:id="13" w:name="la-grappe-une-zone-de-dénombrement"/>
    <w:p>
      <w:pPr>
        <w:pStyle w:val="Heading2"/>
      </w:pPr>
      <w:r>
        <w:rPr>
          <w:lang w:val="fr-FR"/>
        </w:rPr>
        <w:t xml:space="preserve">La grappe : une zone de dénombrement</w:t>
      </w:r>
    </w:p>
    <w:p>
      <w:pPr>
        <w:pStyle w:val="FirstParagraph"/>
      </w:pPr>
      <w:r>
        <w:rPr>
          <w:lang w:val="fr-FR"/>
        </w:rPr>
        <w:t xml:space="preserve">Les intervalles de confiance de la méthode agrègent la variance à l’unité primaire de sondage.</w:t>
      </w:r>
      <w:r>
        <w:rPr>
          <w:lang w:val="fr-FR"/>
        </w:rPr>
        <w:t xml:space="preserve"> </w:t>
      </w:r>
      <w:r>
        <w:rPr>
          <w:lang w:val="fr-FR"/>
        </w:rPr>
        <w:t xml:space="preserve">Un recensement n’en a pas, à proprement parler : il n’y a pas de tirage. On retient la</w:t>
      </w:r>
      <w:r>
        <w:rPr>
          <w:lang w:val="fr-FR"/>
        </w:rPr>
        <w:t xml:space="preserve"> </w:t>
      </w:r>
      <w:r>
        <w:rPr>
          <w:lang w:val="fr-FR"/>
        </w:rPr>
        <w:t xml:space="preserve">zone de dénombrement —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SOUSPREFID</w:t>
      </w:r>
      <w:r>
        <w:rPr>
          <w:lang w:val="fr-FR"/>
        </w:rPr>
        <w:t xml:space="preserve"> </w:t>
      </w:r>
      <m:oMath>
        <m:r>
          <m:rPr>
            <m:sty m:val="p"/>
          </m:rPr>
          <m:t>×</m:t>
        </m:r>
      </m:oMath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P_ZC</w:t>
      </w:r>
      <w:r>
        <w:rPr>
          <w:lang w:val="fr-FR"/>
        </w:rPr>
        <w:t xml:space="preserve"> </w:t>
      </w:r>
      <m:oMath>
        <m:r>
          <m:rPr>
            <m:sty m:val="p"/>
          </m:rPr>
          <m:t>×</m:t>
        </m:r>
      </m:oMath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P05</w:t>
      </w:r>
      <w:r>
        <w:rPr>
          <w:lang w:val="fr-FR"/>
        </w:rPr>
        <w:t xml:space="preserve"> </w:t>
      </w:r>
      <w:r>
        <w:rPr>
          <w:lang w:val="fr-FR"/>
        </w:rPr>
        <w:t xml:space="preserve">— soit</w:t>
      </w:r>
      <w:r>
        <w:rPr>
          <w:lang w:val="fr-FR"/>
        </w:rPr>
        <w:t xml:space="preserve"> </w:t>
      </w:r>
      <w:r>
        <w:rPr>
          <w:lang w:val="fr-FR"/>
        </w:rPr>
        <w:t xml:space="preserve">28 329 unités, qui est l’unité de collecte et la maille à laquelle les erreurs de</w:t>
      </w:r>
      <w:r>
        <w:rPr>
          <w:lang w:val="fr-FR"/>
        </w:rPr>
        <w:t xml:space="preserve"> </w:t>
      </w:r>
      <w:r>
        <w:rPr>
          <w:lang w:val="fr-FR"/>
        </w:rPr>
        <w:t xml:space="preserve">dénombrement se corrèlent.</w:t>
      </w:r>
    </w:p>
    <w:p>
      <w:pPr>
        <w:pStyle w:val="BlockText"/>
      </w:pPr>
      <w:r>
        <w:rPr>
          <w:b/>
          <w:bCs/>
          <w:lang w:val="fr-FR"/>
        </w:rPr>
        <w:t xml:space="preserve">Comment lire un intervalle de confiance sur un recensement</w:t>
      </w:r>
    </w:p>
    <w:p>
      <w:pPr>
        <w:pStyle w:val="BlockText"/>
      </w:pPr>
      <w:r>
        <w:rPr>
          <w:lang w:val="fr-FR"/>
        </w:rPr>
        <w:t xml:space="preserve">Il ne mesure pas une incertitude d’échantillonnage — il n’y en a pas — mais la dispersion du</w:t>
      </w:r>
      <w:r>
        <w:rPr>
          <w:lang w:val="fr-FR"/>
        </w:rPr>
        <w:t xml:space="preserve"> </w:t>
      </w:r>
      <w:r>
        <w:rPr>
          <w:lang w:val="fr-FR"/>
        </w:rPr>
        <w:t xml:space="preserve">phénomène entre zones de dénombrement. Il reste utile pour juger si une sous-préfecture au chiffre</w:t>
      </w:r>
      <w:r>
        <w:rPr>
          <w:lang w:val="fr-FR"/>
        </w:rPr>
        <w:t xml:space="preserve"> </w:t>
      </w:r>
      <w:r>
        <w:rPr>
          <w:lang w:val="fr-FR"/>
        </w:rPr>
        <w:t xml:space="preserve">extrême est réellement extrême ou portée par quelques zones atypiques. Il est, par construction,</w:t>
      </w:r>
      <w:r>
        <w:rPr>
          <w:lang w:val="fr-FR"/>
        </w:rPr>
        <w:t xml:space="preserve"> </w:t>
      </w:r>
      <w:r>
        <w:rPr>
          <w:lang w:val="fr-FR"/>
        </w:rPr>
        <w:t xml:space="preserve">bien plus étroit que celui de l’EHCVM.</w:t>
      </w:r>
    </w:p>
    <w:bookmarkEnd w:id="13"/>
    <w:bookmarkStart w:id="14" w:name="unité-de-construction-unité-de-comptage"/>
    <w:p>
      <w:pPr>
        <w:pStyle w:val="Heading2"/>
      </w:pPr>
      <w:r>
        <w:rPr>
          <w:lang w:val="fr-FR"/>
        </w:rPr>
        <w:t xml:space="preserve">Unité de construction, unité de comptage</w:t>
      </w:r>
    </w:p>
    <w:p>
      <w:pPr>
        <w:pStyle w:val="FirstParagraph"/>
      </w:pPr>
      <w:r>
        <w:rPr>
          <w:lang w:val="fr-FR"/>
        </w:rPr>
        <w:t xml:space="preserve">Inchangé par rapport à l’EHCVM : le score se calcule par ménage, l’indice se lit en personnes.</w:t>
      </w:r>
      <w:r>
        <w:rPr>
          <w:lang w:val="fr-FR"/>
        </w:rPr>
        <w:t xml:space="preserve"> </w:t>
      </w:r>
      <w:r>
        <w:rPr>
          <w:lang w:val="fr-FR"/>
        </w:rPr>
        <w:t xml:space="preserve">Chaque ménage</w:t>
      </w:r>
      <w:r>
        <w:rPr>
          <w:lang w:val="fr-FR"/>
        </w:rPr>
        <w:t xml:space="preserve"> </w:t>
      </w:r>
      <m:oMath>
        <m:r>
          <m:t>i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compte pour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nor/>
                  <m:scr m:val="monospace"/>
                  <m:sty m:val="p"/>
                </m:rPr>
                <m:t>taille_menage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cr m:val="monospace"/>
                  <m:sty m:val="p"/>
                </m:rPr>
                <m:t>ponderation_menage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4"/>
    <w:bookmarkEnd w:id="15"/>
    <w:bookmarkStart w:id="21" w:name="sec:indicateurs"/>
    <w:p>
      <w:pPr>
        <w:pStyle w:val="Heading1"/>
      </w:pPr>
      <w:r>
        <w:rPr>
          <w:lang w:val="fr-FR"/>
        </w:rPr>
        <w:t xml:space="preserve">Les treize indicateurs</w:t>
      </w:r>
    </w:p>
    <w:p>
      <w:pPr>
        <w:pStyle w:val="FirstParagraph"/>
      </w:pPr>
      <w:r>
        <w:rPr>
          <w:lang w:val="fr-FR"/>
        </w:rPr>
        <w:t xml:space="preserve">Quatre dimensions équipondérées à 0,25, comme dans l’IPM national. Le poids d’une dimension se</w:t>
      </w:r>
      <w:r>
        <w:rPr>
          <w:lang w:val="fr-FR"/>
        </w:rPr>
        <w:t xml:space="preserve"> </w:t>
      </w:r>
      <w:r>
        <w:rPr>
          <w:lang w:val="fr-FR"/>
        </w:rPr>
        <w:t xml:space="preserve">partage à parts égales entre ses indicateurs : une dimension à un seul indicateur lui donne donc</w:t>
      </w:r>
      <w:r>
        <w:rPr>
          <w:lang w:val="fr-FR"/>
        </w:rPr>
        <w:t xml:space="preserve"> </w:t>
      </w:r>
      <w:r>
        <w:rPr>
          <w:lang w:val="fr-FR"/>
        </w:rPr>
        <w:t xml:space="preserve">tout son poids.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Poids</w:t>
            </w:r>
            <w:r>
              <w:rPr>
                <w:b/>
                <w:bCs/>
                <w:lang w:val="fr-FR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Privés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 (0,25)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Fréquentation scolaire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35,6 %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Année de scolarité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63,2 %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Alphabétisation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70,4 %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Déclaration d’état civil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Santé (0,25)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Mortalité dans le ménage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 (0,25)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5,9 %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 agricole de subsistance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46,0 %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Conditions de vie (0,25)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11,5 %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25,0 %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Eau potable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14,3 %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Énergie de cuisson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62,7 %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Toilette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45,1 %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Biens d’équipement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18,2 %</w:t>
            </w:r>
          </w:p>
        </w:tc>
      </w:tr>
    </w:tbl>
    <w:p>
      <w:pPr>
        <w:pStyle w:val="BodyText"/>
      </w:pPr>
      <w:r>
        <w:rPr>
          <w:lang w:val="fr-FR"/>
        </w:rPr>
        <w:t xml:space="preserve">« Privés » est la part de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population</w:t>
      </w:r>
      <w:r>
        <w:rPr>
          <w:lang w:val="fr-FR"/>
        </w:rPr>
        <w:t xml:space="preserve"> </w:t>
      </w:r>
      <w:r>
        <w:rPr>
          <w:lang w:val="fr-FR"/>
        </w:rPr>
        <w:t xml:space="preserve">vivant dans un ménage privé sur</w:t>
      </w:r>
      <w:r>
        <w:rPr>
          <w:lang w:val="fr-FR"/>
        </w:rPr>
        <w:t xml:space="preserve"> </w:t>
      </w:r>
      <w:r>
        <w:rPr>
          <w:lang w:val="fr-FR"/>
        </w:rPr>
        <w:t xml:space="preserve">l’indicateur.</w:t>
      </w:r>
    </w:p>
    <w:bookmarkStart w:id="16" w:name="X807c63c601bfc22f28a3974148374c290017649"/>
    <w:p>
      <w:pPr>
        <w:pStyle w:val="Heading2"/>
      </w:pPr>
      <w:r>
        <w:rPr>
          <w:lang w:val="fr-FR"/>
        </w:rPr>
        <w:t xml:space="preserve">Ce que le recensement mesure comme l’enquête</w:t>
      </w:r>
    </w:p>
    <w:p>
      <w:pPr>
        <w:pStyle w:val="FirstParagraph"/>
      </w:pPr>
      <w:r>
        <w:rPr>
          <w:lang w:val="fr-FR"/>
        </w:rPr>
        <w:t xml:space="preserve">Sept indicateurs sont transposés sans perte : fréquentation scolaire, alphabétisation, état civil,</w:t>
      </w:r>
      <w:r>
        <w:rPr>
          <w:lang w:val="fr-FR"/>
        </w:rPr>
        <w:t xml:space="preserve"> </w:t>
      </w:r>
      <w:r>
        <w:rPr>
          <w:lang w:val="fr-FR"/>
        </w:rPr>
        <w:t xml:space="preserve">chômage, électricité, énergie de cuisson et logement. Seuls les codes de nomenclature changent.</w:t>
      </w:r>
    </w:p>
    <w:p>
      <w:pPr>
        <w:pStyle w:val="BodyText"/>
      </w:pPr>
      <w:r>
        <w:rPr>
          <w:lang w:val="fr-FR"/>
        </w:rPr>
        <w:t xml:space="preserve">Un indicateur y gagne même en fidélité. La définition PNUD des biens d’équipement compte</w:t>
      </w:r>
      <w:r>
        <w:rPr>
          <w:lang w:val="fr-FR"/>
        </w:rPr>
        <w:t xml:space="preserve"> </w:t>
      </w:r>
      <w:r>
        <w:rPr>
          <w:lang w:val="fr-FR"/>
        </w:rPr>
        <w:t xml:space="preserve">« radio, télévision, téléphone, ordinateur, charrette, vélo, moto ou réfrigérateur ». La section 12</w:t>
      </w:r>
      <w:r>
        <w:rPr>
          <w:lang w:val="fr-FR"/>
        </w:rPr>
        <w:t xml:space="preserve"> </w:t>
      </w:r>
      <w:r>
        <w:rPr>
          <w:lang w:val="fr-FR"/>
        </w:rPr>
        <w:t xml:space="preserve">de l’EHCVM ne propose pas la charrette : l’indice y porte sur sept biens. Le recensement, lui,</w:t>
      </w:r>
      <w:r>
        <w:rPr>
          <w:lang w:val="fr-FR"/>
        </w:rPr>
        <w:t xml:space="preserve"> </w:t>
      </w:r>
      <w:r>
        <w:rPr>
          <w:lang w:val="fr-FR"/>
        </w:rPr>
        <w:t xml:space="preserve">demande le « véhicule à traction animale » :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huit biens y sont tous</w:t>
      </w:r>
      <w:r>
        <w:rPr>
          <w:lang w:val="fr-FR"/>
        </w:rPr>
        <w:t xml:space="preserve">.</w:t>
      </w:r>
    </w:p>
    <w:bookmarkEnd w:id="16"/>
    <w:bookmarkStart w:id="17" w:name="les-deux-approximations"/>
    <w:p>
      <w:pPr>
        <w:pStyle w:val="Heading2"/>
      </w:pPr>
      <w:r>
        <w:rPr>
          <w:lang w:val="fr-FR"/>
        </w:rPr>
        <w:t xml:space="preserve">Les deux approximations</w:t>
      </w:r>
    </w:p>
    <w:p>
      <w:pPr>
        <w:pStyle w:val="DefinitionTerm"/>
      </w:pPr>
      <w:r>
        <w:rPr>
          <w:lang w:val="fr-FR"/>
        </w:rPr>
        <w:t xml:space="preserve">Année de scolarité.</w:t>
      </w:r>
    </w:p>
    <w:p>
      <w:pPr>
        <w:pStyle w:val="Definition"/>
      </w:pPr>
      <w:r>
        <w:rPr>
          <w:lang w:val="fr-FR"/>
        </w:rPr>
        <w:t xml:space="preserve">L’énoncé national dit « aucun membre de 17-95 ans n’a complété dix</w:t>
      </w:r>
      <w:r>
        <w:rPr>
          <w:lang w:val="fr-FR"/>
        </w:rPr>
        <w:t xml:space="preserve"> </w:t>
      </w:r>
      <w:r>
        <w:rPr>
          <w:lang w:val="fr-FR"/>
        </w:rPr>
        <w:t xml:space="preserve">années d’études ». Le recensement ne demande ni les années d’études ni la classe atteinte : il</w:t>
      </w:r>
      <w:r>
        <w:rPr>
          <w:lang w:val="fr-FR"/>
        </w:rPr>
        <w:t xml:space="preserve"> </w:t>
      </w:r>
      <w:r>
        <w:rPr>
          <w:lang w:val="fr-FR"/>
        </w:rPr>
        <w:t xml:space="preserve">ne demande que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diplôme le plus élevé</w:t>
      </w:r>
      <w:r>
        <w:rPr>
          <w:lang w:val="fr-FR"/>
        </w:rPr>
        <w:t xml:space="preserve">. Le seuil est donc porté sur le diplôme — le</w:t>
      </w:r>
      <w:r>
        <w:rPr>
          <w:lang w:val="fr-FR"/>
        </w:rPr>
        <w:t xml:space="preserve"> </w:t>
      </w:r>
      <w:r>
        <w:rPr>
          <w:lang w:val="fr-FR"/>
        </w:rPr>
        <w:t xml:space="preserve">BEPC ou plus vaut dix années accomplies. L’approximation est bonne à l’échelle du pays : 63,2 %</w:t>
      </w:r>
      <w:r>
        <w:rPr>
          <w:lang w:val="fr-FR"/>
        </w:rPr>
        <w:t xml:space="preserve"> </w:t>
      </w:r>
      <w:r>
        <w:rPr>
          <w:lang w:val="fr-FR"/>
        </w:rPr>
        <w:t xml:space="preserve">de privés au recensement contre 62,9 % à l’enquête, où les années d’études sont reconstruites.</w:t>
      </w:r>
      <w:r>
        <w:rPr>
          <w:lang w:val="fr-FR"/>
        </w:rPr>
        <w:t xml:space="preserve"> </w:t>
      </w:r>
      <w:r>
        <w:rPr>
          <w:lang w:val="fr-FR"/>
        </w:rPr>
        <w:t xml:space="preserve">Elle l’est moins individuellement : on peut avoir fait la troisième sans obtenir le BEPC.</w:t>
      </w:r>
    </w:p>
    <w:p>
      <w:pPr>
        <w:pStyle w:val="DefinitionTerm"/>
      </w:pPr>
      <w:r>
        <w:rPr>
          <w:lang w:val="fr-FR"/>
        </w:rPr>
        <w:t xml:space="preserve">Emploi agricole de subsistance.</w:t>
      </w:r>
    </w:p>
    <w:p>
      <w:pPr>
        <w:pStyle w:val="Definition"/>
      </w:pPr>
      <w:r>
        <w:rPr>
          <w:lang w:val="fr-FR"/>
        </w:rPr>
        <w:t xml:space="preserve">L’énoncé national vise le chef de ménage dont l’activité se</w:t>
      </w:r>
      <w:r>
        <w:rPr>
          <w:lang w:val="fr-FR"/>
        </w:rPr>
        <w:t xml:space="preserve"> </w:t>
      </w:r>
      <w:r>
        <w:rPr>
          <w:lang w:val="fr-FR"/>
        </w:rPr>
        <w:t xml:space="preserve">limite à l’agriculture sur son propre champ. Le recensement ne demande pas « sur son propre</w:t>
      </w:r>
      <w:r>
        <w:rPr>
          <w:lang w:val="fr-FR"/>
        </w:rPr>
        <w:t xml:space="preserve"> </w:t>
      </w:r>
      <w:r>
        <w:rPr>
          <w:lang w:val="fr-FR"/>
        </w:rPr>
        <w:t xml:space="preserve">champ ». On retient donc le chef occupé dans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branche agricole</w:t>
      </w:r>
      <w:r>
        <w:rPr>
          <w:lang w:val="fr-FR"/>
        </w:rPr>
        <w:t xml:space="preserve"> </w:t>
      </w:r>
      <w:r>
        <w:rPr>
          <w:lang w:val="fr-FR"/>
        </w:rPr>
        <w:t xml:space="preserve">(divisions 01 à 03 de</w:t>
      </w:r>
      <w:r>
        <w:rPr>
          <w:lang w:val="fr-FR"/>
        </w:rPr>
        <w:t xml:space="preserve"> </w:t>
      </w:r>
      <w:r>
        <w:rPr>
          <w:lang w:val="fr-FR"/>
        </w:rPr>
        <w:t xml:space="preserve">la NAEMA)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à son compte ou comme aide familial</w:t>
      </w:r>
      <w:r>
        <w:rPr>
          <w:lang w:val="fr-FR"/>
        </w:rPr>
        <w:t xml:space="preserve"> </w:t>
      </w:r>
      <w:r>
        <w:rPr>
          <w:lang w:val="fr-FR"/>
        </w:rPr>
        <w:t xml:space="preserve">— ce qui exclut le salariat,</w:t>
      </w:r>
      <w:r>
        <w:rPr>
          <w:lang w:val="fr-FR"/>
        </w:rPr>
        <w:t xml:space="preserve"> </w:t>
      </w:r>
      <w:r>
        <w:rPr>
          <w:lang w:val="fr-FR"/>
        </w:rPr>
        <w:t xml:space="preserve">l’apprentissage et les employeurs. 46,0 % de privés, contre 40,5 % à l’enquête.</w:t>
      </w:r>
    </w:p>
    <w:bookmarkEnd w:id="17"/>
    <w:bookmarkStart w:id="18" w:name="les-deux-indicateurs-amputés-dun-critère"/>
    <w:p>
      <w:pPr>
        <w:pStyle w:val="Heading2"/>
      </w:pPr>
      <w:r>
        <w:rPr>
          <w:lang w:val="fr-FR"/>
        </w:rPr>
        <w:t xml:space="preserve">Les deux indicateurs amputés d’un critère</w:t>
      </w:r>
    </w:p>
    <w:p>
      <w:pPr>
        <w:pStyle w:val="FirstParagraph"/>
      </w:pPr>
      <w:r>
        <w:rPr>
          <w:lang w:val="fr-FR"/>
        </w:rPr>
        <w:t xml:space="preserve">L’eau potable de la définition PNUD est privée si la source n’est pas améliorée au sens des ODD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lang w:val="fr-FR"/>
        </w:rPr>
        <w:t xml:space="preserve">si elle est à trente minutes ou plus aller-retour. La toilette est privée si les</w:t>
      </w:r>
      <w:r>
        <w:rPr>
          <w:lang w:val="fr-FR"/>
        </w:rPr>
        <w:t xml:space="preserve"> </w:t>
      </w:r>
      <w:r>
        <w:rPr>
          <w:lang w:val="fr-FR"/>
        </w:rPr>
        <w:t xml:space="preserve">installations ne sont pas améliorées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lang w:val="fr-FR"/>
        </w:rPr>
        <w:t xml:space="preserve">si elles sont partagées. Le recensement ne demande</w:t>
      </w:r>
      <w:r>
        <w:rPr>
          <w:lang w:val="fr-FR"/>
        </w:rPr>
        <w:t xml:space="preserve"> </w:t>
      </w:r>
      <w:r>
        <w:rPr>
          <w:lang w:val="fr-FR"/>
        </w:rPr>
        <w:t xml:space="preserve">ni le temps de trajet, ni le partage : seul le premier critère s’applique dans les deux cas.</w:t>
      </w:r>
    </w:p>
    <w:p>
      <w:pPr>
        <w:pStyle w:val="BodyText"/>
      </w:pPr>
      <w:r>
        <w:rPr>
          <w:lang w:val="fr-FR"/>
        </w:rPr>
        <w:t xml:space="preserve">L’effet est massif sur la toilette — 45,1 % de privés au recensement contre 67,2 % à l’enquête,</w:t>
      </w:r>
      <w:r>
        <w:rPr>
          <w:lang w:val="fr-FR"/>
        </w:rPr>
        <w:t xml:space="preserve"> </w:t>
      </w:r>
      <w:r>
        <w:rPr>
          <w:lang w:val="fr-FR"/>
        </w:rPr>
        <w:t xml:space="preserve">où le partage des sanitaires pèse lourd en milieu urbain. Il est plus modéré sur l’eau : 14,3 %</w:t>
      </w:r>
      <w:r>
        <w:rPr>
          <w:lang w:val="fr-FR"/>
        </w:rPr>
        <w:t xml:space="preserve"> </w:t>
      </w:r>
      <w:r>
        <w:rPr>
          <w:lang w:val="fr-FR"/>
        </w:rPr>
        <w:t xml:space="preserve">contre 20,9 %.</w:t>
      </w:r>
    </w:p>
    <w:bookmarkEnd w:id="18"/>
    <w:bookmarkStart w:id="19" w:name="les-quatre-indicateurs-impossibles"/>
    <w:p>
      <w:pPr>
        <w:pStyle w:val="Heading2"/>
      </w:pPr>
      <w:r>
        <w:rPr>
          <w:lang w:val="fr-FR"/>
        </w:rPr>
        <w:t xml:space="preserve">Les quatre indicateurs impossibles</w:t>
      </w:r>
    </w:p>
    <w:p>
      <w:pPr>
        <w:pStyle w:val="FirstParagraph"/>
      </w:pPr>
      <w:r>
        <w:rPr>
          <w:lang w:val="fr-FR"/>
        </w:rPr>
        <w:t xml:space="preserve">Le recensement ne pose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aucune question de santé</w:t>
      </w:r>
      <w:r>
        <w:rPr>
          <w:lang w:val="fr-FR"/>
        </w:rPr>
        <w:t xml:space="preserve"> </w:t>
      </w:r>
      <w:r>
        <w:rPr>
          <w:lang w:val="fr-FR"/>
        </w:rPr>
        <w:t xml:space="preserve">: ni assurance maladie, ni module de</w:t>
      </w:r>
      <w:r>
        <w:rPr>
          <w:lang w:val="fr-FR"/>
        </w:rPr>
        <w:t xml:space="preserve"> </w:t>
      </w:r>
      <w:r>
        <w:rPr>
          <w:lang w:val="fr-FR"/>
        </w:rPr>
        <w:t xml:space="preserve">sécurité alimentaire, ni recours aux soins. Il ne demande pas non plus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nombre de pièces</w:t>
      </w:r>
      <w:r>
        <w:rPr>
          <w:lang w:val="fr-FR"/>
        </w:rPr>
        <w:t xml:space="preserve"> </w:t>
      </w:r>
      <w:r>
        <w:rPr>
          <w:lang w:val="fr-FR"/>
        </w:rPr>
        <w:t xml:space="preserve">du logement, ce qui interdit la promiscuité. Quatre indicateurs de l’IPM national disparaissent</w:t>
      </w:r>
      <w:r>
        <w:rPr>
          <w:lang w:val="fr-FR"/>
        </w:rPr>
        <w:t xml:space="preserve"> </w:t>
      </w:r>
      <w:r>
        <w:rPr>
          <w:lang w:val="fr-FR"/>
        </w:rPr>
        <w:t xml:space="preserve">donc : assurance maladie, insécurité alimentaire, renoncement aux soins et promiscuité.</w:t>
      </w:r>
    </w:p>
    <w:bookmarkEnd w:id="19"/>
    <w:bookmarkStart w:id="20" w:name="sec:mortalite"/>
    <w:p>
      <w:pPr>
        <w:pStyle w:val="Heading2"/>
      </w:pPr>
      <w:r>
        <w:rPr>
          <w:lang w:val="fr-FR"/>
        </w:rPr>
        <w:t xml:space="preserve">L’indicateur propre au recensement : la mortalité</w:t>
      </w:r>
    </w:p>
    <w:p>
      <w:pPr>
        <w:pStyle w:val="FirstParagraph"/>
      </w:pPr>
      <w:r>
        <w:rPr>
          <w:lang w:val="fr-FR"/>
        </w:rPr>
        <w:t xml:space="preserve">La dimension Santé serait vide sans le fichier de mortalité, qui recense les décès survenus dans le</w:t>
      </w:r>
      <w:r>
        <w:rPr>
          <w:lang w:val="fr-FR"/>
        </w:rPr>
        <w:t xml:space="preserve"> </w:t>
      </w:r>
      <w:r>
        <w:rPr>
          <w:lang w:val="fr-FR"/>
        </w:rPr>
        <w:t xml:space="preserve">ménage au cours des douze mois précédant le recensement. On retient le décès d’un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enfant de moins de 18 ans</w:t>
      </w:r>
      <w:r>
        <w:rPr>
          <w:lang w:val="fr-FR"/>
        </w:rPr>
        <w:t xml:space="preserve"> </w:t>
      </w:r>
      <w:r>
        <w:rPr>
          <w:lang w:val="fr-FR"/>
        </w:rPr>
        <w:t xml:space="preserve">: c’est la borne de l’IPM mondial, et celle du traitement Stata</w:t>
      </w:r>
      <w:r>
        <w:rPr>
          <w:lang w:val="fr-FR"/>
        </w:rPr>
        <w:t xml:space="preserve"> </w:t>
      </w:r>
      <w:r>
        <w:rPr>
          <w:lang w:val="fr-FR"/>
        </w:rPr>
        <w:t xml:space="preserve">antérieur du RGPH 2021.</w:t>
      </w:r>
    </w:p>
    <w:p>
      <w:pPr>
        <w:pStyle w:val="BlockText"/>
      </w:pPr>
      <w:r>
        <w:rPr>
          <w:b/>
          <w:bCs/>
          <w:lang w:val="fr-FR"/>
        </w:rPr>
        <w:t xml:space="preserve">Attention — Une privation rare, qui porte pourtant le quart du poids</w:t>
      </w:r>
    </w:p>
    <w:p>
      <w:pPr>
        <w:pStyle w:val="BlockText"/>
      </w:pPr>
      <w:r>
        <w:rPr>
          <w:lang w:val="fr-FR"/>
        </w:rPr>
        <w:t xml:space="preserve">Seuls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1,1 %</w:t>
      </w:r>
      <w:r>
        <w:rPr>
          <w:lang w:val="fr-FR"/>
        </w:rPr>
        <w:t xml:space="preserve"> </w:t>
      </w:r>
      <w:r>
        <w:rPr>
          <w:lang w:val="fr-FR"/>
        </w:rPr>
        <w:t xml:space="preserve">des ménages sont privés sur cet indicateur, et il est seul dans sa dimension :</w:t>
      </w:r>
      <w:r>
        <w:rPr>
          <w:lang w:val="fr-FR"/>
        </w:rPr>
        <w:t xml:space="preserve"> </w:t>
      </w:r>
      <w:r>
        <w:rPr>
          <w:lang w:val="fr-FR"/>
        </w:rPr>
        <w:t xml:space="preserve">son poids</w:t>
      </w:r>
      <w:r>
        <w:rPr>
          <w:lang w:val="fr-FR"/>
        </w:rP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vaut 0,25. La dimension Santé ne contribue donc qu’à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1,6 %</w:t>
      </w:r>
      <w:r>
        <w:rPr>
          <w:lang w:val="fr-FR"/>
        </w:rPr>
        <w:t xml:space="preserve"> </w:t>
      </w:r>
      <w:r>
        <w:rPr>
          <w:lang w:val="fr-FR"/>
        </w:rPr>
        <w:t xml:space="preserve">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pour un poids nominal de 25 %, et le score d’un ménage ne peut pratiquement pas dépasser 0,75.</w:t>
      </w:r>
      <w:r>
        <w:rPr>
          <w:lang w:val="fr-FR"/>
        </w:rPr>
        <w:t xml:space="preserve"> </w:t>
      </w:r>
      <w:r>
        <w:rPr>
          <w:lang w:val="fr-FR"/>
        </w:rPr>
        <w:t xml:space="preserve">C’est la première raison pour laquelle l’IPM RGPH complet est structurellement plus bas que l’IPM</w:t>
      </w:r>
      <w:r>
        <w:rPr>
          <w:lang w:val="fr-FR"/>
        </w:rPr>
        <w:t xml:space="preserve"> </w:t>
      </w:r>
      <w:r>
        <w:rPr>
          <w:lang w:val="fr-FR"/>
        </w:rPr>
        <w:t xml:space="preserve">EHCVM, et pourquoi les deux ne se comparent pas en niveau.</w:t>
      </w:r>
    </w:p>
    <w:p>
      <w:pPr>
        <w:pStyle w:val="BlockText"/>
      </w:pPr>
      <w:r>
        <w:rPr>
          <w:lang w:val="fr-FR"/>
        </w:rPr>
        <w:t xml:space="preserve">Deux facteurs se cumulent. L’IPM mondial retient une fenêtre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cinq ans</w:t>
      </w:r>
      <w:r>
        <w:rPr>
          <w:lang w:val="fr-FR"/>
        </w:rPr>
        <w:t xml:space="preserve"> </w:t>
      </w:r>
      <w:r>
        <w:rPr>
          <w:lang w:val="fr-FR"/>
        </w:rPr>
        <w:t xml:space="preserve">là où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n’en couvre qu’</w:t>
      </w:r>
      <w:r>
        <w:rPr>
          <w:b/>
          <w:bCs/>
          <w:lang w:val="fr-FR"/>
        </w:rPr>
        <w:t xml:space="preserve">une</w:t>
      </w:r>
      <w:r>
        <w:rPr>
          <w:lang w:val="fr-FR"/>
        </w:rPr>
        <w:t xml:space="preserve">. Et l’âge au décès est inconnu pour 27,1 % des décès</w:t>
      </w:r>
      <w:r>
        <w:rPr>
          <w:lang w:val="fr-FR"/>
        </w:rPr>
        <w:t xml:space="preserve"> </w:t>
      </w:r>
      <w:r>
        <w:rPr>
          <w:lang w:val="fr-FR"/>
        </w:rPr>
        <w:t xml:space="preserve">enregistrés, qui ne peuvent donc pas être comptés.</w:t>
      </w:r>
    </w:p>
    <w:bookmarkEnd w:id="20"/>
    <w:bookmarkEnd w:id="21"/>
    <w:bookmarkStart w:id="22" w:name="le-calcul"/>
    <w:p>
      <w:pPr>
        <w:pStyle w:val="Heading1"/>
      </w:pPr>
      <w:r>
        <w:rPr>
          <w:lang w:val="fr-FR"/>
        </w:rPr>
        <w:t xml:space="preserve">Le calcul</w:t>
      </w:r>
    </w:p>
    <w:p>
      <w:pPr>
        <w:pStyle w:val="FirstParagraph"/>
      </w:pPr>
      <w:r>
        <w:rPr>
          <w:lang w:val="fr-FR"/>
        </w:rPr>
        <w:t xml:space="preserve">Identique à celui de l’EHCVM — le code des étapes 02 à 05 est littéralement le même fichier. On</w:t>
      </w:r>
      <w:r>
        <w:rPr>
          <w:lang w:val="fr-FR"/>
        </w:rPr>
        <w:t xml:space="preserve"> </w:t>
      </w:r>
      <w:r>
        <w:rPr>
          <w:lang w:val="fr-FR"/>
        </w:rPr>
        <w:t xml:space="preserve">en rappelle ici les quatre temps ; le détail des formules figure dans le document méthodologique</w:t>
      </w:r>
      <w:r>
        <w:rPr>
          <w:lang w:val="fr-FR"/>
        </w:rPr>
        <w:t xml:space="preserve"> </w:t>
      </w:r>
      <w:r>
        <w:rPr>
          <w:lang w:val="fr-FR"/>
        </w:rPr>
        <w:t xml:space="preserve">de l’EHCVM.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Matrice de privation</w:t>
      </w:r>
      <w:r>
        <w:rPr>
          <w:b/>
          <w:bCs/>
          <w:lang w:val="fr-FR"/>
        </w:rPr>
        <w:t xml:space="preserve"> </w:t>
      </w:r>
      <m:oMath>
        <m:sSup>
          <m:e>
            <m:r>
              <m:t>g</m:t>
            </m:r>
          </m:e>
          <m:sup>
            <m:r>
              <m:t>0</m:t>
            </m:r>
          </m:sup>
        </m:sSup>
      </m:oMath>
      <w:r>
        <w:rPr>
          <w:b/>
          <w:bCs/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Le vecteur de seuils</w:t>
      </w:r>
      <w:r>
        <w:rPr>
          <w:lang w:val="fr-FR"/>
        </w:rPr>
        <w:t xml:space="preserve"> </w:t>
      </w:r>
      <m:oMath>
        <m:r>
          <m:t>z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est appliqué aux situations</w:t>
      </w:r>
      <w:r>
        <w:rPr>
          <w:lang w:val="fr-FR"/>
        </w:rPr>
        <w:t xml:space="preserve"> </w:t>
      </w:r>
      <w:r>
        <w:rPr>
          <w:lang w:val="fr-FR"/>
        </w:rPr>
        <w:t xml:space="preserve">brutes : une colonne 0/1 par indicateur, 1 = privé.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Pondération et score.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Sup>
          <m:e>
            <m:r>
              <m:t>g</m:t>
            </m:r>
          </m:e>
          <m:sub>
            <m:r>
              <m:t>i</m:t>
            </m:r>
            <m:r>
              <m:t>j</m:t>
            </m:r>
          </m:sub>
          <m:sup>
            <m:r>
              <m:t>0</m:t>
            </m:r>
          </m:sup>
        </m:sSubSup>
      </m:oMath>
      <w:r>
        <w:rPr>
          <w:lang w:val="fr-FR"/>
        </w:rPr>
        <w:t xml:space="preserve">, entre 0 et 1.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Censure au seuil</w:t>
      </w:r>
      <w:r>
        <w:rPr>
          <w:b/>
          <w:bCs/>
          <w:lang w:val="fr-FR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Les privations des ménages non pauvres sont remises à</w:t>
      </w:r>
      <w:r>
        <w:rPr>
          <w:lang w:val="fr-FR"/>
        </w:rPr>
        <w:t xml:space="preserve"> </w:t>
      </w:r>
      <w:r>
        <w:rPr>
          <w:lang w:val="fr-FR"/>
        </w:rPr>
        <w:t xml:space="preserve">zéro, ce qui rend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décomposable par indicateur.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Indices.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×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lang w:val="fr-FR"/>
        </w:rPr>
        <w:t xml:space="preserve">Trois variantes sont produites à chaque exécution : l’IPM national à quatre dimensions, l’IPM</w:t>
      </w:r>
      <w:r>
        <w:rPr>
          <w:lang w:val="fr-FR"/>
        </w:rPr>
        <w:t xml:space="preserve"> </w:t>
      </w:r>
      <w:r>
        <w:rPr>
          <w:lang w:val="fr-FR"/>
        </w:rPr>
        <w:t xml:space="preserve">international à trois dimensions (sans l’Emploi), et l’IPM harmonisé décrit en</w:t>
      </w:r>
      <w:r>
        <w:rPr>
          <w:lang w:val="fr-FR"/>
        </w:rPr>
        <w:t xml:space="preserve"> </w:t>
      </w:r>
      <w:r>
        <w:rPr>
          <w:lang w:val="fr-FR"/>
        </w:rPr>
        <w:t xml:space="preserve">section </w:t>
      </w:r>
      <w:hyperlink w:anchor="sec:harmonise">
        <w:r>
          <w:rPr>
            <w:rStyle w:val="Hyperlink"/>
            <w:lang w:val="fr-FR"/>
          </w:rPr>
          <w:t xml:space="preserve">7</w:t>
        </w:r>
      </w:hyperlink>
      <w:r>
        <w:rPr>
          <w:lang w:val="fr-FR"/>
        </w:rPr>
        <w:t xml:space="preserve">.</w:t>
      </w:r>
    </w:p>
    <w:bookmarkEnd w:id="22"/>
    <w:bookmarkStart w:id="28" w:name="résultats"/>
    <w:p>
      <w:pPr>
        <w:pStyle w:val="Heading1"/>
      </w:pPr>
      <w:r>
        <w:rPr>
          <w:lang w:val="fr-FR"/>
        </w:rPr>
        <w:t xml:space="preserve">Résultats</w:t>
      </w:r>
    </w:p>
    <w:bookmarkStart w:id="23" w:name="lindice-national"/>
    <w:p>
      <w:pPr>
        <w:pStyle w:val="Heading2"/>
      </w:pPr>
      <w:r>
        <w:rPr>
          <w:lang w:val="fr-FR"/>
        </w:rPr>
        <w:t xml:space="preserve">L’indice national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Variante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IPM national — 4 dimensions, 13 indicateurs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38,8 %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0,4287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0,1664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IPM international — 3 dimensions, sans l’Emploi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36,1 %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0,4301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IPM harmonisé — socle commun EHCVM/RGPH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52,0 %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0,2680</w:t>
            </w:r>
          </w:p>
        </w:tc>
      </w:tr>
    </w:tbl>
    <w:p>
      <w:pPr>
        <w:pStyle w:val="BodyText"/>
      </w:pPr>
      <w:r>
        <w:rPr>
          <w:lang w:val="fr-FR"/>
        </w:rPr>
        <w:t xml:space="preserve">Sur l’IPM national,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20,7 %</w:t>
      </w:r>
      <w:r>
        <w:rPr>
          <w:lang w:val="fr-FR"/>
        </w:rPr>
        <w:t xml:space="preserve"> </w:t>
      </w:r>
      <w:r>
        <w:rPr>
          <w:lang w:val="fr-FR"/>
        </w:rPr>
        <w:t xml:space="preserve">de la population est vulnérable (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lang w:val="fr-FR"/>
        </w:rPr>
        <w:t xml:space="preserve">)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7,8 %</w:t>
      </w:r>
      <w:r>
        <w:rPr>
          <w:lang w:val="fr-FR"/>
        </w:rPr>
        <w:t xml:space="preserve"> </w:t>
      </w:r>
      <w:r>
        <w:rPr>
          <w:lang w:val="fr-FR"/>
        </w:rPr>
        <w:t xml:space="preserve">en pauvreté sévère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lang w:val="fr-FR"/>
        </w:rPr>
        <w:t xml:space="preserve">).</w:t>
      </w:r>
    </w:p>
    <w:bookmarkEnd w:id="23"/>
    <w:bookmarkStart w:id="24" w:name="le-milieu-de-résidence"/>
    <w:p>
      <w:pPr>
        <w:pStyle w:val="Heading2"/>
      </w:pPr>
      <w:r>
        <w:rPr>
          <w:lang w:val="fr-FR"/>
        </w:rPr>
        <w:t xml:space="preserve">Le milieu de résidence</w:t>
      </w:r>
    </w:p>
    <w:p>
      <w:pPr>
        <w:pStyle w:val="FirstParagraph"/>
      </w:pPr>
      <w:r>
        <w:rPr>
          <w:lang w:val="fr-FR"/>
        </w:rPr>
        <w:t xml:space="preserve">Le recensement distingue trois milieux là où l’enquête n’en code que deux.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Milieu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Part pop.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0,3943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0,0212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Semi-urbain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41,0 %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0,4157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0,1705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71,1 %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0,4328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0,3075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84,7 %</w:t>
            </w:r>
          </w:p>
        </w:tc>
      </w:tr>
    </w:tbl>
    <w:p>
      <w:pPr>
        <w:pStyle w:val="BodyText"/>
      </w:pPr>
      <w:r>
        <w:rPr>
          <w:lang w:val="fr-FR"/>
        </w:rPr>
        <w:t xml:space="preserve">C’est le résultat le plus net du calcul. Le rural porte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84,7 %</w:t>
      </w:r>
      <w:r>
        <w:rPr>
          <w:lang w:val="fr-FR"/>
        </w:rPr>
        <w:t xml:space="preserve"> </w:t>
      </w:r>
      <w:r>
        <w:rPr>
          <w:lang w:val="fr-FR"/>
        </w:rPr>
        <w:t xml:space="preserve">de la pauvreté</w:t>
      </w:r>
      <w:r>
        <w:rPr>
          <w:lang w:val="fr-FR"/>
        </w:rPr>
        <w:t xml:space="preserve"> </w:t>
      </w:r>
      <w:r>
        <w:rPr>
          <w:lang w:val="fr-FR"/>
        </w:rPr>
        <w:t xml:space="preserve">multidimensionnelle pour 45,8 % de la population ; l’urbain en porte 5,7 % pour une part de</w:t>
      </w:r>
      <w:r>
        <w:rPr>
          <w:lang w:val="fr-FR"/>
        </w:rPr>
        <w:t xml:space="preserve"> </w:t>
      </w:r>
      <w:r>
        <w:rPr>
          <w:lang w:val="fr-FR"/>
        </w:rPr>
        <w:t xml:space="preserve">population presque identique. Le rapport des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entre rural et urbain est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 à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quinze</w:t>
      </w:r>
      <w:r>
        <w:rPr>
          <w:lang w:val="fr-FR"/>
        </w:rPr>
        <w:t xml:space="preserve"> </w:t>
      </w:r>
      <w:r>
        <w:rPr>
          <w:lang w:val="fr-FR"/>
        </w:rPr>
        <w:t xml:space="preserve">(0,3075 contre 0,0212), contre un à trois dans l’EHCVM (0,4354 contre 0,1525) :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fait ressortir un contraste que l’échantillon lissait.</w:t>
      </w:r>
    </w:p>
    <w:p>
      <w:pPr>
        <w:pStyle w:val="BodyText"/>
      </w:pPr>
      <w:r>
        <w:rPr>
          <w:lang w:val="fr-FR"/>
        </w:rPr>
        <w:t xml:space="preserve">Le semi-urbain, que l’enquête ne distingue pas, occupe une position intermédiaire cohérente — et</w:t>
      </w:r>
      <w:r>
        <w:rPr>
          <w:lang w:val="fr-FR"/>
        </w:rPr>
        <w:t xml:space="preserve"> </w:t>
      </w:r>
      <w:r>
        <w:rPr>
          <w:lang w:val="fr-FR"/>
        </w:rPr>
        <w:t xml:space="preserve">c’est le milieu où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vulnérabilité</w:t>
      </w:r>
      <w:r>
        <w:rPr>
          <w:lang w:val="fr-FR"/>
        </w:rPr>
        <w:t xml:space="preserve"> </w:t>
      </w:r>
      <w:r>
        <w:rPr>
          <w:lang w:val="fr-FR"/>
        </w:rPr>
        <w:t xml:space="preserve">est la plus forte (34,2 % contre 17,7 % en urbain) :</w:t>
      </w:r>
      <w:r>
        <w:rPr>
          <w:lang w:val="fr-FR"/>
        </w:rPr>
        <w:t xml:space="preserve"> </w:t>
      </w:r>
      <w:r>
        <w:rPr>
          <w:lang w:val="fr-FR"/>
        </w:rPr>
        <w:t xml:space="preserve">une population nombreuse y est juste sous le seuil.</w:t>
      </w:r>
    </w:p>
    <w:bookmarkEnd w:id="24"/>
    <w:bookmarkStart w:id="25" w:name="le-territoire"/>
    <w:p>
      <w:pPr>
        <w:pStyle w:val="Heading2"/>
      </w:pPr>
      <w:r>
        <w:rPr>
          <w:lang w:val="fr-FR"/>
        </w:rPr>
        <w:t xml:space="preserve">Le territoire</w:t>
      </w:r>
    </w:p>
    <w:p>
      <w:pPr>
        <w:pStyle w:val="FirstParagraph"/>
      </w:pPr>
      <w:r>
        <w:rPr>
          <w:lang w:val="fr-FR"/>
        </w:rPr>
        <w:t xml:space="preserve">@lrrrr@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Région</w:t>
      </w:r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Part pop.</w:t>
      </w:r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Contribution</w:t>
      </w:r>
      <w:r>
        <w:br/>
      </w:r>
      <w:r>
        <w:br/>
      </w:r>
      <w:r>
        <w:rPr>
          <w:lang w:val="fr-FR"/>
        </w:rPr>
        <w:t xml:space="preserve">District autonome d’Abidjan &amp; 21,5 % &amp; 1,8 % &amp; 0,0069 &amp; 0,9 %</w:t>
      </w:r>
      <w:r>
        <w:br/>
      </w:r>
      <w:r>
        <w:rPr>
          <w:lang w:val="fr-FR"/>
        </w:rPr>
        <w:t xml:space="preserve">District autonome de Yamoussoukro &amp; 1,4 % &amp; 18,7 % &amp; 0,0755 &amp; 0,6 %</w:t>
      </w:r>
      <w:r>
        <w:br/>
      </w:r>
      <w:r>
        <w:rPr>
          <w:lang w:val="fr-FR"/>
        </w:rPr>
        <w:t xml:space="preserve">Sud-Comoé &amp; 2,7 % &amp; 28,1 % &amp; 0,1181 &amp; 1,9 %</w:t>
      </w:r>
      <w:r>
        <w:br/>
      </w:r>
      <w:r>
        <w:rPr>
          <w:lang w:val="fr-FR"/>
        </w:rPr>
        <w:t xml:space="preserve">Gbêkê &amp; 4,6 % &amp; 30,2 % &amp; 0,1279 &amp; 3,5 %</w:t>
      </w:r>
      <w:r>
        <w:br/>
      </w:r>
      <w:r>
        <w:rPr>
          <w:lang w:val="fr-FR"/>
        </w:rPr>
        <w:t xml:space="preserve">La Mé &amp; 2,5 % &amp; 32,2 % &amp; 0,1324 &amp; 2,0 %</w:t>
      </w:r>
      <w:r>
        <w:br/>
      </w:r>
      <w:r>
        <w:br/>
      </w:r>
      <w:r>
        <w:rPr>
          <w:lang w:val="fr-FR"/>
        </w:rPr>
        <w:t xml:space="preserve">Gbôklé &amp; 1,6 % &amp; 65,1 % &amp; 0,2804 &amp; 2,6 %</w:t>
      </w:r>
      <w:r>
        <w:br/>
      </w:r>
      <w:r>
        <w:rPr>
          <w:lang w:val="fr-FR"/>
        </w:rPr>
        <w:t xml:space="preserve">Béré &amp; 1,7 % &amp; 66,9 % &amp; 0,2843 &amp; 2,9 %</w:t>
      </w:r>
      <w:r>
        <w:br/>
      </w:r>
      <w:r>
        <w:rPr>
          <w:lang w:val="fr-FR"/>
        </w:rPr>
        <w:t xml:space="preserve">Bafing &amp; 0,9 % &amp; 69,5 % &amp; 0,3139 &amp; 1,7 %</w:t>
      </w:r>
      <w:r>
        <w:br/>
      </w:r>
      <w:r>
        <w:rPr>
          <w:lang w:val="fr-FR"/>
        </w:rPr>
        <w:t xml:space="preserve">Folon &amp; 0,5 % &amp; 76,2 % &amp; 0,3275 &amp; 1,0 %</w:t>
      </w:r>
      <w:r>
        <w:br/>
      </w:r>
      <w:r>
        <w:rPr>
          <w:lang w:val="fr-FR"/>
        </w:rPr>
        <w:t xml:space="preserve">Bounkani &amp; 1,5 % &amp; 76,5 % &amp; 0,3654 &amp; 3,2 %</w:t>
      </w:r>
      <w:r>
        <w:br/>
      </w:r>
    </w:p>
    <w:p>
      <w:pPr>
        <w:pStyle w:val="BodyText"/>
      </w:pPr>
      <w:r>
        <w:rPr>
          <w:lang w:val="fr-FR"/>
        </w:rPr>
        <w:t xml:space="preserve">L’écart va de 0,0069 à 0,3654, soit un rapport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 à cinquante-trois</w:t>
      </w:r>
      <w:r>
        <w:rPr>
          <w:lang w:val="fr-FR"/>
        </w:rPr>
        <w:t xml:space="preserve">. Abidjan tire seule</w:t>
      </w:r>
      <w:r>
        <w:rPr>
          <w:lang w:val="fr-FR"/>
        </w:rPr>
        <w:t xml:space="preserve"> </w:t>
      </w:r>
      <w:r>
        <w:rPr>
          <w:lang w:val="fr-FR"/>
        </w:rPr>
        <w:t xml:space="preserve">la moyenne nationale vers le bas : 21,5 % de la population du pays, moins de 1 % de sa pauvreté</w:t>
      </w:r>
      <w:r>
        <w:rPr>
          <w:lang w:val="fr-FR"/>
        </w:rPr>
        <w:t xml:space="preserve"> </w:t>
      </w:r>
      <w:r>
        <w:rPr>
          <w:lang w:val="fr-FR"/>
        </w:rPr>
        <w:t xml:space="preserve">multidimensionnelle.</w:t>
      </w:r>
    </w:p>
    <w:p>
      <w:pPr>
        <w:pStyle w:val="BodyText"/>
      </w:pPr>
      <w:r>
        <w:rPr>
          <w:lang w:val="fr-FR"/>
        </w:rPr>
        <w:t xml:space="preserve">À la maille du département, l’écart va d’Abidjan (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= 0,0069) à Téhini (0,4191), et à celle de</w:t>
      </w:r>
      <w:r>
        <w:rPr>
          <w:lang w:val="fr-FR"/>
        </w:rPr>
        <w:t xml:space="preserve"> </w:t>
      </w:r>
      <w:r>
        <w:rPr>
          <w:lang w:val="fr-FR"/>
        </w:rPr>
        <w:t xml:space="preserve">la sous-préfecture, du Plateau (0,0015) à Santa de Ouaninou (0,4752), où 92,6 % de la population</w:t>
      </w:r>
      <w:r>
        <w:rPr>
          <w:lang w:val="fr-FR"/>
        </w:rPr>
        <w:t xml:space="preserve"> </w:t>
      </w:r>
      <w:r>
        <w:rPr>
          <w:lang w:val="fr-FR"/>
        </w:rPr>
        <w:t xml:space="preserve">est multidimensionnellement pauvre. C’est cette granularité qui justifie le calcul sur recensement.</w:t>
      </w:r>
    </w:p>
    <w:bookmarkEnd w:id="25"/>
    <w:bookmarkStart w:id="26" w:name="la-taille-du-ménage"/>
    <w:p>
      <w:pPr>
        <w:pStyle w:val="Heading2"/>
      </w:pPr>
      <w:r>
        <w:rPr>
          <w:lang w:val="fr-FR"/>
        </w:rPr>
        <w:t xml:space="preserve">La taille du ménage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Taille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Part pop.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1-2 personnes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20,9 %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0,0825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3-4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17,8 %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28,8 %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5-6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22,3 %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34,9 %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0,1491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19,9 %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7-9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22,2 %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40,5 %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0,1747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23,3 %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10 et plus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51,8 %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39,9 %</w:t>
            </w:r>
          </w:p>
        </w:tc>
      </w:tr>
    </w:tbl>
    <w:p>
      <w:pPr>
        <w:pStyle w:val="BodyText"/>
      </w:pPr>
      <w:r>
        <w:rPr>
          <w:lang w:val="fr-FR"/>
        </w:rPr>
        <w:t xml:space="preserve">La relation est monotone et forte. Elle doit se lire avec précaution : un grand ménage a</w:t>
      </w:r>
      <w:r>
        <w:rPr>
          <w:lang w:val="fr-FR"/>
        </w:rPr>
        <w:t xml:space="preserve"> </w:t>
      </w:r>
      <w:r>
        <w:rPr>
          <w:lang w:val="fr-FR"/>
        </w:rPr>
        <w:t xml:space="preserve">mécaniquement plus de chances de compter au moins un enfant non scolarisé ou au moins un chômeur,</w:t>
      </w:r>
      <w:r>
        <w:rPr>
          <w:lang w:val="fr-FR"/>
        </w:rPr>
        <w:t xml:space="preserve"> </w:t>
      </w:r>
      <w:r>
        <w:rPr>
          <w:lang w:val="fr-FR"/>
        </w:rPr>
        <w:t xml:space="preserve">puisque plusieurs indicateurs sont formulés en « au moins un membre ». Une partie de la pente est</w:t>
      </w:r>
      <w:r>
        <w:rPr>
          <w:lang w:val="fr-FR"/>
        </w:rPr>
        <w:t xml:space="preserve"> </w:t>
      </w:r>
      <w:r>
        <w:rPr>
          <w:lang w:val="fr-FR"/>
        </w:rPr>
        <w:t xml:space="preserve">donc un artefact de la définition, pas un fait sur les grands ménages.</w:t>
      </w:r>
    </w:p>
    <w:bookmarkEnd w:id="26"/>
    <w:bookmarkStart w:id="27" w:name="ce-que-pèse-réellement-chaque-dimension"/>
    <w:p>
      <w:pPr>
        <w:pStyle w:val="Heading2"/>
      </w:pPr>
      <w:r>
        <w:rPr>
          <w:lang w:val="fr-FR"/>
        </w:rPr>
        <w:t xml:space="preserve">Ce que pèse réellement chaque dimension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Poids 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 à</w:t>
            </w:r>
            <w:r>
              <w:rPr>
                <w:b/>
                <w:bCs/>
                <w:lang w:val="fr-FR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40,6 %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Conditions de vie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28,6 %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Santé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1,6 %</w:t>
            </w:r>
          </w:p>
        </w:tc>
      </w:tr>
    </w:tbl>
    <w:p>
      <w:pPr>
        <w:pStyle w:val="BodyText"/>
      </w:pPr>
      <w:r>
        <w:rPr>
          <w:lang w:val="fr-FR"/>
        </w:rPr>
        <w:t xml:space="preserve">Les quatre indicateurs qui portent l’indice sont l’emploi agricole de subsistance (26,8 %),</w:t>
      </w:r>
      <w:r>
        <w:rPr>
          <w:lang w:val="fr-FR"/>
        </w:rPr>
        <w:t xml:space="preserve"> </w:t>
      </w:r>
      <w:r>
        <w:rPr>
          <w:lang w:val="fr-FR"/>
        </w:rPr>
        <w:t xml:space="preserve">l’alphabétisation (13,6 %), l’année de scolarité (13,4 %) et l’énergie de cuisson (9,5 %). Le</w:t>
      </w:r>
      <w:r>
        <w:rPr>
          <w:lang w:val="fr-FR"/>
        </w:rPr>
        <w:t xml:space="preserve"> </w:t>
      </w:r>
      <w:r>
        <w:rPr>
          <w:lang w:val="fr-FR"/>
        </w:rPr>
        <w:t xml:space="preserve">chômage (1,8 %) et la mortalité (1,6 %) n’y pèsent presque rien, alors qu’ils portent ensemble</w:t>
      </w:r>
      <w:r>
        <w:rPr>
          <w:lang w:val="fr-FR"/>
        </w:rPr>
        <w:t xml:space="preserve"> </w:t>
      </w:r>
      <w:r>
        <w:rPr>
          <w:lang w:val="fr-FR"/>
        </w:rPr>
        <w:t xml:space="preserve">0,375 de poids nominal.</w:t>
      </w:r>
    </w:p>
    <w:p>
      <w:pPr>
        <w:pStyle w:val="BlockText"/>
      </w:pPr>
      <w:r>
        <w:rPr>
          <w:b/>
          <w:bCs/>
          <w:lang w:val="fr-FR"/>
        </w:rPr>
        <w:t xml:space="preserve">Attention — L’emploi de subsistance domine l’indice</w:t>
      </w:r>
    </w:p>
    <w:p>
      <w:pPr>
        <w:pStyle w:val="BlockText"/>
      </w:pPr>
      <w:r>
        <w:rPr>
          <w:lang w:val="fr-FR"/>
        </w:rPr>
        <w:t xml:space="preserve">Cet indicateur est à la fois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premier contributeur</w:t>
      </w:r>
      <w:r>
        <w:rPr>
          <w:lang w:val="fr-FR"/>
        </w:rPr>
        <w:t xml:space="preserve"> </w:t>
      </w:r>
      <w:r>
        <w:rPr>
          <w:lang w:val="fr-FR"/>
        </w:rPr>
        <w:t xml:space="preserve">à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(26,8 %) et celui qui repose</w:t>
      </w:r>
      <w:r>
        <w:rPr>
          <w:lang w:val="fr-FR"/>
        </w:rPr>
        <w:t xml:space="preserve"> </w:t>
      </w:r>
      <w:r>
        <w:rPr>
          <w:lang w:val="fr-FR"/>
        </w:rPr>
        <w:t xml:space="preserve">sur l’</w:t>
      </w:r>
      <w:r>
        <w:rPr>
          <w:b/>
          <w:bCs/>
          <w:lang w:val="fr-FR"/>
        </w:rPr>
        <w:t xml:space="preserve">approximation la plus lâche</w:t>
      </w:r>
      <w:r>
        <w:rPr>
          <w:lang w:val="fr-FR"/>
        </w:rPr>
        <w:t xml:space="preserve"> </w:t>
      </w:r>
      <w:r>
        <w:rPr>
          <w:lang w:val="fr-FR"/>
        </w:rPr>
        <w:t xml:space="preserve">(section </w:t>
      </w:r>
      <w:hyperlink w:anchor="sec:indicateurs">
        <w:r>
          <w:rPr>
            <w:rStyle w:val="Hyperlink"/>
            <w:lang w:val="fr-FR"/>
          </w:rPr>
          <w:t xml:space="preserve">3</w:t>
        </w:r>
      </w:hyperlink>
      <w:r>
        <w:rPr>
          <w:lang w:val="fr-FR"/>
        </w:rPr>
        <w:t xml:space="preserve">). Deux effets se</w:t>
      </w:r>
      <w:r>
        <w:rPr>
          <w:lang w:val="fr-FR"/>
        </w:rPr>
        <w:t xml:space="preserve"> </w:t>
      </w:r>
      <w:r>
        <w:rPr>
          <w:lang w:val="fr-FR"/>
        </w:rPr>
        <w:t xml:space="preserve">conjuguent : la dimension Emploi ne compte que deux indicateurs, donc chacun pèse 0,125 ; et le</w:t>
      </w:r>
      <w:r>
        <w:rPr>
          <w:lang w:val="fr-FR"/>
        </w:rPr>
        <w:t xml:space="preserve"> </w:t>
      </w:r>
      <w:r>
        <w:rPr>
          <w:lang w:val="fr-FR"/>
        </w:rPr>
        <w:t xml:space="preserve">chômage ne prive presque personne, laissant l’emploi de subsistance porter seul la dimension.</w:t>
      </w:r>
    </w:p>
    <w:p>
      <w:pPr>
        <w:pStyle w:val="BlockText"/>
      </w:pPr>
      <w:r>
        <w:rPr>
          <w:lang w:val="fr-FR"/>
        </w:rPr>
        <w:t xml:space="preserve">C’est le point à réexaminer en priorité. Si la substitution de « branche agricole</w:t>
      </w:r>
      <w:r>
        <w:rPr>
          <w:lang w:val="fr-FR"/>
        </w:rPr>
        <w:t xml:space="preserve"> </w:t>
      </w:r>
      <m:oMath>
        <m:r>
          <m:rPr>
            <m:sty m:val="p"/>
          </m:rPr>
          <m:t>×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indépendant ou aide familial » à « son propre champ » est jugée trop large, c’est plus du quart de</w:t>
      </w:r>
      <w:r>
        <w:rPr>
          <w:lang w:val="fr-FR"/>
        </w:rPr>
        <w:t xml:space="preserve"> </w:t>
      </w:r>
      <w:r>
        <w:rPr>
          <w:lang w:val="fr-FR"/>
        </w:rPr>
        <w:t xml:space="preserve">l’indice qui se déplace.</w:t>
      </w:r>
    </w:p>
    <w:bookmarkEnd w:id="27"/>
    <w:bookmarkEnd w:id="28"/>
    <w:bookmarkStart w:id="33" w:name="sec:stata"/>
    <w:p>
      <w:pPr>
        <w:pStyle w:val="Heading1"/>
      </w:pPr>
      <w:r>
        <w:rPr>
          <w:lang w:val="fr-FR"/>
        </w:rPr>
        <w:t xml:space="preserve">Réconciliation avec la production Stata antérieure</w:t>
      </w:r>
    </w:p>
    <w:p>
      <w:pPr>
        <w:pStyle w:val="FirstParagraph"/>
      </w:pPr>
      <w:r>
        <w:rPr>
          <w:lang w:val="fr-FR"/>
        </w:rPr>
        <w:t xml:space="preserve">Le RGPH 2021 avait déjà été traité en Stata (</w:t>
      </w:r>
      <w:r>
        <w:rPr>
          <w:rStyle w:val="VerbatimChar"/>
          <w:lang w:val="fr-FR"/>
        </w:rPr>
        <w:t xml:space="preserve">rp21_calcul_des_privations.do</w:t>
      </w:r>
      <w:r>
        <w:rPr>
          <w:lang w:val="fr-FR"/>
        </w:rPr>
        <w:t xml:space="preserve">), avec une</w:t>
      </w:r>
      <w:r>
        <w:rPr>
          <w:lang w:val="fr-FR"/>
        </w:rPr>
        <w:t xml:space="preserve"> </w:t>
      </w:r>
      <w:r>
        <w:rPr>
          <w:lang w:val="fr-FR"/>
        </w:rPr>
        <w:t xml:space="preserve">sortie conservée. Chaque règle de ce programme a été rejouée sur les données afin de séparer ce qui</w:t>
      </w:r>
      <w:r>
        <w:rPr>
          <w:lang w:val="fr-FR"/>
        </w:rPr>
        <w:t xml:space="preserve"> </w:t>
      </w:r>
      <w:r>
        <w:rPr>
          <w:lang w:val="fr-FR"/>
        </w:rPr>
        <w:t xml:space="preserve">relève d’un écart de définition de ce qui relèverait d’une erreur.</w:t>
      </w:r>
    </w:p>
    <w:p>
      <w:pPr>
        <w:pStyle w:val="BlockText"/>
      </w:pPr>
      <w:r>
        <w:rPr>
          <w:b/>
          <w:bCs/>
          <w:lang w:val="fr-FR"/>
        </w:rPr>
        <w:t xml:space="preserve">Le résultat du contrôle</w:t>
      </w:r>
    </w:p>
    <w:p>
      <w:pPr>
        <w:pStyle w:val="BlockText"/>
      </w:pPr>
      <w:r>
        <w:rPr>
          <w:b/>
          <w:bCs/>
          <w:lang w:val="fr-FR"/>
        </w:rPr>
        <w:t xml:space="preserve">Aucune erreur.</w:t>
      </w:r>
      <w:r>
        <w:rPr>
          <w:lang w:val="fr-FR"/>
        </w:rPr>
        <w:t xml:space="preserve"> </w:t>
      </w:r>
      <w:r>
        <w:rPr>
          <w:lang w:val="fr-FR"/>
        </w:rPr>
        <w:t xml:space="preserve">Appliquée telle quelle, chaque règle Stata est reproduite à 0,1 point près</w:t>
      </w:r>
      <w:r>
        <w:rPr>
          <w:lang w:val="fr-FR"/>
        </w:rPr>
        <w:t xml:space="preserve"> </w:t>
      </w:r>
      <w:r>
        <w:rPr>
          <w:lang w:val="fr-FR"/>
        </w:rPr>
        <w:t xml:space="preserve">par le pipeline. Tous les écarts de résultat sont des choix de définition, documentés ci-dessous.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Stata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Règle rejouée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Retenu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Écart dû 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Fréquentation scolaire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30,10 %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30,14 %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35,60 %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version en 6-14 ans ; le programme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courant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dit 6-16, comme 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Année de scolarité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63,05 %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63,15 %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63,17 %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Alphabétisation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30,10 %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33,15 %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70,43 %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lecture de l’énoncé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2,58 %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5,27 %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5,92 %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tranche 16-35 contre 17-40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État civil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9,65 %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9,73 %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15,22 %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déclaration contre possession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11,5 %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Eau potable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14,43 %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14,3 %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Énergie de cuisson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63,40 %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62,7 %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25,25 %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25,0 %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Biens d’équipement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18,2 %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Mortalité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1,121 %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1,1 %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Toilette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33,09 %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46,55 %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45,1 %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non réconcilié</w:t>
            </w:r>
          </w:p>
        </w:tc>
      </w:tr>
    </w:tbl>
    <w:bookmarkStart w:id="29" w:name="X16d6aa66a92fb912b3e4d700a5cbc5698805e92"/>
    <w:p>
      <w:pPr>
        <w:pStyle w:val="Heading2"/>
      </w:pPr>
      <w:r>
        <w:rPr>
          <w:lang w:val="fr-FR"/>
        </w:rPr>
        <w:t xml:space="preserve">Trois corrections apportées après cette comparaison</w:t>
      </w:r>
    </w:p>
    <w:p>
      <w:pPr>
        <w:pStyle w:val="FirstParagraph"/>
      </w:pPr>
      <w:r>
        <w:rPr>
          <w:lang w:val="fr-FR"/>
        </w:rPr>
        <w:t xml:space="preserve">Toutes dans le sens du programme Stata officiel.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Mortalité : moins de 18 ans</w:t>
      </w:r>
      <w:r>
        <w:rPr>
          <w:lang w:val="fr-FR"/>
        </w:rPr>
        <w:t xml:space="preserve">, et non moins de 5. C’est la borne du programme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celle de l’IPM mondial. Le taux passe de 0,7 % à 1,1 %, soit exactement le</w:t>
      </w:r>
      <w:r>
        <w:rPr>
          <w:lang w:val="fr-FR"/>
        </w:rPr>
        <w:t xml:space="preserve"> </w:t>
      </w:r>
      <w:r>
        <w:rPr>
          <w:lang w:val="fr-FR"/>
        </w:rPr>
        <w:t xml:space="preserve">1,121 % de la sortie Stata.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Logement : matériaux définis par exclusion</w:t>
      </w:r>
      <w:r>
        <w:rPr>
          <w:lang w:val="fr-FR"/>
        </w:rPr>
        <w:t xml:space="preserve">, comme le programme. Est rudimentaire</w:t>
      </w:r>
      <w:r>
        <w:rPr>
          <w:lang w:val="fr-FR"/>
        </w:rPr>
        <w:t xml:space="preserve"> </w:t>
      </w:r>
      <w:r>
        <w:rPr>
          <w:lang w:val="fr-FR"/>
        </w:rPr>
        <w:t xml:space="preserve">tout ce qui n’est ni ciment, carreau ou moquette (sol), ni tôle, béton ou tuile (toit), ni</w:t>
      </w:r>
      <w:r>
        <w:rPr>
          <w:lang w:val="fr-FR"/>
        </w:rPr>
        <w:t xml:space="preserve"> </w:t>
      </w:r>
      <w:r>
        <w:rPr>
          <w:lang w:val="fr-FR"/>
        </w:rPr>
        <w:t xml:space="preserve">semi-dur, géobéton ou dur (mur). Cela ajoute le sol en bois et le mur en tôle, conformément</w:t>
      </w:r>
      <w:r>
        <w:rPr>
          <w:lang w:val="fr-FR"/>
        </w:rPr>
        <w:t xml:space="preserve"> </w:t>
      </w:r>
      <w:r>
        <w:rPr>
          <w:lang w:val="fr-FR"/>
        </w:rPr>
        <w:t xml:space="preserve">à la classification DHS. Le taux passe de 24,0 % à 25,0 %, contre 25,25 % en Stata.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Diplôme :</w:t>
      </w:r>
      <w:r>
        <w:rPr>
          <w:lang w:val="fr-FR"/>
        </w:rPr>
        <w:t xml:space="preserve"> </w:t>
      </w:r>
      <w:r>
        <w:rPr>
          <w:lang w:val="fr-FR"/>
        </w:rPr>
        <w:t xml:space="preserve">le code 22 « Autres à préciser » compte au-dessus du seuil, comme le</w:t>
      </w:r>
      <w:r>
        <w:rPr>
          <w:lang w:val="fr-FR"/>
        </w:rPr>
        <w:t xml:space="preserve"> </w:t>
      </w:r>
      <w:r>
        <w:rPr>
          <w:lang w:val="fr-FR"/>
        </w:rPr>
        <w:t xml:space="preserve">programme (0,02 point).</w:t>
      </w:r>
    </w:p>
    <w:bookmarkEnd w:id="29"/>
    <w:bookmarkStart w:id="30" w:name="quatre-écarts-maintenus"/>
    <w:p>
      <w:pPr>
        <w:pStyle w:val="Heading2"/>
      </w:pPr>
      <w:r>
        <w:rPr>
          <w:lang w:val="fr-FR"/>
        </w:rPr>
        <w:t xml:space="preserve">Quatre écarts maintenus</w:t>
      </w:r>
    </w:p>
    <w:p>
      <w:pPr>
        <w:pStyle w:val="FirstParagraph"/>
      </w:pPr>
      <w:r>
        <w:rPr>
          <w:lang w:val="fr-FR"/>
        </w:rPr>
        <w:t xml:space="preserve">Le cadrage retenu est celui de l’EHCVM : là où les deux se contredisent, c’est l’énoncé national</w:t>
      </w:r>
      <w:r>
        <w:rPr>
          <w:lang w:val="fr-FR"/>
        </w:rPr>
        <w:t xml:space="preserve"> </w:t>
      </w:r>
      <w:r>
        <w:rPr>
          <w:lang w:val="fr-FR"/>
        </w:rPr>
        <w:t xml:space="preserve">qui tranche.</w:t>
      </w:r>
    </w:p>
    <w:p>
      <w:pPr>
        <w:pStyle w:val="DefinitionTerm"/>
      </w:pPr>
      <w:r>
        <w:rPr>
          <w:lang w:val="fr-FR"/>
        </w:rPr>
        <w:t xml:space="preserve">Alphabétisation.</w:t>
      </w:r>
    </w:p>
    <w:p>
      <w:pPr>
        <w:pStyle w:val="Definition"/>
      </w:pPr>
      <w:r>
        <w:rPr>
          <w:lang w:val="fr-FR"/>
        </w:rPr>
        <w:t xml:space="preserve">Le programme RGPH code «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</w:t>
      </w:r>
      <w:r>
        <w:rPr>
          <w:lang w:val="fr-FR"/>
        </w:rPr>
        <w:t xml:space="preserve"> </w:t>
      </w:r>
      <w:r>
        <w:rPr>
          <w:lang w:val="fr-FR"/>
        </w:rPr>
        <w:t xml:space="preserve">membre alphabétisé » (33,2 %) ;</w:t>
      </w:r>
      <w:r>
        <w:rPr>
          <w:lang w:val="fr-FR"/>
        </w:rPr>
        <w:t xml:space="preserve"> </w:t>
      </w:r>
      <w:r>
        <w:rPr>
          <w:lang w:val="fr-FR"/>
        </w:rPr>
        <w:t xml:space="preserve">l’énoncé national dit «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lang w:val="fr-FR"/>
        </w:rPr>
        <w:t xml:space="preserve">membre ne sait pas lire ou écrire » (70,4 %). L’énoncé</w:t>
      </w:r>
      <w:r>
        <w:rPr>
          <w:lang w:val="fr-FR"/>
        </w:rPr>
        <w:t xml:space="preserve"> </w:t>
      </w:r>
      <w:r>
        <w:rPr>
          <w:lang w:val="fr-FR"/>
        </w:rPr>
        <w:t xml:space="preserve">littéral est appliqué, aux deux sources, par un drapeau unique dans le code : elles ne peuvent</w:t>
      </w:r>
      <w:r>
        <w:rPr>
          <w:lang w:val="fr-FR"/>
        </w:rPr>
        <w:t xml:space="preserve"> </w:t>
      </w:r>
      <w:r>
        <w:rPr>
          <w:lang w:val="fr-FR"/>
        </w:rPr>
        <w:t xml:space="preserve">pas diverger sur ce point sans qu’on le décide.</w:t>
      </w:r>
    </w:p>
    <w:p>
      <w:pPr>
        <w:pStyle w:val="DefinitionTerm"/>
      </w:pPr>
      <w:r>
        <w:rPr>
          <w:lang w:val="fr-FR"/>
        </w:rPr>
        <w:t xml:space="preserve">État civil.</w:t>
      </w:r>
    </w:p>
    <w:p>
      <w:pPr>
        <w:pStyle w:val="Definition"/>
      </w:pPr>
      <w:r>
        <w:rPr>
          <w:lang w:val="fr-FR"/>
        </w:rPr>
        <w:t xml:space="preserve">La question de l’EHCVM (1.05) est « dispose d’un acte de naissance ? ». La</w:t>
      </w:r>
      <w:r>
        <w:rPr>
          <w:lang w:val="fr-FR"/>
        </w:rPr>
        <w:t xml:space="preserve"> </w:t>
      </w:r>
      <w:r>
        <w:rPr>
          <w:lang w:val="fr-FR"/>
        </w:rPr>
        <w:t xml:space="preserve">modalité RGPH « déclaré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sans</w:t>
      </w:r>
      <w:r>
        <w:rPr>
          <w:lang w:val="fr-FR"/>
        </w:rPr>
        <w:t xml:space="preserve"> </w:t>
      </w:r>
      <w:r>
        <w:rPr>
          <w:lang w:val="fr-FR"/>
        </w:rPr>
        <w:t xml:space="preserve">acte de naissance » est donc une privation. Le programme</w:t>
      </w:r>
      <w:r>
        <w:rPr>
          <w:lang w:val="fr-FR"/>
        </w:rPr>
        <w:t xml:space="preserve"> </w:t>
      </w:r>
      <w:r>
        <w:rPr>
          <w:lang w:val="fr-FR"/>
        </w:rPr>
        <w:t xml:space="preserve">Stata mesure la déclaration et non la possession, et ne compte privés que « non déclaré » et</w:t>
      </w:r>
      <w:r>
        <w:rPr>
          <w:lang w:val="fr-FR"/>
        </w:rPr>
        <w:t xml:space="preserve"> </w:t>
      </w:r>
      <w:r>
        <w:rPr>
          <w:lang w:val="fr-FR"/>
        </w:rPr>
        <w:t xml:space="preserve">« ne sait pas ». La lecture retenue (15,2 %) est aussi la plus proche de l’EHCVM (26,3 %).</w:t>
      </w:r>
    </w:p>
    <w:p>
      <w:pPr>
        <w:pStyle w:val="DefinitionTerm"/>
      </w:pPr>
      <w:r>
        <w:rPr>
          <w:lang w:val="fr-FR"/>
        </w:rPr>
        <w:t xml:space="preserve">Chômage sur les 17-40 ans</w:t>
      </w:r>
    </w:p>
    <w:p>
      <w:pPr>
        <w:pStyle w:val="Definition"/>
      </w:pPr>
      <w:r>
        <w:rPr>
          <w:lang w:val="fr-FR"/>
        </w:rPr>
        <w:t xml:space="preserve">, énoncé du tableau national, contre 16-35 dans le programme</w:t>
      </w:r>
      <w:r>
        <w:rPr>
          <w:lang w:val="fr-FR"/>
        </w:rPr>
        <w:t xml:space="preserve"> </w:t>
      </w:r>
      <w:r>
        <w:rPr>
          <w:lang w:val="fr-FR"/>
        </w:rPr>
        <w:t xml:space="preserve">RGPH.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variable</w:t>
      </w:r>
      <w:r>
        <w:rPr>
          <w:lang w:val="fr-FR"/>
        </w:rPr>
        <w:t xml:space="preserve"> </w:t>
      </w:r>
      <w:r>
        <w:rPr>
          <w:lang w:val="fr-FR"/>
        </w:rPr>
        <w:t xml:space="preserve">de statut, elle, a été validée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Statut_OQPtbb</w:t>
      </w:r>
      <w:r>
        <w:rPr>
          <w:lang w:val="fr-FR"/>
        </w:rPr>
        <w:t xml:space="preserve"> </w:t>
      </w:r>
      <w:r>
        <w:rPr>
          <w:lang w:val="fr-FR"/>
        </w:rPr>
        <w:t xml:space="preserve">ne diffère de la</w:t>
      </w:r>
      <w:r>
        <w:rPr>
          <w:lang w:val="fr-FR"/>
        </w:rPr>
        <w:t xml:space="preserve"> </w:t>
      </w:r>
      <w:r>
        <w:rPr>
          <w:lang w:val="fr-FR"/>
        </w:rPr>
        <w:t xml:space="preserve">construction du programme — les trois critères du BIT, sans emploi, en recherche, disponible</w:t>
      </w:r>
      <w:r>
        <w:rPr>
          <w:lang w:val="fr-FR"/>
        </w:rPr>
        <w:t xml:space="preserve"> </w:t>
      </w:r>
      <w:r>
        <w:rPr>
          <w:lang w:val="fr-FR"/>
        </w:rPr>
        <w:t xml:space="preserve">— que sur 18 910 individus sur 28 millions, soit 0,07 %. L’autre variable de la base,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Statut_OQPtb</w:t>
      </w:r>
      <w:r>
        <w:rPr>
          <w:lang w:val="fr-FR"/>
        </w:rPr>
        <w:t xml:space="preserve">, donnerait 21,6 % de ménages privés : elle n’intègre pas le reclassement</w:t>
      </w:r>
      <w:r>
        <w:rPr>
          <w:lang w:val="fr-FR"/>
        </w:rPr>
        <w:t xml:space="preserve"> </w:t>
      </w:r>
      <w:r>
        <w:rPr>
          <w:lang w:val="fr-FR"/>
        </w:rPr>
        <w:t xml:space="preserve">des personnes déclarées sans activité mais en réalité occupées, et n’est pas retenue.</w:t>
      </w:r>
    </w:p>
    <w:p>
      <w:pPr>
        <w:pStyle w:val="DefinitionTerm"/>
      </w:pPr>
      <w:r>
        <w:rPr>
          <w:lang w:val="fr-FR"/>
        </w:rPr>
        <w:t xml:space="preserve">Emploi agricole de subsistance</w:t>
      </w:r>
    </w:p>
    <w:p>
      <w:pPr>
        <w:pStyle w:val="Definition"/>
      </w:pPr>
      <w:r>
        <w:rPr>
          <w:lang w:val="fr-FR"/>
        </w:rPr>
        <w:t xml:space="preserve">, absent de l’IPM RGPH officiel mais présent dans les seize</w:t>
      </w:r>
      <w:r>
        <w:rPr>
          <w:lang w:val="fr-FR"/>
        </w:rPr>
        <w:t xml:space="preserve"> </w:t>
      </w:r>
      <w:r>
        <w:rPr>
          <w:lang w:val="fr-FR"/>
        </w:rPr>
        <w:t xml:space="preserve">indicateurs de l’EHCVM : il est donc calculé, par approximation.</w:t>
      </w:r>
    </w:p>
    <w:bookmarkEnd w:id="30"/>
    <w:bookmarkStart w:id="31" w:name="un-écart-non-réconcilié-la-toilette"/>
    <w:p>
      <w:pPr>
        <w:pStyle w:val="Heading2"/>
      </w:pPr>
      <w:r>
        <w:rPr>
          <w:lang w:val="fr-FR"/>
        </w:rPr>
        <w:t xml:space="preserve">Un écart non réconcilié : la toilette</w:t>
      </w:r>
    </w:p>
    <w:p>
      <w:pPr>
        <w:pStyle w:val="FirstParagraph"/>
      </w:pPr>
      <w:r>
        <w:rPr>
          <w:lang w:val="fr-FR"/>
        </w:rPr>
        <w:t xml:space="preserve">La règle est identique de part et d’autre, le fichier source est le même, et pourtant la sortie</w:t>
      </w:r>
      <w:r>
        <w:rPr>
          <w:lang w:val="fr-FR"/>
        </w:rPr>
        <w:t xml:space="preserve"> </w:t>
      </w:r>
      <w:r>
        <w:rPr>
          <w:lang w:val="fr-FR"/>
        </w:rPr>
        <w:t xml:space="preserve">Stata donne 33,09 % quand le pipeline donne 46,55 % avant convention sur les manquants.</w:t>
      </w:r>
    </w:p>
    <w:p>
      <w:pPr>
        <w:pStyle w:val="BodyText"/>
      </w:pPr>
      <w:r>
        <w:rPr>
          <w:lang w:val="fr-FR"/>
        </w:rPr>
        <w:t xml:space="preserve">Aucune version du programme présente dans le dépôt ne produit 33 %. La liste qui ajouterait la</w:t>
      </w:r>
      <w:r>
        <w:rPr>
          <w:lang w:val="fr-FR"/>
        </w:rPr>
        <w:t xml:space="preserve"> </w:t>
      </w:r>
      <w:r>
        <w:rPr>
          <w:lang w:val="fr-FR"/>
        </w:rPr>
        <w:t xml:space="preserve">chasse d’eau à l’air libre et vers un lieu inconnu donnerait 34,19 %, soit l’ordre de grandeur de</w:t>
      </w:r>
      <w:r>
        <w:rPr>
          <w:lang w:val="fr-FR"/>
        </w:rPr>
        <w:t xml:space="preserve"> </w:t>
      </w:r>
      <w:r>
        <w:rPr>
          <w:lang w:val="fr-FR"/>
        </w:rPr>
        <w:t xml:space="preserve">la sortie Stata : celle-ci provient vraisemblablement d’un millésime antérieur du code ou des</w:t>
      </w:r>
      <w:r>
        <w:rPr>
          <w:lang w:val="fr-FR"/>
        </w:rPr>
        <w:t xml:space="preserve"> </w:t>
      </w:r>
      <w:r>
        <w:rPr>
          <w:lang w:val="fr-FR"/>
        </w:rPr>
        <w:t xml:space="preserve">données.</w:t>
      </w:r>
    </w:p>
    <w:p>
      <w:pPr>
        <w:pStyle w:val="BlockText"/>
      </w:pPr>
      <w:r>
        <w:rPr>
          <w:b/>
          <w:bCs/>
          <w:lang w:val="fr-FR"/>
        </w:rPr>
        <w:t xml:space="preserve">Attention — Point à confirmer auprès de l’INS</w:t>
      </w:r>
    </w:p>
    <w:p>
      <w:pPr>
        <w:pStyle w:val="BlockText"/>
      </w:pPr>
      <w:r>
        <w:rPr>
          <w:lang w:val="fr-FR"/>
        </w:rPr>
        <w:t xml:space="preserve">La valeur retenue ici est celle du programme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courant</w:t>
      </w:r>
      <w:r>
        <w:rPr>
          <w:lang w:val="fr-FR"/>
        </w:rPr>
        <w:t xml:space="preserve">. Elle est cohérente avec l’EHCVM, qui</w:t>
      </w:r>
      <w:r>
        <w:rPr>
          <w:lang w:val="fr-FR"/>
        </w:rPr>
        <w:t xml:space="preserve"> </w:t>
      </w:r>
      <w:r>
        <w:rPr>
          <w:lang w:val="fr-FR"/>
        </w:rPr>
        <w:t xml:space="preserve">donne 67,2 % en ajoutant le critère de partage des sanitaires, absent du recensement. Mais</w:t>
      </w:r>
      <w:r>
        <w:rPr>
          <w:lang w:val="fr-FR"/>
        </w:rPr>
        <w:t xml:space="preserve"> </w:t>
      </w:r>
      <w:r>
        <w:rPr>
          <w:lang w:val="fr-FR"/>
        </w:rPr>
        <w:t xml:space="preserve">l’origine du 33,09 % n’est pas établie et mérite d’être élucidée avant publication.</w:t>
      </w:r>
    </w:p>
    <w:bookmarkEnd w:id="31"/>
    <w:bookmarkStart w:id="32" w:name="ce-qui-nest-pas-comparable-et-pourquoi"/>
    <w:p>
      <w:pPr>
        <w:pStyle w:val="Heading2"/>
      </w:pPr>
      <w:r>
        <w:rPr>
          <w:lang w:val="fr-FR"/>
        </w:rPr>
        <w:t xml:space="preserve">Ce qui n’est pas comparable, et pourquoi</w:t>
      </w:r>
    </w:p>
    <w:p>
      <w:pPr>
        <w:pStyle w:val="FirstParagraph"/>
      </w:pPr>
      <w:r>
        <w:rPr>
          <w:lang w:val="fr-FR"/>
        </w:rPr>
        <w:t xml:space="preserve">Le programme Stata construit un IPM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cinq dimensions équipondérées à 0,2</w:t>
      </w:r>
      <w:r>
        <w:rPr>
          <w:lang w:val="fr-FR"/>
        </w:rPr>
        <w:t xml:space="preserve"> </w:t>
      </w:r>
      <w:r>
        <w:rPr>
          <w:lang w:val="fr-FR"/>
        </w:rPr>
        <w:t xml:space="preserve">— Éducation,</w:t>
      </w:r>
      <w:r>
        <w:rPr>
          <w:lang w:val="fr-FR"/>
        </w:rPr>
        <w:t xml:space="preserve"> </w:t>
      </w:r>
      <w:r>
        <w:rPr>
          <w:lang w:val="fr-FR"/>
        </w:rPr>
        <w:t xml:space="preserve">Emploi, Conditions de vie, Santé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Identification</w:t>
      </w:r>
      <w:r>
        <w:rPr>
          <w:lang w:val="fr-FR"/>
        </w:rPr>
        <w:t xml:space="preserve">, l’état civil y étant une dimension à</w:t>
      </w:r>
      <w:r>
        <w:rPr>
          <w:lang w:val="fr-FR"/>
        </w:rPr>
        <w:t xml:space="preserve"> </w:t>
      </w:r>
      <w:r>
        <w:rPr>
          <w:lang w:val="fr-FR"/>
        </w:rPr>
        <w:t xml:space="preserve">part entière — et remplace les valeurs manquantes par une privation.</w:t>
      </w:r>
    </w:p>
    <w:p>
      <w:pPr>
        <w:pStyle w:val="BodyText"/>
      </w:pPr>
      <w:r>
        <w:rPr>
          <w:lang w:val="fr-FR"/>
        </w:rPr>
        <w:t xml:space="preserve">Le pipeline suit le cadrage EHCVM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quatre dimensions à 0,25</w:t>
      </w:r>
      <w:r>
        <w:rPr>
          <w:lang w:val="fr-FR"/>
        </w:rPr>
        <w:t xml:space="preserve">, l’état civil rangé dans</w:t>
      </w:r>
      <w:r>
        <w:rPr>
          <w:lang w:val="fr-FR"/>
        </w:rPr>
        <w:t xml:space="preserve"> </w:t>
      </w:r>
      <w:r>
        <w:rPr>
          <w:lang w:val="fr-FR"/>
        </w:rPr>
        <w:t xml:space="preserve">l’Éducation, et un ménage dont aucune situation n’est renseignée compté non privé. Les</w:t>
      </w:r>
      <w:r>
        <w:rPr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100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045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de la sortie Stata ne se comparent donc pas aux</w:t>
      </w:r>
      <w:r>
        <w:rPr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388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166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produits ici.</w:t>
      </w:r>
    </w:p>
    <w:bookmarkEnd w:id="32"/>
    <w:bookmarkEnd w:id="33"/>
    <w:bookmarkStart w:id="34" w:name="sec:harmonise"/>
    <w:p>
      <w:pPr>
        <w:pStyle w:val="Heading1"/>
      </w:pPr>
      <w:r>
        <w:rPr>
          <w:lang w:val="fr-FR"/>
        </w:rPr>
        <w:t xml:space="preserve">La variante harmonisée : comparer les deux sources</w:t>
      </w:r>
    </w:p>
    <w:p>
      <w:pPr>
        <w:pStyle w:val="FirstParagraph"/>
      </w:pPr>
      <w:r>
        <w:rPr>
          <w:lang w:val="fr-FR"/>
        </w:rPr>
        <w:t xml:space="preserve">Les IPM complets des deux sources ne se comparent pas en niveau : chacun exploite ce que sa source</w:t>
      </w:r>
      <w:r>
        <w:rPr>
          <w:lang w:val="fr-FR"/>
        </w:rPr>
        <w:t xml:space="preserve"> </w:t>
      </w:r>
      <w:r>
        <w:rPr>
          <w:lang w:val="fr-FR"/>
        </w:rPr>
        <w:t xml:space="preserve">mesure, et la dimension Santé du recensement — la seule mortalité, privation à 1,1 % — absorbe</w:t>
      </w:r>
      <w:r>
        <w:rPr>
          <w:lang w:val="fr-FR"/>
        </w:rPr>
        <w:t xml:space="preserve"> </w:t>
      </w:r>
      <w:r>
        <w:rPr>
          <w:lang w:val="fr-FR"/>
        </w:rPr>
        <w:t xml:space="preserve">un quart du poids pour presque rien.</w:t>
      </w:r>
    </w:p>
    <w:p>
      <w:pPr>
        <w:pStyle w:val="BodyText"/>
      </w:pPr>
      <w:r>
        <w:rPr>
          <w:lang w:val="fr-FR"/>
        </w:rPr>
        <w:t xml:space="preserve">Le pipeline produit donc, pour chaque source, une variante restreinte au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socle commun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lang w:val="fr-FR"/>
        </w:rPr>
        <w:t xml:space="preserve">les douze indicateurs que l’EHCVM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le RGPH savent mesurer. La dimension Santé n’en a aucun</w:t>
      </w:r>
      <w:r>
        <w:rPr>
          <w:lang w:val="fr-FR"/>
        </w:rPr>
        <w:t xml:space="preserve"> </w:t>
      </w:r>
      <w:r>
        <w:rPr>
          <w:lang w:val="fr-FR"/>
        </w:rPr>
        <w:t xml:space="preserve">— l’enquête et le recensement n’ont pas un seul indicateur de santé en commun — la variante</w:t>
      </w:r>
      <w:r>
        <w:rPr>
          <w:lang w:val="fr-FR"/>
        </w:rPr>
        <w:t xml:space="preserve"> </w:t>
      </w:r>
      <w:r>
        <w:rPr>
          <w:lang w:val="fr-FR"/>
        </w:rPr>
        <w:t xml:space="preserve">compte donc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trois dimensions à 1/3</w:t>
      </w:r>
      <w:r>
        <w:rPr>
          <w:lang w:val="fr-FR"/>
        </w:rPr>
        <w:t xml:space="preserve"> </w:t>
      </w:r>
      <w:r>
        <w:rPr>
          <w:lang w:val="fr-FR"/>
        </w:rPr>
        <w:t xml:space="preserve">: Éducation (4 indicateurs), Emploi (2) et Conditions</w:t>
      </w:r>
      <w:r>
        <w:rPr>
          <w:lang w:val="fr-FR"/>
        </w:rPr>
        <w:t xml:space="preserve"> </w:t>
      </w:r>
      <w:r>
        <w:rPr>
          <w:lang w:val="fr-FR"/>
        </w:rPr>
        <w:t xml:space="preserve">de vie (6).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53,5 %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RGPH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52,0 %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0,2680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Le meilleur contrôle de cohérence disponible</w:t>
      </w:r>
    </w:p>
    <w:p>
      <w:pPr>
        <w:pStyle w:val="BlockText"/>
      </w:pPr>
      <w:r>
        <w:rPr>
          <w:lang w:val="fr-FR"/>
        </w:rPr>
        <w:t xml:space="preserve">À indicateurs identiques, une enquête par sondage de 12 965 ménages et un recensement exhaustif de</w:t>
      </w:r>
      <w:r>
        <w:rPr>
          <w:lang w:val="fr-FR"/>
        </w:rPr>
        <w:t xml:space="preserve"> </w:t>
      </w:r>
      <w:r>
        <w:rPr>
          <w:lang w:val="fr-FR"/>
        </w:rPr>
        <w:t xml:space="preserve">5,6 millions de ménages, collectés la même année par deux dispositifs différents, donnent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0,2737 et 0,2680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2 % d’écart</w:t>
      </w:r>
      <w:r>
        <w:rPr>
          <w:lang w:val="fr-FR"/>
        </w:rPr>
        <w:t xml:space="preserve">. L’incidence diffère de 1,5 point, l’intensité de</w:t>
      </w:r>
      <w:r>
        <w:rPr>
          <w:lang w:val="fr-FR"/>
        </w:rPr>
        <w:t xml:space="preserve"> </w:t>
      </w:r>
      <w:r>
        <w:rPr>
          <w:lang w:val="fr-FR"/>
        </w:rPr>
        <w:t xml:space="preserve">0,004.</w:t>
      </w:r>
    </w:p>
    <w:p>
      <w:pPr>
        <w:pStyle w:val="FirstParagraph"/>
      </w:pPr>
      <w:r>
        <w:rPr>
          <w:lang w:val="fr-FR"/>
        </w:rPr>
        <w:t xml:space="preserve">La décomposition confirme l’accord indicateur par indicateur. Les contributions à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se</w:t>
      </w:r>
      <w:r>
        <w:rPr>
          <w:lang w:val="fr-FR"/>
        </w:rPr>
        <w:t xml:space="preserve"> </w:t>
      </w:r>
      <w:r>
        <w:rPr>
          <w:lang w:val="fr-FR"/>
        </w:rPr>
        <w:t xml:space="preserve">suivent de près : emploi de subsistance 23,3 % contre 26,6 %, année de scolarité 14,2 % contre</w:t>
      </w:r>
      <w:r>
        <w:rPr>
          <w:lang w:val="fr-FR"/>
        </w:rPr>
        <w:t xml:space="preserve"> </w:t>
      </w:r>
      <w:r>
        <w:rPr>
          <w:lang w:val="fr-FR"/>
        </w:rPr>
        <w:t xml:space="preserve">14,1 %, alphabétisation 13,6 % contre 14,5 %, énergie de cuisson 10,1 % contre 10,0 %.</w:t>
      </w:r>
    </w:p>
    <w:p>
      <w:pPr>
        <w:pStyle w:val="BodyText"/>
      </w:pPr>
      <w:r>
        <w:rPr>
          <w:lang w:val="fr-FR"/>
        </w:rPr>
        <w:t xml:space="preserve">Les deux seuls écarts notables sont ceux qu’on attend :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toilette</w:t>
      </w:r>
      <w:r>
        <w:rPr>
          <w:lang w:val="fr-FR"/>
        </w:rPr>
        <w:t xml:space="preserve"> </w:t>
      </w:r>
      <w:r>
        <w:rPr>
          <w:lang w:val="fr-FR"/>
        </w:rPr>
        <w:t xml:space="preserve">(9,6 % contre 7,5 %),</w:t>
      </w:r>
      <w:r>
        <w:rPr>
          <w:lang w:val="fr-FR"/>
        </w:rPr>
        <w:t xml:space="preserve"> </w:t>
      </w:r>
      <w:r>
        <w:rPr>
          <w:lang w:val="fr-FR"/>
        </w:rPr>
        <w:t xml:space="preserve">puisque le recensement ne mesure pas le partage des sanitaires, et l’</w:t>
      </w:r>
      <w:r>
        <w:rPr>
          <w:b/>
          <w:bCs/>
          <w:lang w:val="fr-FR"/>
        </w:rPr>
        <w:t xml:space="preserve">état civil</w:t>
      </w:r>
      <w:r>
        <w:rPr>
          <w:lang w:val="fr-FR"/>
        </w:rPr>
        <w:t xml:space="preserve"> </w:t>
      </w:r>
      <w:r>
        <w:rPr>
          <w:lang w:val="fr-FR"/>
        </w:rPr>
        <w:t xml:space="preserve">(7,2 %</w:t>
      </w:r>
      <w:r>
        <w:rPr>
          <w:lang w:val="fr-FR"/>
        </w:rPr>
        <w:t xml:space="preserve"> </w:t>
      </w:r>
      <w:r>
        <w:rPr>
          <w:lang w:val="fr-FR"/>
        </w:rPr>
        <w:t xml:space="preserve">contre 4,5 %).</w:t>
      </w:r>
    </w:p>
    <w:p>
      <w:pPr>
        <w:pStyle w:val="BlockText"/>
      </w:pPr>
      <w:r>
        <w:rPr>
          <w:b/>
          <w:bCs/>
          <w:lang w:val="fr-FR"/>
        </w:rPr>
        <w:t xml:space="preserve">Attention — Ce que la variante harmonisée ne dit pas</w:t>
      </w:r>
    </w:p>
    <w:p>
      <w:pPr>
        <w:pStyle w:val="BlockText"/>
      </w:pPr>
      <w:r>
        <w:rPr>
          <w:lang w:val="fr-FR"/>
        </w:rPr>
        <w:t xml:space="preserve">Elle valide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cohérence</w:t>
      </w:r>
      <w:r>
        <w:rPr>
          <w:lang w:val="fr-FR"/>
        </w:rPr>
        <w:t xml:space="preserve"> </w:t>
      </w:r>
      <w:r>
        <w:rPr>
          <w:lang w:val="fr-FR"/>
        </w:rPr>
        <w:t xml:space="preserve">des deux sources, pas l’IPM national. Celui-ci reste l’indice à</w:t>
      </w:r>
      <w:r>
        <w:rPr>
          <w:lang w:val="fr-FR"/>
        </w:rPr>
        <w:t xml:space="preserve"> </w:t>
      </w:r>
      <w:r>
        <w:rPr>
          <w:lang w:val="fr-FR"/>
        </w:rPr>
        <w:t xml:space="preserve">seize indicateurs de l’EHCVM (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). La variante harmonisée sert au contrôle et à la</w:t>
      </w:r>
      <w:r>
        <w:rPr>
          <w:lang w:val="fr-FR"/>
        </w:rPr>
        <w:t xml:space="preserve"> </w:t>
      </w:r>
      <w:r>
        <w:rPr>
          <w:lang w:val="fr-FR"/>
        </w:rPr>
        <w:t xml:space="preserve">comparaison ; elle n’a pas vocation à être publiée comme l’indice du pays.</w:t>
      </w:r>
    </w:p>
    <w:bookmarkEnd w:id="34"/>
    <w:bookmarkStart w:id="35" w:name="le-traitement-des-valeurs-manquantes"/>
    <w:p>
      <w:pPr>
        <w:pStyle w:val="Heading1"/>
      </w:pPr>
      <w:r>
        <w:rPr>
          <w:lang w:val="fr-FR"/>
        </w:rPr>
        <w:t xml:space="preserve">Le traitement des valeurs manquantes</w:t>
      </w:r>
    </w:p>
    <w:p>
      <w:pPr>
        <w:pStyle w:val="FirstParagraph"/>
      </w:pPr>
      <w:r>
        <w:rPr>
          <w:lang w:val="fr-FR"/>
        </w:rPr>
        <w:t xml:space="preserve">La convention du pipeline est inchangée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 ménage non concerné, ou dont la situation n’est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pas renseignée, n’est pas privé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lang w:val="fr-FR"/>
        </w:rPr>
        <w:t xml:space="preserve">Elle prend une importance particulière sur le recensement, où 1,6 % des ménages n’ont pas de ligne</w:t>
      </w:r>
      <w:r>
        <w:rPr>
          <w:lang w:val="fr-FR"/>
        </w:rPr>
        <w:t xml:space="preserve"> </w:t>
      </w:r>
      <w:r>
        <w:rPr>
          <w:lang w:val="fr-FR"/>
        </w:rPr>
        <w:t xml:space="preserve">dans le fichier des conditions de vie. Une règle formulée par exclusion — « privé si la source</w:t>
      </w:r>
      <w:r>
        <w:rPr>
          <w:lang w:val="fr-FR"/>
        </w:rPr>
        <w:t xml:space="preserve"> </w:t>
      </w:r>
      <w:r>
        <w:rPr>
          <w:lang w:val="fr-FR"/>
        </w:rPr>
        <w:t xml:space="preserve">d’éclairage n’est pas parmi les modalités adéquates » — rendrait mécaniquement privés tous ces</w:t>
      </w:r>
      <w:r>
        <w:rPr>
          <w:lang w:val="fr-FR"/>
        </w:rPr>
        <w:t xml:space="preserve"> </w:t>
      </w:r>
      <w:r>
        <w:rPr>
          <w:lang w:val="fr-FR"/>
        </w:rPr>
        <w:t xml:space="preserve">ménages, puisqu’une valeur manquante n’appartient à aucune liste.</w:t>
      </w:r>
    </w:p>
    <w:p>
      <w:pPr>
        <w:pStyle w:val="BodyText"/>
      </w:pPr>
      <w:r>
        <w:rPr>
          <w:lang w:val="fr-FR"/>
        </w:rPr>
        <w:t xml:space="preserve">Le pipeline pose donc un garde-fou explicite : si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aucune</w:t>
      </w:r>
      <w:r>
        <w:rPr>
          <w:lang w:val="fr-FR"/>
        </w:rPr>
        <w:t xml:space="preserve"> </w:t>
      </w:r>
      <w:r>
        <w:rPr>
          <w:lang w:val="fr-FR"/>
        </w:rPr>
        <w:t xml:space="preserve">des situations qui composent un</w:t>
      </w:r>
      <w:r>
        <w:rPr>
          <w:lang w:val="fr-FR"/>
        </w:rPr>
        <w:t xml:space="preserve"> </w:t>
      </w:r>
      <w:r>
        <w:rPr>
          <w:lang w:val="fr-FR"/>
        </w:rPr>
        <w:t xml:space="preserve">indicateur n’est renseignée, le ménage n’est pas privé sur cet indicateur. Il reste privé s’il est</w:t>
      </w:r>
      <w:r>
        <w:rPr>
          <w:lang w:val="fr-FR"/>
        </w:rPr>
        <w:t xml:space="preserve"> </w:t>
      </w:r>
      <w:r>
        <w:rPr>
          <w:lang w:val="fr-FR"/>
        </w:rPr>
        <w:t xml:space="preserve">seulement partiellement renseigné — un ménage sans toilettes n’a pas de réponse à la question du</w:t>
      </w:r>
      <w:r>
        <w:rPr>
          <w:lang w:val="fr-FR"/>
        </w:rPr>
        <w:t xml:space="preserve"> </w:t>
      </w:r>
      <w:r>
        <w:rPr>
          <w:lang w:val="fr-FR"/>
        </w:rPr>
        <w:t xml:space="preserve">partage, mais son type de sanitaire suffit à le classer.</w:t>
      </w:r>
    </w:p>
    <w:p>
      <w:pPr>
        <w:pStyle w:val="BlockText"/>
      </w:pPr>
      <w:r>
        <w:rPr>
          <w:b/>
          <w:bCs/>
          <w:lang w:val="fr-FR"/>
        </w:rPr>
        <w:t xml:space="preserve">Attention — Une divergence de convention avec le programme Stata</w:t>
      </w:r>
    </w:p>
    <w:p>
      <w:pPr>
        <w:pStyle w:val="BlockText"/>
      </w:pPr>
      <w:r>
        <w:rPr>
          <w:lang w:val="fr-FR"/>
        </w:rPr>
        <w:t xml:space="preserve">Le programme Stata fait l’inverse : il remplace tout manquant par une privation. Sur les 1,6 % de</w:t>
      </w:r>
      <w:r>
        <w:rPr>
          <w:lang w:val="fr-FR"/>
        </w:rPr>
        <w:t xml:space="preserve"> </w:t>
      </w:r>
      <w:r>
        <w:rPr>
          <w:lang w:val="fr-FR"/>
        </w:rPr>
        <w:t xml:space="preserve">ménages concernés, les deux conventions donnent des résultats opposés. Celle du pipeline traite le</w:t>
      </w:r>
      <w:r>
        <w:rPr>
          <w:lang w:val="fr-FR"/>
        </w:rPr>
        <w:t xml:space="preserve"> </w:t>
      </w:r>
      <w:r>
        <w:rPr>
          <w:lang w:val="fr-FR"/>
        </w:rPr>
        <w:t xml:space="preserve">défaut d’appariement comme ce qu’il est — une donnée absente — et non comme une privation</w:t>
      </w:r>
      <w:r>
        <w:rPr>
          <w:lang w:val="fr-FR"/>
        </w:rPr>
        <w:t xml:space="preserve"> </w:t>
      </w:r>
      <w:r>
        <w:rPr>
          <w:lang w:val="fr-FR"/>
        </w:rPr>
        <w:t xml:space="preserve">constatée.</w:t>
      </w:r>
    </w:p>
    <w:bookmarkEnd w:id="35"/>
    <w:bookmarkStart w:id="36" w:name="le-pipeline"/>
    <w:p>
      <w:pPr>
        <w:pStyle w:val="Heading1"/>
      </w:pPr>
      <w:r>
        <w:rPr>
          <w:lang w:val="fr-FR"/>
        </w:rPr>
        <w:t xml:space="preserve">Le pipeline</w:t>
      </w:r>
    </w:p>
    <w:p>
      <w:pPr>
        <w:pStyle w:val="FirstParagraph"/>
      </w:pPr>
      <w:r>
        <w:rPr>
          <w:lang w:val="fr-FR"/>
        </w:rPr>
        <w:t xml:space="preserve">Le calcul est mené par la même chaîne que l’EHCVM. La source est portée par la variable</w:t>
      </w:r>
      <w:r>
        <w:rPr>
          <w:lang w:val="fr-FR"/>
        </w:rPr>
        <w:t xml:space="preserve"> </w:t>
      </w:r>
      <w:r>
        <w:rPr>
          <w:lang w:val="fr-FR"/>
        </w:rPr>
        <w:t xml:space="preserve">d’environnement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IPM_SOURCE</w:t>
      </w:r>
      <w:r>
        <w:rPr>
          <w:lang w:val="fr-FR"/>
        </w:rPr>
        <w:t xml:space="preserve">, qui détermine le dossier de données, la clé du ménage, les</w:t>
      </w:r>
      <w:r>
        <w:rPr>
          <w:lang w:val="fr-FR"/>
        </w:rPr>
        <w:t xml:space="preserve"> </w:t>
      </w:r>
      <w:r>
        <w:rPr>
          <w:lang w:val="fr-FR"/>
        </w:rPr>
        <w:t xml:space="preserve">variables de désagrégation disponibles et le suffixe de tous les fichiers produits.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Sortie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01_rgph_preconstruction_…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situations brutes, 5 616 487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02_construction_…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indicateurs 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03_matrice_privations_…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pondérée, score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04_matrice_privations_…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censure au seuil</w:t>
            </w:r>
            <w:r>
              <w:rPr>
                <w:lang w:val="fr-FR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05_indices_ipm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m:oMath>
              <m:r>
                <m:t>A</m:t>
              </m:r>
            </m:oMath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, désagrégations, contributions</w:t>
            </w:r>
          </w:p>
        </w:tc>
      </w:tr>
    </w:tbl>
    <w:p>
      <w:pPr>
        <w:pStyle w:val="BodyText"/>
      </w:pPr>
      <w:r>
        <w:rPr>
          <w:lang w:val="fr-FR"/>
        </w:rPr>
        <w:t xml:space="preserve">Seule l’étape 01 est propre au recensement : elle lit des bases sans rapport avec celles de</w:t>
      </w:r>
      <w:r>
        <w:rPr>
          <w:lang w:val="fr-FR"/>
        </w:rPr>
        <w:t xml:space="preserve"> </w:t>
      </w:r>
      <w:r>
        <w:rPr>
          <w:lang w:val="fr-FR"/>
        </w:rPr>
        <w:t xml:space="preserve">l’enquête. À partir de l’étape 02, le code est strictement commun — il ne travaille plus que sur</w:t>
      </w:r>
      <w:r>
        <w:rPr>
          <w:lang w:val="fr-FR"/>
        </w:rPr>
        <w:t xml:space="preserve"> </w:t>
      </w:r>
      <w:r>
        <w:rPr>
          <w:lang w:val="fr-FR"/>
        </w:rPr>
        <w:t xml:space="preserve">des colonnes de situation normalisées, et ne sait pas de quelle source elles viennent. C’est ce qui</w:t>
      </w:r>
      <w:r>
        <w:rPr>
          <w:lang w:val="fr-FR"/>
        </w:rPr>
        <w:t xml:space="preserve"> </w:t>
      </w:r>
      <w:r>
        <w:rPr>
          <w:lang w:val="fr-FR"/>
        </w:rPr>
        <w:t xml:space="preserve">garantit que les deux IPM sont calculés par la même méthode, et non par deux implémentations qui</w:t>
      </w:r>
      <w:r>
        <w:rPr>
          <w:lang w:val="fr-FR"/>
        </w:rPr>
        <w:t xml:space="preserve"> </w:t>
      </w:r>
      <w:r>
        <w:rPr>
          <w:lang w:val="fr-FR"/>
        </w:rPr>
        <w:t xml:space="preserve">se ressemblent.</w:t>
      </w:r>
    </w:p>
    <w:p>
      <w:pPr>
        <w:pStyle w:val="SourceCode"/>
      </w:pPr>
      <w:r>
        <w:rPr>
          <w:rStyle w:val="VerbatimChar"/>
          <w:lang w:val="fr-FR"/>
        </w:rPr>
        <w:t xml:space="preserve">python pipeline/orchestrateur.py                  # les deux IPM</w:t>
      </w:r>
      <w:r>
        <w:br/>
      </w:r>
      <w:r>
        <w:rPr>
          <w:rStyle w:val="VerbatimChar"/>
          <w:lang w:val="fr-FR"/>
        </w:rPr>
        <w:t xml:space="preserve">python pipeline/orchestrateur.py --source rgph    # le RGPH seul</w:t>
      </w:r>
      <w:r>
        <w:br/>
      </w:r>
      <w:r>
        <w:rPr>
          <w:rStyle w:val="VerbatimChar"/>
          <w:lang w:val="fr-FR"/>
        </w:rPr>
        <w:t xml:space="preserve">python pipeline/orchestrateur.py --check          # les auto-contrôles</w:t>
      </w:r>
    </w:p>
    <w:p>
      <w:pPr>
        <w:pStyle w:val="FirstParagraph"/>
      </w:pPr>
      <w:r>
        <w:rPr>
          <w:lang w:val="fr-FR"/>
        </w:rPr>
        <w:t xml:space="preserve">L’étape 01 lit le fichier individus par morceaux de trois millions de lignes : vingt-huit millions</w:t>
      </w:r>
      <w:r>
        <w:rPr>
          <w:lang w:val="fr-FR"/>
        </w:rPr>
        <w:t xml:space="preserve"> </w:t>
      </w:r>
      <w:r>
        <w:rPr>
          <w:lang w:val="fr-FR"/>
        </w:rPr>
        <w:t xml:space="preserve">de lignes ne tiennent pas en mémoire. Un ménage coupé entre deux morceaux ne pose pas de problème,</w:t>
      </w:r>
      <w:r>
        <w:rPr>
          <w:lang w:val="fr-FR"/>
        </w:rPr>
        <w:t xml:space="preserve"> </w:t>
      </w:r>
      <w:r>
        <w:rPr>
          <w:lang w:val="fr-FR"/>
        </w:rPr>
        <w:t xml:space="preserve">chaque morceau étant agrégé séparément avant que les agrégats ne soient resommés par ménage. La</w:t>
      </w:r>
      <w:r>
        <w:rPr>
          <w:lang w:val="fr-FR"/>
        </w:rPr>
        <w:t xml:space="preserve"> </w:t>
      </w:r>
      <w:r>
        <w:rPr>
          <w:lang w:val="fr-FR"/>
        </w:rPr>
        <w:t xml:space="preserve">chaîne complète s’exécute en un peu plus de deux minutes et écrit 2,2 Go de tables de travail.</w:t>
      </w:r>
    </w:p>
    <w:p>
      <w:pPr>
        <w:pStyle w:val="BodyText"/>
      </w:pPr>
      <w:r>
        <w:rPr>
          <w:lang w:val="fr-FR"/>
        </w:rPr>
        <w:t xml:space="preserve">Chaque étape dispose d’un auto-contrôle qui rejoue sa logique sur un mini-jeu de données aux</w:t>
      </w:r>
      <w:r>
        <w:rPr>
          <w:lang w:val="fr-FR"/>
        </w:rPr>
        <w:t xml:space="preserve"> </w:t>
      </w:r>
      <w:r>
        <w:rPr>
          <w:lang w:val="fr-FR"/>
        </w:rPr>
        <w:t xml:space="preserve">résultats connus, et chaque exécution vérifie par assertion que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t>A</m:t>
        </m:r>
      </m:oMath>
      <w:r>
        <w:rPr>
          <w:lang w:val="fr-FR"/>
        </w:rPr>
        <w:t xml:space="preserve">, que les</w:t>
      </w:r>
      <w:r>
        <w:rPr>
          <w:lang w:val="fr-FR"/>
        </w:rPr>
        <w:t xml:space="preserve"> </w:t>
      </w:r>
      <w:r>
        <w:rPr>
          <w:lang w:val="fr-FR"/>
        </w:rPr>
        <w:t xml:space="preserve">contributions somment à 1, et que les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de groupe pondérés par leur part de population</w:t>
      </w:r>
      <w:r>
        <w:rPr>
          <w:lang w:val="fr-FR"/>
        </w:rPr>
        <w:t xml:space="preserve"> </w:t>
      </w:r>
      <w:r>
        <w:rPr>
          <w:lang w:val="fr-FR"/>
        </w:rPr>
        <w:t xml:space="preserve">redonnent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national.</w:t>
      </w:r>
    </w:p>
    <w:bookmarkEnd w:id="36"/>
    <w:bookmarkStart w:id="37" w:name="limites"/>
    <w:p>
      <w:pPr>
        <w:pStyle w:val="Heading1"/>
      </w:pPr>
      <w:r>
        <w:rPr>
          <w:lang w:val="fr-FR"/>
        </w:rPr>
        <w:t xml:space="preserve">Limites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La dimension Santé ne tient qu’à un fil.</w:t>
      </w:r>
      <w:r>
        <w:rPr>
          <w:lang w:val="fr-FR"/>
        </w:rPr>
        <w:t xml:space="preserve"> </w:t>
      </w:r>
      <w:r>
        <w:rPr>
          <w:lang w:val="fr-FR"/>
        </w:rPr>
        <w:t xml:space="preserve">Un indicateur, une privation à 1,1 %,</w:t>
      </w:r>
      <w:r>
        <w:rPr>
          <w:lang w:val="fr-FR"/>
        </w:rPr>
        <w:t xml:space="preserve"> </w:t>
      </w:r>
      <w:r>
        <w:rPr>
          <w:lang w:val="fr-FR"/>
        </w:rPr>
        <w:t xml:space="preserve">une fenêtre de douze mois au lieu de cinq ans, et 27,1 % d’âges au décès inconnus. Elle</w:t>
      </w:r>
      <w:r>
        <w:rPr>
          <w:lang w:val="fr-FR"/>
        </w:rPr>
        <w:t xml:space="preserve"> </w:t>
      </w:r>
      <w:r>
        <w:rPr>
          <w:lang w:val="fr-FR"/>
        </w:rPr>
        <w:t xml:space="preserve">porte 25 % du poids nominal et 1,6 % de l’indice</w:t>
      </w:r>
      <w:r>
        <w:rPr>
          <w:lang w:val="fr-FR"/>
        </w:rPr>
        <w:t xml:space="preserve"> </w:t>
      </w:r>
      <w:r>
        <w:rPr>
          <w:lang w:val="fr-FR"/>
        </w:rPr>
        <w:t xml:space="preserve">(section </w:t>
      </w:r>
      <w:hyperlink w:anchor="sec:mortalite">
        <w:r>
          <w:rPr>
            <w:rStyle w:val="Hyperlink"/>
            <w:lang w:val="fr-FR"/>
          </w:rPr>
          <w:t xml:space="preserve">3.5</w:t>
        </w:r>
      </w:hyperlink>
      <w:r>
        <w:rPr>
          <w:lang w:val="fr-FR"/>
        </w:rP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L’emploi de subsistance domine l’indice</w:t>
      </w:r>
      <w:r>
        <w:rPr>
          <w:lang w:val="fr-FR"/>
        </w:rPr>
        <w:t xml:space="preserve"> </w:t>
      </w:r>
      <w:r>
        <w:rPr>
          <w:lang w:val="fr-FR"/>
        </w:rPr>
        <w:t xml:space="preserve">tout en reposant sur l’approximation la</w:t>
      </w:r>
      <w:r>
        <w:rPr>
          <w:lang w:val="fr-FR"/>
        </w:rPr>
        <w:t xml:space="preserve"> </w:t>
      </w:r>
      <w:r>
        <w:rPr>
          <w:lang w:val="fr-FR"/>
        </w:rPr>
        <w:t xml:space="preserve">plus lâche : 26,8 % 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L’année de scolarité est mesurée par le diplôme</w:t>
      </w:r>
      <w:r>
        <w:rPr>
          <w:lang w:val="fr-FR"/>
        </w:rPr>
        <w:t xml:space="preserve">, ce qui est juste en moyenne mais</w:t>
      </w:r>
      <w:r>
        <w:rPr>
          <w:lang w:val="fr-FR"/>
        </w:rPr>
        <w:t xml:space="preserve"> </w:t>
      </w:r>
      <w:r>
        <w:rPr>
          <w:lang w:val="fr-FR"/>
        </w:rPr>
        <w:t xml:space="preserve">faux individuellement.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L’eau et la toilette perdent leur second critère</w:t>
      </w:r>
      <w:r>
        <w:rPr>
          <w:lang w:val="fr-FR"/>
        </w:rPr>
        <w:t xml:space="preserve">, ce qui abaisse mécaniquement les</w:t>
      </w:r>
      <w:r>
        <w:rPr>
          <w:lang w:val="fr-FR"/>
        </w:rPr>
        <w:t xml:space="preserve"> </w:t>
      </w:r>
      <w:r>
        <w:rPr>
          <w:lang w:val="fr-FR"/>
        </w:rPr>
        <w:t xml:space="preserve">deux taux par rapport à l’enquête.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 taux de privation de la toilette n’est pas réconcilié</w:t>
      </w:r>
      <w:r>
        <w:rPr>
          <w:lang w:val="fr-FR"/>
        </w:rPr>
        <w:t xml:space="preserve"> </w:t>
      </w:r>
      <w:r>
        <w:rPr>
          <w:lang w:val="fr-FR"/>
        </w:rPr>
        <w:t xml:space="preserve">avec la production</w:t>
      </w:r>
      <w:r>
        <w:rPr>
          <w:lang w:val="fr-FR"/>
        </w:rPr>
        <w:t xml:space="preserve"> </w:t>
      </w:r>
      <w:r>
        <w:rPr>
          <w:lang w:val="fr-FR"/>
        </w:rPr>
        <w:t xml:space="preserve">antérieure (section </w:t>
      </w:r>
      <w:hyperlink w:anchor="sec:stata">
        <w:r>
          <w:rPr>
            <w:rStyle w:val="Hyperlink"/>
            <w:lang w:val="fr-FR"/>
          </w:rPr>
          <w:t xml:space="preserve">6</w:t>
        </w:r>
      </w:hyperlink>
      <w:r>
        <w:rPr>
          <w:lang w:val="fr-FR"/>
        </w:rP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 sexe du chef de ménage n’est pas dans l’extrait</w:t>
      </w:r>
      <w:r>
        <w:rPr>
          <w:lang w:val="fr-FR"/>
        </w:rPr>
        <w:t xml:space="preserve">, ce qui prive d’une</w:t>
      </w:r>
      <w:r>
        <w:rPr>
          <w:lang w:val="fr-FR"/>
        </w:rPr>
        <w:t xml:space="preserve"> </w:t>
      </w:r>
      <w:r>
        <w:rPr>
          <w:lang w:val="fr-FR"/>
        </w:rPr>
        <w:t xml:space="preserve">désagrégation disponible sur l’EHCVM.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Les intervalles de confiance ne mesurent pas une incertitude d’échantillonnage</w:t>
      </w:r>
      <w:r>
        <w:rPr>
          <w:lang w:val="fr-FR"/>
        </w:rPr>
        <w:t xml:space="preserve"> </w:t>
      </w:r>
      <w:r>
        <w:rPr>
          <w:lang w:val="fr-FR"/>
        </w:rPr>
        <w:t xml:space="preserve">mais une dispersion entre zones de dénombrement. Dix-neuf sous-préfectures sur 519</w:t>
      </w:r>
      <w:r>
        <w:rPr>
          <w:lang w:val="fr-FR"/>
        </w:rPr>
        <w:t xml:space="preserve"> </w:t>
      </w:r>
      <w:r>
        <w:rPr>
          <w:lang w:val="fr-FR"/>
        </w:rPr>
        <w:t xml:space="preserve">dépassent un coefficient de variation de 20 % et ne devraient pas être publiées telles</w:t>
      </w:r>
      <w:r>
        <w:rPr>
          <w:lang w:val="fr-FR"/>
        </w:rPr>
        <w:t xml:space="preserve"> </w:t>
      </w:r>
      <w:r>
        <w:rPr>
          <w:lang w:val="fr-FR"/>
        </w:rPr>
        <w:t xml:space="preserve">quelles.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L’indice de pauvreté multidimensionnelle de la Côte d’Ivoire Méthodologie de calcul sur le RGPH 2021</dc:title>
  <dc:creator>Pipeline PythonIPM</dc:creator>
  <cp:keywords/>
  <dcterms:created xsi:type="dcterms:W3CDTF">2026-09-11T15:32:35Z</dcterms:created>
  <dcterms:modified xsi:type="dcterms:W3CDTF">2026-09-11T15:32:35Z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Ce document décrit la construction de l’indice de pauvreté multidimensionnelle (IPM) de la Côte d’Ivoire à partir du Recensement général de la population et de l’habitation (RGPH) 2021. Il est le pendant du document consacré à l’EHCVM 2021 : même méthode d’Alkire-Foster, mêmes conventions de calcul, même chaîne de traitement. Ce qui change tient aux données — un recensement exhaustif de 28 millions d’individus, au questionnaire beaucoup plus court qu’une enquête ménages. Le document se concentre donc sur ce qui est propre au recensement : les indicateurs qu’il permet de mesurer et ceux qu’il interdit, les approximations retenues, la réconciliation avec la production Stata antérieure, et la variante harmonisée qui rend les deux sources comparables.</vt:lpwstr>
  </property>
  <property fmtid="{D5CDD505-2E9C-101B-9397-08002B2CF9AE}" pid="3" name="date">
    <vt:lpwstr>Septembre 2026</vt:lpwstr>
  </property>
</Properties>
</file>