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  <w:lang w:val="fr-FR"/>
        </w:rPr>
        <w:t xml:space="preserve">Note sur la dimension Santé</w:t>
      </w:r>
      <w:r>
        <w:br/>
      </w:r>
      <w:r>
        <w:rPr>
          <w:b/>
          <w:bCs/>
          <w:lang w:val="fr-FR"/>
        </w:rPr>
        <w:t xml:space="preserve">Pourquoi l’assurance maladie ne peut pas la porter seule</w:t>
      </w:r>
    </w:p>
    <w:p>
      <w:pPr>
        <w:pStyle w:val="Author"/>
      </w:pPr>
      <w:r>
        <w:rPr>
          <w:lang w:val="fr-FR"/>
        </w:rPr>
        <w:t xml:space="preserve">Pipeline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PythonIPM</w:t>
      </w:r>
      <w:r>
        <w:rPr>
          <w:lang w:val="fr-FR"/>
        </w:rPr>
        <w:t xml:space="preserve"> </w:t>
      </w:r>
      <w:r>
        <w:rPr>
          <w:lang w:val="fr-FR"/>
        </w:rPr>
        <w:t xml:space="preserve">— IPM Côte d’Ivoire, EHCVM 2021</w:t>
      </w:r>
    </w:p>
    <w:p>
      <w:pPr>
        <w:pStyle w:val="Date"/>
      </w:pPr>
      <w:r>
        <w:rPr>
          <w:lang w:val="fr-FR"/>
        </w:rPr>
        <w:t xml:space="preserve">Août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fr-FR"/>
        </w:rPr>
        <w:t xml:space="preserve">La dimension Santé de l’IPM ivoirien a d’abord reposé sur un unique indicateur —</w:t>
      </w:r>
      <w:r>
        <w:rPr>
          <w:lang w:val="fr-FR"/>
        </w:rPr>
        <w:t xml:space="preserve"> </w:t>
      </w:r>
      <w:r>
        <w:rPr>
          <w:lang w:val="fr-FR"/>
        </w:rPr>
        <w:t xml:space="preserve">l’absence de couverture maladie — faute de pouvoir mesurer la mortalité juvénile dans l’EHCVM.</w:t>
      </w:r>
      <w:r>
        <w:rPr>
          <w:lang w:val="fr-FR"/>
        </w:rPr>
        <w:t xml:space="preserve"> </w:t>
      </w:r>
      <w:r>
        <w:rPr>
          <w:lang w:val="fr-FR"/>
        </w:rPr>
        <w:t xml:space="preserve">Cette note montre pourquoi ce montage produisait un indice non plausible, expose le mécanisme</w:t>
      </w:r>
      <w:r>
        <w:rPr>
          <w:lang w:val="fr-FR"/>
        </w:rPr>
        <w:t xml:space="preserve"> </w:t>
      </w:r>
      <w:r>
        <w:rPr>
          <w:lang w:val="fr-FR"/>
        </w:rPr>
        <w:t xml:space="preserve">arithmétique en cause, documente les décisions prises — l’ajout de l’insécurité alimentaire mesurée</w:t>
      </w:r>
      <w:r>
        <w:rPr>
          <w:lang w:val="fr-FR"/>
        </w:rPr>
        <w:t xml:space="preserve"> </w:t>
      </w:r>
      <w:r>
        <w:rPr>
          <w:lang w:val="fr-FR"/>
        </w:rPr>
        <w:t xml:space="preserve">par l’échelle FIES de la FAO, puis celui du renoncement aux soins pour raison de coût ou</w:t>
      </w:r>
      <w:r>
        <w:rPr>
          <w:lang w:val="fr-FR"/>
        </w:rPr>
        <w:t xml:space="preserve"> </w:t>
      </w:r>
      <w:r>
        <w:rPr>
          <w:lang w:val="fr-FR"/>
        </w:rPr>
        <w:t xml:space="preserve">d’indisponibilité de l’offre — et en</w:t>
      </w:r>
      <w:r>
        <w:rPr>
          <w:lang w:val="fr-FR"/>
        </w:rPr>
        <w:t xml:space="preserve"> </w:t>
      </w:r>
      <w:r>
        <w:rPr>
          <w:lang w:val="fr-FR"/>
        </w:rPr>
        <w:t xml:space="preserve">mesure l’effet. Elle se termine sur ce qui reste ouvert.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le-point-de-départ"/>
    <w:p>
      <w:pPr>
        <w:pStyle w:val="Heading1"/>
      </w:pPr>
      <w:r>
        <w:rPr>
          <w:lang w:val="fr-FR"/>
        </w:rPr>
        <w:t xml:space="preserve">Le point de départ</w:t>
      </w:r>
    </w:p>
    <w:p>
      <w:pPr>
        <w:pStyle w:val="FirstParagraph"/>
      </w:pPr>
      <w:r>
        <w:rPr>
          <w:lang w:val="fr-FR"/>
        </w:rPr>
        <w:t xml:space="preserve">Le tableau de référence national place dans la dimension Santé un indicateur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mortalité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juvénile</w:t>
      </w:r>
      <w:r>
        <w:rPr>
          <w:lang w:val="fr-FR"/>
        </w:rPr>
        <w:t xml:space="preserve">. L’EHCVM 2021 ne permet pas de le construire : l’enquête n’a ni module décès ni</w:t>
      </w:r>
      <w:r>
        <w:rPr>
          <w:lang w:val="fr-FR"/>
        </w:rPr>
        <w:t xml:space="preserve"> </w:t>
      </w:r>
      <w:r>
        <w:rPr>
          <w:lang w:val="fr-FR"/>
        </w:rPr>
        <w:t xml:space="preserve">historique des naissances. La base des chocs enregistre bien un « décès d’un membre du ménage »</w:t>
      </w:r>
      <w:r>
        <w:rPr>
          <w:lang w:val="fr-FR"/>
        </w:rPr>
        <w:t xml:space="preserve"> </w:t>
      </w:r>
      <w:r>
        <w:rPr>
          <w:lang w:val="fr-FR"/>
        </w:rPr>
        <w:t xml:space="preserve">— 1 328 ménages sur trois ans, avec la date — 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l’âge du défunt</w:t>
      </w:r>
      <w:r>
        <w:rPr>
          <w:lang w:val="fr-FR"/>
        </w:rPr>
        <w:t xml:space="preserve">. Il est donc</w:t>
      </w:r>
      <w:r>
        <w:rPr>
          <w:lang w:val="fr-FR"/>
        </w:rPr>
        <w:t xml:space="preserve"> </w:t>
      </w:r>
      <w:r>
        <w:rPr>
          <w:lang w:val="fr-FR"/>
        </w:rPr>
        <w:t xml:space="preserve">impossible d’isoler les décès d’enfants de moins de dix-huit ans.</w:t>
      </w:r>
    </w:p>
    <w:p>
      <w:pPr>
        <w:pStyle w:val="BodyText"/>
      </w:pPr>
      <w:r>
        <w:rPr>
          <w:lang w:val="fr-FR"/>
        </w:rPr>
        <w:t xml:space="preserve">La dimension a d’abord été mesurée par un seul indicateur de substitution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aucun membre du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ménage n’est couvert par une assurance maladie</w:t>
      </w:r>
      <w:r>
        <w:rPr>
          <w:lang w:val="fr-FR"/>
        </w:rPr>
        <w:t xml:space="preserve">. Le choix se défendait — la question est</w:t>
      </w:r>
      <w:r>
        <w:rPr>
          <w:lang w:val="fr-FR"/>
        </w:rPr>
        <w:t xml:space="preserve"> </w:t>
      </w:r>
      <w:r>
        <w:rPr>
          <w:lang w:val="fr-FR"/>
        </w:rPr>
        <w:t xml:space="preserve">renseignée pour 100 % des ménages, sans biais de sélection, et se lit sans ambiguïté.</w:t>
      </w:r>
    </w:p>
    <w:bookmarkEnd w:id="9"/>
    <w:bookmarkStart w:id="13" w:name="le-problème"/>
    <w:p>
      <w:pPr>
        <w:pStyle w:val="Heading1"/>
      </w:pPr>
      <w:r>
        <w:rPr>
          <w:lang w:val="fr-FR"/>
        </w:rPr>
        <w:t xml:space="preserve">Le problème</w:t>
      </w:r>
    </w:p>
    <w:p>
      <w:pPr>
        <w:pStyle w:val="FirstParagraph"/>
      </w:pPr>
      <w:r>
        <w:rPr>
          <w:lang w:val="fr-FR"/>
        </w:rPr>
        <w:t xml:space="preserve">Avec quatre dimensions équipondérées à 0,25, un indicateur seul dans sa dimension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porte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tout son poids</w:t>
      </w:r>
      <w:r>
        <w:rPr>
          <w:lang w:val="fr-FR"/>
        </w:rPr>
        <w:t xml:space="preserve">. Or 93,4 % des ménages ivoiriens n’ont aucun membre assuré. Trois conséquences</w:t>
      </w:r>
      <w:r>
        <w:rPr>
          <w:lang w:val="fr-FR"/>
        </w:rPr>
        <w:t xml:space="preserve"> </w:t>
      </w:r>
      <w:r>
        <w:rPr>
          <w:lang w:val="fr-FR"/>
        </w:rPr>
        <w:t xml:space="preserve">en découlent, toutes arithmétiques et non statistiques.</w:t>
      </w:r>
    </w:p>
    <w:bookmarkStart w:id="10" w:name="lindicateur-dominait-le-score"/>
    <w:p>
      <w:pPr>
        <w:pStyle w:val="Heading2"/>
      </w:pPr>
      <w:r>
        <w:rPr>
          <w:lang w:val="fr-FR"/>
        </w:rPr>
        <w:t xml:space="preserve">L’indicateur dominait le score</w:t>
      </w:r>
    </w:p>
    <w:p>
      <w:pPr>
        <w:pStyle w:val="FirstParagraph"/>
      </w:pPr>
      <w:r>
        <w:rPr>
          <w:lang w:val="fr-FR"/>
        </w:rPr>
        <w:t xml:space="preserve">L’assurance maladie apportait en moyenne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0,2336</w:t>
      </w:r>
      <w:r>
        <w:rPr>
          <w:lang w:val="fr-FR"/>
        </w:rPr>
        <w:t xml:space="preserve"> </w:t>
      </w:r>
      <w:r>
        <w:rPr>
          <w:lang w:val="fr-FR"/>
        </w:rPr>
        <w:t xml:space="preserve">sur un score moyen de 0,4603, soit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50,8 % du score de privation</w:t>
      </w:r>
      <w:r>
        <w:rPr>
          <w:lang w:val="fr-FR"/>
        </w:rPr>
        <w:t xml:space="preserve"> </w:t>
      </w:r>
      <w:r>
        <w:rPr>
          <w:lang w:val="fr-FR"/>
        </w:rPr>
        <w:t xml:space="preserve">à elle seule. Les douze autres indicateurs se partageaient</w:t>
      </w:r>
      <w:r>
        <w:rPr>
          <w:lang w:val="fr-FR"/>
        </w:rPr>
        <w:t xml:space="preserve"> </w:t>
      </w:r>
      <w:r>
        <w:rPr>
          <w:lang w:val="fr-FR"/>
        </w:rPr>
        <w:t xml:space="preserve">l’autre moitié.</w:t>
      </w:r>
    </w:p>
    <w:bookmarkEnd w:id="10"/>
    <w:bookmarkStart w:id="11" w:name="Xd88d6044352216aaa04da2a72fdaf69e0d2fd31"/>
    <w:p>
      <w:pPr>
        <w:pStyle w:val="Heading2"/>
      </w:pPr>
      <w:r>
        <w:rPr>
          <w:lang w:val="fr-FR"/>
        </w:rPr>
        <w:t xml:space="preserve">Elle fonctionnait comme un laissez-passer vers le seuil</w:t>
      </w:r>
    </w:p>
    <w:p>
      <w:pPr>
        <w:pStyle w:val="FirstParagraph"/>
      </w:pPr>
      <w:r>
        <w:rPr>
          <w:lang w:val="fr-FR"/>
        </w:rPr>
        <w:t xml:space="preserve">Un ménage non assuré partait déjà à 0,25 sur les 0,3333 requis pour être déclaré pauvre. Deux</w:t>
      </w:r>
      <w:r>
        <w:rPr>
          <w:lang w:val="fr-FR"/>
        </w:rPr>
        <w:t xml:space="preserve"> </w:t>
      </w:r>
      <w:r>
        <w:rPr>
          <w:lang w:val="fr-FR"/>
        </w:rPr>
        <w:t xml:space="preserve">privations de conditions de vie (</w:t>
      </w:r>
      <m:oMath>
        <m:r>
          <m:t>2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,</m:t>
        </m:r>
        <m:r>
          <m:t>0417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0833</m:t>
        </m:r>
      </m:oMath>
      <w:r>
        <w:rPr>
          <w:lang w:val="fr-FR"/>
        </w:rPr>
        <w:t xml:space="preserve">) suffisaient alors à franchir</w:t>
      </w:r>
      <w:r>
        <w:rPr>
          <w:lang w:val="fr-FR"/>
        </w:rPr>
        <w:t xml:space="preserve"> </w:t>
      </w:r>
      <w:r>
        <w:rPr>
          <w:lang w:val="fr-FR"/>
        </w:rPr>
        <w:t xml:space="preserve">exactement le seuil.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403 ménages</w:t>
      </w:r>
      <w:r>
        <w:rPr>
          <w:lang w:val="fr-FR"/>
        </w:rPr>
        <w:t xml:space="preserve"> </w:t>
      </w:r>
      <w:r>
        <w:rPr>
          <w:lang w:val="fr-FR"/>
        </w:rPr>
        <w:t xml:space="preserve">se trouvaient dans ce cas précis, et 396 avaient un</w:t>
      </w:r>
      <w:r>
        <w:rPr>
          <w:lang w:val="fr-FR"/>
        </w:rPr>
        <w:t xml:space="preserve"> </w:t>
      </w:r>
      <w:r>
        <w:rPr>
          <w:lang w:val="fr-FR"/>
        </w:rPr>
        <w:t xml:space="preserve">score exactement égal à</w:t>
      </w:r>
      <w:r>
        <w:rPr>
          <w:lang w:val="fr-FR"/>
        </w:rPr>
        <w:t xml:space="preserve"> </w:t>
      </w:r>
      <m:oMath>
        <m:r>
          <m:t>k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: un ménage sur trente basculait sur une différence de troisième</w:t>
      </w:r>
      <w:r>
        <w:rPr>
          <w:lang w:val="fr-FR"/>
        </w:rPr>
        <w:t xml:space="preserve"> </w:t>
      </w:r>
      <w:r>
        <w:rPr>
          <w:lang w:val="fr-FR"/>
        </w:rPr>
        <w:t xml:space="preserve">décimale.</w:t>
      </w:r>
    </w:p>
    <w:bookmarkEnd w:id="11"/>
    <w:bookmarkStart w:id="12" w:name="le-résultat-nétait-pas-plausible"/>
    <w:p>
      <w:pPr>
        <w:pStyle w:val="Heading2"/>
      </w:pPr>
      <w:r>
        <w:rPr>
          <w:lang w:val="fr-FR"/>
        </w:rPr>
        <w:t xml:space="preserve">Le résultat n’était pas plausible</w:t>
      </w:r>
    </w:p>
    <w:p>
      <w:pPr>
        <w:pStyle w:val="FirstParagraph"/>
      </w:pPr>
      <w:r>
        <w:rPr>
          <w:lang w:val="fr-FR"/>
        </w:rPr>
        <w:t xml:space="preserve">Une simulation retirant l’indicateur et renormalisant les poids donne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b/>
                <w:bCs/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(population pauvre)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Treize indicateurs, assurance seule en Santé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79,7 %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Les mêmes, sans l’assurance maladie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45,7 %</w:t>
            </w:r>
          </w:p>
        </w:tc>
      </w:tr>
    </w:tbl>
    <w:p>
      <w:pPr>
        <w:pStyle w:val="BodyText"/>
      </w:pPr>
      <w:r>
        <w:rPr>
          <w:lang w:val="fr-FR"/>
        </w:rPr>
        <w:t xml:space="preserve">Le second ordre de grandeur est celui publié pour la Côte d’Ivoire dans la table globale de</w:t>
      </w:r>
      <w:r>
        <w:rPr>
          <w:lang w:val="fr-FR"/>
        </w:rPr>
        <w:t xml:space="preserve"> </w:t>
      </w:r>
      <w:r>
        <w:rPr>
          <w:lang w:val="fr-FR"/>
        </w:rPr>
        <w:t xml:space="preserve">l’OPHI. Le premier ne l’est pas.</w:t>
      </w:r>
    </w:p>
    <w:p>
      <w:pPr>
        <w:pStyle w:val="BlockText"/>
      </w:pPr>
      <w:r>
        <w:rPr>
          <w:b/>
          <w:bCs/>
          <w:lang w:val="fr-FR"/>
        </w:rPr>
        <w:t xml:space="preserve">Le fond du problème</w:t>
      </w:r>
    </w:p>
    <w:p>
      <w:pPr>
        <w:pStyle w:val="BlockText"/>
      </w:pPr>
      <w:r>
        <w:rPr>
          <w:lang w:val="fr-FR"/>
        </w:rPr>
        <w:t xml:space="preserve">Un indicateur qui prive 93 % de la population ne discrimine plus : il déplace le niveau de</w:t>
      </w:r>
      <w:r>
        <w:rPr>
          <w:lang w:val="fr-FR"/>
        </w:rPr>
        <w:t xml:space="preserve"> </w:t>
      </w:r>
      <w:r>
        <w:rPr>
          <w:lang w:val="fr-FR"/>
        </w:rPr>
        <w:t xml:space="preserve">l’indice sans rien apprendre sur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qui</w:t>
      </w:r>
      <w:r>
        <w:rPr>
          <w:lang w:val="fr-FR"/>
        </w:rPr>
        <w:t xml:space="preserve"> </w:t>
      </w:r>
      <w:r>
        <w:rPr>
          <w:lang w:val="fr-FR"/>
        </w:rPr>
        <w:t xml:space="preserve">est pauvre. Ce n’était pas une erreur de calcul — le</w:t>
      </w:r>
      <w:r>
        <w:rPr>
          <w:lang w:val="fr-FR"/>
        </w:rPr>
        <w:t xml:space="preserve"> </w:t>
      </w:r>
      <w:r>
        <w:rPr>
          <w:lang w:val="fr-FR"/>
        </w:rPr>
        <w:t xml:space="preserve">code appliquait fidèlement les choix actés — mais la rencontre de deux décisions qui se</w:t>
      </w:r>
      <w:r>
        <w:rPr>
          <w:lang w:val="fr-FR"/>
        </w:rPr>
        <w:t xml:space="preserve"> </w:t>
      </w:r>
      <w:r>
        <w:rPr>
          <w:lang w:val="fr-FR"/>
        </w:rPr>
        <w:t xml:space="preserve">combinent mal : substituer l’assurance maladie à la mortalité juvénile,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conserver quatre</w:t>
      </w:r>
      <w:r>
        <w:rPr>
          <w:lang w:val="fr-FR"/>
        </w:rPr>
        <w:t xml:space="preserve"> </w:t>
      </w:r>
      <w:r>
        <w:rPr>
          <w:lang w:val="fr-FR"/>
        </w:rPr>
        <w:t xml:space="preserve">dimensions équipondérées.</w:t>
      </w:r>
    </w:p>
    <w:bookmarkEnd w:id="12"/>
    <w:bookmarkEnd w:id="13"/>
    <w:bookmarkStart w:id="15" w:name="la-décision"/>
    <w:p>
      <w:pPr>
        <w:pStyle w:val="Heading1"/>
      </w:pPr>
      <w:r>
        <w:rPr>
          <w:lang w:val="fr-FR"/>
        </w:rPr>
        <w:t xml:space="preserve">La décision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second indicateur</w:t>
      </w:r>
      <w:r>
        <w:rPr>
          <w:lang w:val="fr-FR"/>
        </w:rPr>
        <w:t xml:space="preserve"> </w:t>
      </w:r>
      <w:r>
        <w:rPr>
          <w:lang w:val="fr-FR"/>
        </w:rPr>
        <w:t xml:space="preserve">a été ajouté à la dimension Santé : l’insécurité alimentaire mesurée</w:t>
      </w:r>
      <w:r>
        <w:rPr>
          <w:lang w:val="fr-FR"/>
        </w:rPr>
        <w:t xml:space="preserve"> </w:t>
      </w:r>
      <w:r>
        <w:rPr>
          <w:lang w:val="fr-FR"/>
        </w:rPr>
        <w:t xml:space="preserve">par l’échelle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FIES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i/>
          <w:iCs/>
          <w:lang w:val="fr-FR"/>
        </w:rPr>
        <w:t xml:space="preserve">Food Insecurity Experience Scale</w:t>
      </w:r>
      <w:r>
        <w:rPr>
          <w:lang w:val="fr-FR"/>
        </w:rPr>
        <w:t xml:space="preserve">) de la FAO, présente dans la</w:t>
      </w:r>
      <w:r>
        <w:rPr>
          <w:lang w:val="fr-FR"/>
        </w:rPr>
        <w:t xml:space="preserve"> </w:t>
      </w:r>
      <w:r>
        <w:rPr>
          <w:lang w:val="fr-FR"/>
        </w:rPr>
        <w:t xml:space="preserve">section 8A de l’EHCVM. Huit questions oui/non portant sur les douze derniers mois, ordonnées par</w:t>
      </w:r>
      <w:r>
        <w:rPr>
          <w:lang w:val="fr-FR"/>
        </w:rPr>
        <w:t xml:space="preserve"> </w:t>
      </w:r>
      <w:r>
        <w:rPr>
          <w:lang w:val="fr-FR"/>
        </w:rPr>
        <w:t xml:space="preserve">sévérité croissante, dont le nombre de « oui » forme un score de 0 à 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Sévérité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inquiétude de manquer de nourriture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légère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n’a pas pu manger sain et nutritif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légère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 mangé peu varié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légère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 sauté un repas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modérée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 mangé moins que nécessaire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modérée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plus de nourriture dans le ménage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modérée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 eu faim sans manger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sévère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est resté une journée entière sans manger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sévère</w:t>
            </w:r>
          </w:p>
        </w:tc>
      </w:tr>
    </w:tbl>
    <w:p>
      <w:pPr>
        <w:pStyle w:val="BodyText"/>
      </w:pPr>
      <w:r>
        <w:rPr>
          <w:lang w:val="fr-FR"/>
        </w:rPr>
        <w:t xml:space="preserve">Le seuil retenu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score</w:t>
      </w:r>
      <w:r>
        <w:rPr>
          <w:b/>
          <w:bCs/>
          <w:lang w:val="fr-FR"/>
        </w:rPr>
        <w:t xml:space="preserve"> </w:t>
      </w:r>
      <m:oMath>
        <m:r>
          <m:rPr>
            <m:sty m:val="p"/>
          </m:rPr>
          <m:t>≥</m:t>
        </m:r>
        <m:r>
          <m:t>4</m:t>
        </m:r>
      </m:oMath>
      <w:r>
        <w:rPr>
          <w:lang w:val="fr-FR"/>
        </w:rPr>
        <w:t xml:space="preserve">, qui correspond à l’insécurité alimentaire modérée ou</w:t>
      </w:r>
      <w:r>
        <w:rPr>
          <w:lang w:val="fr-FR"/>
        </w:rPr>
        <w:t xml:space="preserve"> </w:t>
      </w:r>
      <w:r>
        <w:rPr>
          <w:lang w:val="fr-FR"/>
        </w:rPr>
        <w:t xml:space="preserve">sévère — le seuil standardisé de l’</w:t>
      </w:r>
      <w:r>
        <w:rPr>
          <w:b/>
          <w:bCs/>
          <w:lang w:val="fr-FR"/>
        </w:rPr>
        <w:t xml:space="preserve">indicateur ODD 2.1.2</w:t>
      </w:r>
      <w:r>
        <w:rPr>
          <w:lang w:val="fr-FR"/>
        </w:rPr>
        <w:t xml:space="preserve">. Il n’a donc pas fallu inventer</w:t>
      </w:r>
      <w:r>
        <w:rPr>
          <w:lang w:val="fr-FR"/>
        </w:rPr>
        <w:t xml:space="preserve"> </w:t>
      </w:r>
      <w:r>
        <w:rPr>
          <w:lang w:val="fr-FR"/>
        </w:rPr>
        <w:t xml:space="preserve">un seuil : celui-ci est comparable aux publications de la FAO.</w:t>
      </w:r>
    </w:p>
    <w:bookmarkStart w:id="14" w:name="X351beda4895fe8211beb961e96f74bbec9f22fb"/>
    <w:p>
      <w:pPr>
        <w:pStyle w:val="Heading2"/>
      </w:pPr>
      <w:r>
        <w:rPr>
          <w:lang w:val="fr-FR"/>
        </w:rPr>
        <w:t xml:space="preserve">Pourquoi cet indicateur plutôt qu’un autre</w:t>
      </w:r>
    </w:p>
    <w:p>
      <w:pPr>
        <w:pStyle w:val="FirstParagraph"/>
      </w:pPr>
      <w:r>
        <w:rPr>
          <w:lang w:val="fr-FR"/>
        </w:rPr>
        <w:t xml:space="preserve">La justification est de fond, et pas seulement d’opportunité. Dans l’IPM mondial, la dimension</w:t>
      </w:r>
      <w:r>
        <w:rPr>
          <w:lang w:val="fr-FR"/>
        </w:rPr>
        <w:t xml:space="preserve"> </w:t>
      </w:r>
      <w:r>
        <w:rPr>
          <w:lang w:val="fr-FR"/>
        </w:rPr>
        <w:t xml:space="preserve">Santé est composée de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nutrition</w:t>
      </w:r>
      <w:r>
        <w:rPr>
          <w:lang w:val="fr-FR"/>
        </w:rPr>
        <w:t xml:space="preserve"> </w:t>
      </w:r>
      <w:r>
        <w:rPr>
          <w:lang w:val="fr-FR"/>
        </w:rPr>
        <w:t xml:space="preserve">et de la mortalité juvénile. Remplacer la seconde</w:t>
      </w:r>
      <w:r>
        <w:rPr>
          <w:lang w:val="fr-FR"/>
        </w:rPr>
        <w:t xml:space="preserve"> </w:t>
      </w:r>
      <w:r>
        <w:rPr>
          <w:lang w:val="fr-FR"/>
        </w:rPr>
        <w:t xml:space="preserve">— impossible à mesurer ici — par une mesure de la première ne dénature pas la dimension :</w:t>
      </w:r>
      <w:r>
        <w:rPr>
          <w:lang w:val="fr-FR"/>
        </w:rPr>
        <w:t xml:space="preserve"> </w:t>
      </w:r>
      <w:r>
        <w:rPr>
          <w:lang w:val="fr-FR"/>
        </w:rPr>
        <w:t xml:space="preserve">c’est son autre pilier officiel.</w:t>
      </w:r>
    </w:p>
    <w:p>
      <w:pPr>
        <w:pStyle w:val="BodyText"/>
      </w:pPr>
      <w:r>
        <w:rPr>
          <w:lang w:val="fr-FR"/>
        </w:rPr>
        <w:t xml:space="preserve">S’y ajoute une raison statistique. La distribution du score FIES le sépare nettement de</w:t>
      </w:r>
      <w:r>
        <w:rPr>
          <w:lang w:val="fr-FR"/>
        </w:rPr>
        <w:t xml:space="preserve"> </w:t>
      </w:r>
      <w:r>
        <w:rPr>
          <w:lang w:val="fr-FR"/>
        </w:rPr>
        <w:t xml:space="preserve">l’assurance maladie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Score FIES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Part des ménages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30,5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7,4</w:t>
            </w:r>
          </w:p>
        </w:tc>
      </w:tr>
    </w:tbl>
    <w:p>
      <w:pPr>
        <w:pStyle w:val="BodyText"/>
      </w:pPr>
      <w:r>
        <w:rPr>
          <w:lang w:val="fr-FR"/>
        </w:rPr>
        <w:t xml:space="preserve">Un tiers des ménages à zéro, le reste étalé sur toute l’échelle. L’assurance maladie, elle, oppose</w:t>
      </w:r>
      <w:r>
        <w:rPr>
          <w:lang w:val="fr-FR"/>
        </w:rPr>
        <w:t xml:space="preserve"> </w:t>
      </w:r>
      <w:r>
        <w:rPr>
          <w:lang w:val="fr-FR"/>
        </w:rPr>
        <w:t xml:space="preserve">93,4 % à 6,6 % : elle sépare mal parce qu’elle ne varie presque pas. C’est exactement ce qu’on</w:t>
      </w:r>
      <w:r>
        <w:rPr>
          <w:lang w:val="fr-FR"/>
        </w:rPr>
        <w:t xml:space="preserve"> </w:t>
      </w:r>
      <w:r>
        <w:rPr>
          <w:lang w:val="fr-FR"/>
        </w:rPr>
        <w:t xml:space="preserve">demande à un indicateur de privation — séparer — et c’est ce que le FIES fait.</w:t>
      </w:r>
    </w:p>
    <w:p>
      <w:pPr>
        <w:pStyle w:val="BodyText"/>
      </w:pPr>
      <w:r>
        <w:rPr>
          <w:lang w:val="fr-FR"/>
        </w:rPr>
        <w:t xml:space="preserve">Le taux de privation retenu s’établit 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42,7 % des ménages</w:t>
      </w:r>
      <w:r>
        <w:rPr>
          <w:lang w:val="fr-FR"/>
        </w:rPr>
        <w:t xml:space="preserve">, soit 40,8 % de la</w:t>
      </w:r>
      <w:r>
        <w:rPr>
          <w:lang w:val="fr-FR"/>
        </w:rPr>
        <w:t xml:space="preserve"> </w:t>
      </w:r>
      <w:r>
        <w:rPr>
          <w:lang w:val="fr-FR"/>
        </w:rPr>
        <w:t xml:space="preserve">population.</w:t>
      </w:r>
    </w:p>
    <w:bookmarkEnd w:id="14"/>
    <w:bookmarkEnd w:id="15"/>
    <w:bookmarkStart w:id="16" w:name="X818bea17a64102921c691078d9dde6ef78d106d"/>
    <w:p>
      <w:pPr>
        <w:pStyle w:val="Heading1"/>
      </w:pPr>
      <w:r>
        <w:rPr>
          <w:lang w:val="fr-FR"/>
        </w:rPr>
        <w:t xml:space="preserve">Le troisième indicateur : le renoncement aux soins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troisième indicateur</w:t>
      </w:r>
      <w:r>
        <w:rPr>
          <w:lang w:val="fr-FR"/>
        </w:rPr>
        <w:t xml:space="preserve"> </w:t>
      </w:r>
      <w:r>
        <w:rPr>
          <w:lang w:val="fr-FR"/>
        </w:rPr>
        <w:t xml:space="preserve">a ensuite été ajouté à la dimension : un ménage est privé si l’un</w:t>
      </w:r>
      <w:r>
        <w:rPr>
          <w:lang w:val="fr-FR"/>
        </w:rPr>
        <w:t xml:space="preserve"> </w:t>
      </w:r>
      <w:r>
        <w:rPr>
          <w:lang w:val="fr-FR"/>
        </w:rPr>
        <w:t xml:space="preserve">de ses membres a eu un problème de santé dans les 30 derniers jours (question 3.01), n’a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pas</w:t>
      </w:r>
      <w:r>
        <w:rPr>
          <w:lang w:val="fr-FR"/>
        </w:rPr>
        <w:t xml:space="preserve"> </w:t>
      </w:r>
      <w:r>
        <w:rPr>
          <w:lang w:val="fr-FR"/>
        </w:rPr>
        <w:t xml:space="preserve">consulté (3.05) et a cité comme raison principale (3.06) soit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coût</w:t>
      </w:r>
      <w:r>
        <w:rPr>
          <w:lang w:val="fr-FR"/>
        </w:rPr>
        <w:t xml:space="preserve"> </w:t>
      </w:r>
      <w:r>
        <w:rPr>
          <w:lang w:val="fr-FR"/>
        </w:rPr>
        <w:t xml:space="preserve">(« trop cher », « manque d’argent »), soit l’</w:t>
      </w:r>
      <w:r>
        <w:rPr>
          <w:b/>
          <w:bCs/>
          <w:lang w:val="fr-FR"/>
        </w:rPr>
        <w:t xml:space="preserve">indisponibilité de l’offre</w:t>
      </w:r>
      <w:r>
        <w:rPr>
          <w:lang w:val="fr-FR"/>
        </w:rPr>
        <w:t xml:space="preserve"> </w:t>
      </w:r>
      <w:r>
        <w:rPr>
          <w:lang w:val="fr-FR"/>
        </w:rPr>
        <w:t xml:space="preserve">de soins</w:t>
      </w:r>
      <w:r>
        <w:rPr>
          <w:lang w:val="fr-FR"/>
        </w:rPr>
        <w:t xml:space="preserve"> </w:t>
      </w:r>
      <w:r>
        <w:rPr>
          <w:lang w:val="fr-FR"/>
        </w:rPr>
        <w:t xml:space="preserve">(« service spécialisé non disponible », « absence de personnel »).</w:t>
      </w:r>
    </w:p>
    <w:p>
      <w:pPr>
        <w:pStyle w:val="BodyText"/>
      </w:pPr>
      <w:r>
        <w:rPr>
          <w:lang w:val="fr-FR"/>
        </w:rPr>
        <w:t xml:space="preserve">Ces quatre modalités ont en commun d’être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subies</w:t>
      </w:r>
      <w:r>
        <w:rPr>
          <w:lang w:val="fr-FR"/>
        </w:rPr>
        <w:t xml:space="preserve">. Elles s’opposent aux motifs qui</w:t>
      </w:r>
      <w:r>
        <w:rPr>
          <w:lang w:val="fr-FR"/>
        </w:rPr>
        <w:t xml:space="preserve"> </w:t>
      </w:r>
      <w:r>
        <w:rPr>
          <w:lang w:val="fr-FR"/>
        </w:rPr>
        <w:t xml:space="preserve">relèvent d’un arbitrage du ménage — l’automédication, le « pas nécessaire », la peur du</w:t>
      </w:r>
      <w:r>
        <w:rPr>
          <w:lang w:val="fr-FR"/>
        </w:rPr>
        <w:t xml:space="preserve"> </w:t>
      </w:r>
      <w:r>
        <w:rPr>
          <w:lang w:val="fr-FR"/>
        </w:rPr>
        <w:t xml:space="preserve">résultat — lesquels ne rendent pas privé : renoncer parce qu’on juge la consultation inutile</w:t>
      </w:r>
      <w:r>
        <w:rPr>
          <w:lang w:val="fr-FR"/>
        </w:rPr>
        <w:t xml:space="preserve"> </w:t>
      </w:r>
      <w:r>
        <w:rPr>
          <w:lang w:val="fr-FR"/>
        </w:rPr>
        <w:t xml:space="preserve">n’est pas la même chose que renoncer parce qu’on n’en a pas les moyens ou qu’il n’y a personne</w:t>
      </w:r>
      <w:r>
        <w:rPr>
          <w:lang w:val="fr-FR"/>
        </w:rPr>
        <w:t xml:space="preserve"> </w:t>
      </w:r>
      <w:r>
        <w:rPr>
          <w:lang w:val="fr-FR"/>
        </w:rPr>
        <w:t xml:space="preserve">pour soigner.</w:t>
      </w:r>
    </w:p>
    <w:p>
      <w:pPr>
        <w:pStyle w:val="BodyText"/>
      </w:pPr>
      <w:r>
        <w:rPr>
          <w:lang w:val="fr-FR"/>
        </w:rPr>
        <w:t xml:space="preserve">Là où l’assurance maladie mesure une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couverture</w:t>
      </w:r>
      <w:r>
        <w:rPr>
          <w:lang w:val="fr-FR"/>
        </w:rPr>
        <w:t xml:space="preserve"> </w:t>
      </w:r>
      <w:r>
        <w:rPr>
          <w:lang w:val="fr-FR"/>
        </w:rPr>
        <w:t xml:space="preserve">formelle — largement absente en Côte</w:t>
      </w:r>
      <w:r>
        <w:rPr>
          <w:lang w:val="fr-FR"/>
        </w:rPr>
        <w:t xml:space="preserve"> </w:t>
      </w:r>
      <w:r>
        <w:rPr>
          <w:lang w:val="fr-FR"/>
        </w:rPr>
        <w:t xml:space="preserve">d’Ivoire, donc peu discriminante — le renoncement aux soins mesure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accès effectif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empêché</w:t>
      </w:r>
      <w:r>
        <w:rPr>
          <w:lang w:val="fr-FR"/>
        </w:rPr>
        <w:t xml:space="preserve">, par l’argent ou par l’absence de service. C’est un fait, pas un droit théorique : le</w:t>
      </w:r>
      <w:r>
        <w:rPr>
          <w:lang w:val="fr-FR"/>
        </w:rPr>
        <w:t xml:space="preserve"> </w:t>
      </w:r>
      <w:r>
        <w:rPr>
          <w:lang w:val="fr-FR"/>
        </w:rPr>
        <w:t xml:space="preserve">ménage a été malade, et n’a pas pu se soigner. L’indicateur prive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9,3 % des ménages</w:t>
      </w:r>
      <w:r>
        <w:rPr>
          <w:lang w:val="fr-FR"/>
        </w:rPr>
        <w:t xml:space="preserve"> </w:t>
      </w:r>
      <w:r>
        <w:rPr>
          <w:lang w:val="fr-FR"/>
        </w:rPr>
        <w:t xml:space="preserve">(9,0 % de la population). Il ne peut être privé que parmi les 67,2 % de ménages ayant connu un</w:t>
      </w:r>
      <w:r>
        <w:rPr>
          <w:lang w:val="fr-FR"/>
        </w:rPr>
        <w:t xml:space="preserve"> </w:t>
      </w:r>
      <w:r>
        <w:rPr>
          <w:lang w:val="fr-FR"/>
        </w:rPr>
        <w:t xml:space="preserve">problème de santé sur la période : un ménage où personne n’a été malade n’est pas privé.</w:t>
      </w:r>
    </w:p>
    <w:p>
      <w:pPr>
        <w:pStyle w:val="BlockText"/>
      </w:pPr>
      <w:r>
        <w:rPr>
          <w:b/>
          <w:bCs/>
          <w:lang w:val="fr-FR"/>
        </w:rPr>
        <w:t xml:space="preserve">Le coût domine très largement</w:t>
      </w:r>
    </w:p>
    <w:p>
      <w:pPr>
        <w:pStyle w:val="BlockText"/>
      </w:pPr>
      <w:r>
        <w:rPr>
          <w:lang w:val="fr-FR"/>
        </w:rPr>
        <w:t xml:space="preserve">Les deux motifs d’offre sont rares : sur les 1 720 personnes qui renoncent, 1 706 le font pour</w:t>
      </w:r>
      <w:r>
        <w:rPr>
          <w:lang w:val="fr-FR"/>
        </w:rPr>
        <w:t xml:space="preserve"> </w:t>
      </w:r>
      <w:r>
        <w:rPr>
          <w:lang w:val="fr-FR"/>
        </w:rPr>
        <w:t xml:space="preserve">une raison d’argent et 14 seulement pour indisponibilité du service ou absence de personnel. Les</w:t>
      </w:r>
      <w:r>
        <w:rPr>
          <w:lang w:val="fr-FR"/>
        </w:rPr>
        <w:t xml:space="preserve"> </w:t>
      </w:r>
      <w:r>
        <w:rPr>
          <w:lang w:val="fr-FR"/>
        </w:rPr>
        <w:t xml:space="preserve">inclure n’ajoute que 10 ménages privés sur 12 965 et déplace 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de 0,000079. Le choix</w:t>
      </w:r>
      <w:r>
        <w:rPr>
          <w:lang w:val="fr-FR"/>
        </w:rPr>
        <w:t xml:space="preserve"> </w:t>
      </w:r>
      <w:r>
        <w:rPr>
          <w:lang w:val="fr-FR"/>
        </w:rPr>
        <w:t xml:space="preserve">relève donc de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définition</w:t>
      </w:r>
      <w:r>
        <w:rPr>
          <w:lang w:val="fr-FR"/>
        </w:rPr>
        <w:t xml:space="preserve"> </w:t>
      </w:r>
      <w:r>
        <w:rPr>
          <w:lang w:val="fr-FR"/>
        </w:rPr>
        <w:t xml:space="preserve">— un renoncement subi reste un renoncement subi, quelle</w:t>
      </w:r>
      <w:r>
        <w:rPr>
          <w:lang w:val="fr-FR"/>
        </w:rPr>
        <w:t xml:space="preserve"> </w:t>
      </w:r>
      <w:r>
        <w:rPr>
          <w:lang w:val="fr-FR"/>
        </w:rPr>
        <w:t xml:space="preserve">qu’en soit la cause — et non d’un effet sur les résultats.</w:t>
      </w:r>
    </w:p>
    <w:bookmarkEnd w:id="16"/>
    <w:bookmarkStart w:id="17" w:name="leffet-mesuré"/>
    <w:p>
      <w:pPr>
        <w:pStyle w:val="Heading1"/>
      </w:pPr>
      <w:r>
        <w:rPr>
          <w:lang w:val="fr-FR"/>
        </w:rPr>
        <w:t xml:space="preserve">L’effet mesuré</w:t>
      </w:r>
    </w:p>
    <w:p>
      <w:pPr>
        <w:pStyle w:val="FirstParagraph"/>
      </w:pPr>
      <w:r>
        <w:rPr>
          <w:lang w:val="fr-FR"/>
        </w:rPr>
        <w:t xml:space="preserve">La dimension Santé compte désormais trois indicateurs 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0,0833</w:t>
      </w:r>
      <w:r>
        <w:rPr>
          <w:lang w:val="fr-FR"/>
        </w:rPr>
        <w:t xml:space="preserve"> </w:t>
      </w:r>
      <w:r>
        <w:rPr>
          <w:lang w:val="fr-FR"/>
        </w:rPr>
        <w:t xml:space="preserve">chacun : le poids de</w:t>
      </w:r>
      <w:r>
        <w:rPr>
          <w:lang w:val="fr-FR"/>
        </w:rPr>
        <w:t xml:space="preserve"> </w:t>
      </w:r>
      <w:r>
        <w:rPr>
          <w:lang w:val="fr-FR"/>
        </w:rPr>
        <w:t xml:space="preserve">l’assurance maladie est le tiers de ce qu’il était.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Avant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Étape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Aujourd’hui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(assurance seule)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(+ FIES)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(+ renoncement)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Indicateurs de l’IPM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Poids de l’assurance maladie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0,2500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Part de l’assurance dans le score moyen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50,8 %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29,4 %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19,9 %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Score moyen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0,4603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0,3968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0,3918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rPr>
                <w:b/>
                <w:bCs/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— incidence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79,7 %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65,8 %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58,0 %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Vulnérables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19,1 %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22,8 %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Pauvreté sévère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44,0 %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26,8 %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26,1 %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Ménages au score exactement égal à</w:t>
            </w:r>
            <w:r>
              <w:rPr>
                <w:lang w:val="fr-FR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</w:p>
        </w:tc>
      </w:tr>
    </w:tbl>
    <w:p>
      <w:pPr>
        <w:pStyle w:val="BodyText"/>
      </w:pPr>
      <w:r>
        <w:rPr>
          <w:i/>
          <w:iCs/>
          <w:lang w:val="fr-FR"/>
        </w:rPr>
        <w:t xml:space="preserve">La colonne « Aujourd’hui » n’isole pas le seul effet du renoncement aux soins : elle intègre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les trois indicateurs ajoutés en même temps (renoncement, emploi agricole de subsistance,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promiscuité), qui font passer l’IPM de treize à seize indicateurs.</w:t>
      </w:r>
    </w:p>
    <w:p>
      <w:pPr>
        <w:pStyle w:val="BodyText"/>
      </w:pPr>
      <w:r>
        <w:rPr>
          <w:lang w:val="fr-FR"/>
        </w:rPr>
        <w:t xml:space="preserve">L’effet est net sur la pauvreté sévère, qui passe de 44,0 % à 26,1 % : c’est là que la</w:t>
      </w:r>
      <w:r>
        <w:rPr>
          <w:lang w:val="fr-FR"/>
        </w:rPr>
        <w:t xml:space="preserve"> </w:t>
      </w:r>
      <w:r>
        <w:rPr>
          <w:lang w:val="fr-FR"/>
        </w:rPr>
        <w:t xml:space="preserve">domination d’un indicateur unique se voyait le plus. La dimension Santé, qui pesait 40,5 % de</w:t>
      </w:r>
      <w:r>
        <w:rPr>
          <w:lang w:val="fr-FR"/>
        </w:rPr>
        <w:t xml:space="preserve"> </w:t>
      </w:r>
      <w:r>
        <w:rPr>
          <w:lang w:val="fr-FR"/>
        </w:rPr>
        <w:t xml:space="preserve">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pour un poids nominal de 25 %, en pèse désormais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27,9 %</w:t>
      </w:r>
      <w:r>
        <w:rPr>
          <w:lang w:val="fr-FR"/>
        </w:rPr>
        <w:t xml:space="preserve"> </w:t>
      </w:r>
      <w:r>
        <w:rPr>
          <w:lang w:val="fr-FR"/>
        </w:rPr>
        <w:t xml:space="preserve">— l’assurance</w:t>
      </w:r>
      <w:r>
        <w:rPr>
          <w:lang w:val="fr-FR"/>
        </w:rPr>
        <w:t xml:space="preserve"> </w:t>
      </w:r>
      <w:r>
        <w:rPr>
          <w:lang w:val="fr-FR"/>
        </w:rPr>
        <w:t xml:space="preserve">maladie 16,7 %, l’insécurité alimentaire 9,0 %, le renoncement aux soins 2,2 %.</w:t>
      </w:r>
    </w:p>
    <w:bookmarkEnd w:id="17"/>
    <w:bookmarkStart w:id="18" w:name="limites-assumées"/>
    <w:p>
      <w:pPr>
        <w:pStyle w:val="Heading1"/>
      </w:pPr>
      <w:r>
        <w:rPr>
          <w:lang w:val="fr-FR"/>
        </w:rPr>
        <w:t xml:space="preserve">Limites assumées</w:t>
      </w:r>
    </w:p>
    <w:p>
      <w:pPr>
        <w:pStyle w:val="DefinitionTerm"/>
      </w:pPr>
      <w:r>
        <w:rPr>
          <w:lang w:val="fr-FR"/>
        </w:rPr>
        <w:t xml:space="preserve">Le FIES n’est pas une mesure d’état nutritionnel.</w:t>
      </w:r>
    </w:p>
    <w:p>
      <w:pPr>
        <w:pStyle w:val="Definition"/>
      </w:pPr>
      <w:r>
        <w:rPr>
          <w:lang w:val="fr-FR"/>
        </w:rPr>
        <w:t xml:space="preserve">Il mesure l’insécurité alimentaire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vécue</w:t>
      </w:r>
      <w:r>
        <w:rPr>
          <w:lang w:val="fr-FR"/>
        </w:rPr>
        <w:t xml:space="preserve">. L’OPHI, lui, mesure la nutrition par l’anthropométrie — indice de masse</w:t>
      </w:r>
      <w:r>
        <w:rPr>
          <w:lang w:val="fr-FR"/>
        </w:rPr>
        <w:t xml:space="preserve"> </w:t>
      </w:r>
      <w:r>
        <w:rPr>
          <w:lang w:val="fr-FR"/>
        </w:rPr>
        <w:t xml:space="preserve">corporelle des adultes, retard de croissance des enfants. L’EHCVM n’a pas de module</w:t>
      </w:r>
      <w:r>
        <w:rPr>
          <w:lang w:val="fr-FR"/>
        </w:rPr>
        <w:t xml:space="preserve"> </w:t>
      </w:r>
      <w:r>
        <w:rPr>
          <w:lang w:val="fr-FR"/>
        </w:rPr>
        <w:t xml:space="preserve">anthropométrique : le FIES est le meilleur substitut disponible, pas un équivalent.</w:t>
      </w:r>
    </w:p>
    <w:p>
      <w:pPr>
        <w:pStyle w:val="DefinitionTerm"/>
      </w:pPr>
      <w:r>
        <w:rPr>
          <w:lang w:val="fr-FR"/>
        </w:rPr>
        <w:t xml:space="preserve">C’est du déclaratif rétrospectif sur douze mois.</w:t>
      </w:r>
    </w:p>
    <w:p>
      <w:pPr>
        <w:pStyle w:val="Definition"/>
      </w:pPr>
      <w:r>
        <w:rPr>
          <w:lang w:val="fr-FR"/>
        </w:rPr>
        <w:t xml:space="preserve">Il est donc sensible à la saison de</w:t>
      </w:r>
      <w:r>
        <w:rPr>
          <w:lang w:val="fr-FR"/>
        </w:rPr>
        <w:t xml:space="preserve"> </w:t>
      </w:r>
      <w:r>
        <w:rPr>
          <w:lang w:val="fr-FR"/>
        </w:rPr>
        <w:t xml:space="preserve">collecte. Les deux vagues de l’EHCVM ayant été collectées à des saisons différentes, une</w:t>
      </w:r>
      <w:r>
        <w:rPr>
          <w:lang w:val="fr-FR"/>
        </w:rPr>
        <w:t xml:space="preserve"> </w:t>
      </w:r>
      <w:r>
        <w:rPr>
          <w:lang w:val="fr-FR"/>
        </w:rPr>
        <w:t xml:space="preserve">vérification de la comparabilité entre vagues reste à mener.</w:t>
      </w:r>
    </w:p>
    <w:p>
      <w:pPr>
        <w:pStyle w:val="DefinitionTerm"/>
      </w:pPr>
      <w:r>
        <w:rPr>
          <w:lang w:val="fr-FR"/>
        </w:rPr>
        <w:t xml:space="preserve">195 ménages (1,5 %) n’ont pas de score complet</w:t>
      </w:r>
    </w:p>
    <w:p>
      <w:pPr>
        <w:pStyle w:val="Definition"/>
      </w:pPr>
      <w:r>
        <w:rPr>
          <w:lang w:val="fr-FR"/>
        </w:rPr>
        <w:t xml:space="preserve">, pour cause de non-réponse ou de refus</w:t>
      </w:r>
      <w:r>
        <w:rPr>
          <w:lang w:val="fr-FR"/>
        </w:rPr>
        <w:t xml:space="preserve"> </w:t>
      </w:r>
      <w:r>
        <w:rPr>
          <w:lang w:val="fr-FR"/>
        </w:rPr>
        <w:t xml:space="preserve">sur au moins un des huit items. Ils sont traités comme non privés, conformément à la convention</w:t>
      </w:r>
      <w:r>
        <w:rPr>
          <w:lang w:val="fr-FR"/>
        </w:rPr>
        <w:t xml:space="preserve"> </w:t>
      </w:r>
      <w:r>
        <w:rPr>
          <w:lang w:val="fr-FR"/>
        </w:rPr>
        <w:t xml:space="preserve">générale du pipeline. C’est un choix — celui de ne pas pénaliser un refus de répondre — et</w:t>
      </w:r>
      <w:r>
        <w:rPr>
          <w:lang w:val="fr-FR"/>
        </w:rPr>
        <w:t xml:space="preserve"> </w:t>
      </w:r>
      <w:r>
        <w:rPr>
          <w:lang w:val="fr-FR"/>
        </w:rPr>
        <w:t xml:space="preserve">non une déduction.</w:t>
      </w:r>
    </w:p>
    <w:bookmarkEnd w:id="18"/>
    <w:bookmarkStart w:id="19" w:name="ce-qui-reste-ouvert"/>
    <w:p>
      <w:pPr>
        <w:pStyle w:val="Heading1"/>
      </w:pPr>
      <w:r>
        <w:rPr>
          <w:lang w:val="fr-FR"/>
        </w:rPr>
        <w:t xml:space="preserve">Ce qui reste ouvert</w:t>
      </w:r>
    </w:p>
    <w:p>
      <w:pPr>
        <w:pStyle w:val="BlockText"/>
      </w:pPr>
      <w:r>
        <w:rPr>
          <w:b/>
          <w:bCs/>
          <w:lang w:val="fr-FR"/>
        </w:rPr>
        <w:t xml:space="preserve">Attention —</w:t>
      </w:r>
      <w:r>
        <w:rPr>
          <w:b/>
          <w:bCs/>
          <w:lang w:val="fr-FR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58</m:t>
        </m:r>
        <m:r>
          <m:rPr>
            <m:sty m:val="p"/>
          </m:rPr>
          <m:t>,</m:t>
        </m:r>
        <m:r>
          <m:t>0</m:t>
        </m:r>
        <m:r>
          <m:t> </m:t>
        </m:r>
        <m:r>
          <m:rPr>
            <m:sty m:val="p"/>
          </m:rPr>
          <m:t>%</m:t>
        </m:r>
      </m:oMath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demeure au-dessus de l’ordre de grandeur de référence</w:t>
      </w:r>
    </w:p>
    <w:p>
      <w:pPr>
        <w:pStyle w:val="BlockText"/>
      </w:pPr>
      <w:r>
        <w:rPr>
          <w:lang w:val="fr-FR"/>
        </w:rPr>
        <w:t xml:space="preserve">L’assurance maladie pèse encore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16,7 % de l’IPM</w:t>
      </w:r>
      <w:r>
        <w:rPr>
          <w:lang w:val="fr-FR"/>
        </w:rPr>
        <w:t xml:space="preserve"> </w:t>
      </w:r>
      <w:r>
        <w:rPr>
          <w:lang w:val="fr-FR"/>
        </w:rPr>
        <w:t xml:space="preserve">— la deuxième contribution de tout le</w:t>
      </w:r>
      <w:r>
        <w:rPr>
          <w:lang w:val="fr-FR"/>
        </w:rPr>
        <w:t xml:space="preserve"> </w:t>
      </w:r>
      <w:r>
        <w:rPr>
          <w:lang w:val="fr-FR"/>
        </w:rPr>
        <w:t xml:space="preserve">système — pour un indicateur qui prive 93 % des ménages. Trois leviers restent disponibles, non</w:t>
      </w:r>
      <w:r>
        <w:rPr>
          <w:lang w:val="fr-FR"/>
        </w:rPr>
        <w:t xml:space="preserve"> </w:t>
      </w:r>
      <w:r>
        <w:rPr>
          <w:lang w:val="fr-FR"/>
        </w:rPr>
        <w:t xml:space="preserve">tranchés à ce jour.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Abandonner l’assurance maladie</w:t>
      </w:r>
      <w:r>
        <w:rPr>
          <w:lang w:val="fr-FR"/>
        </w:rPr>
        <w:t xml:space="preserve"> </w:t>
      </w:r>
      <w:r>
        <w:rPr>
          <w:lang w:val="fr-FR"/>
        </w:rPr>
        <w:t xml:space="preserve">et garder le FIES et le renoncement aux soins en</w:t>
      </w:r>
      <w:r>
        <w:rPr>
          <w:lang w:val="fr-FR"/>
        </w:rPr>
        <w:t xml:space="preserve"> </w:t>
      </w:r>
      <w:r>
        <w:rPr>
          <w:lang w:val="fr-FR"/>
        </w:rPr>
        <w:t xml:space="preserve">Santé. Cohérent avec le constat qu’un indicateur à 93 % n’informe pas ; la dimension garderait</w:t>
      </w:r>
      <w:r>
        <w:rPr>
          <w:lang w:val="fr-FR"/>
        </w:rPr>
        <w:t xml:space="preserve"> </w:t>
      </w:r>
      <w:r>
        <w:rPr>
          <w:lang w:val="fr-FR"/>
        </w:rPr>
        <w:t xml:space="preserve">cette fois deux jambes, ce qui n’était pas le cas au moment du premier arbitrage.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Rééquilibrer les dimensions.</w:t>
      </w:r>
      <w:r>
        <w:rPr>
          <w:lang w:val="fr-FR"/>
        </w:rPr>
        <w:t xml:space="preserve"> </w:t>
      </w:r>
      <w:r>
        <w:rPr>
          <w:lang w:val="fr-FR"/>
        </w:rPr>
        <w:t xml:space="preserve">Rien n’oblige à quatre dimensions égales. L’IPM</w:t>
      </w:r>
      <w:r>
        <w:rPr>
          <w:lang w:val="fr-FR"/>
        </w:rPr>
        <w:t xml:space="preserve"> </w:t>
      </w:r>
      <w:r>
        <w:rPr>
          <w:lang w:val="fr-FR"/>
        </w:rPr>
        <w:t xml:space="preserve">mondial en retient trois — Santé, Éducation, Niveau de vie — à un tiers chacune.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Revoir d’autres seuils dans le même esprit.</w:t>
      </w:r>
      <w:r>
        <w:rPr>
          <w:lang w:val="fr-FR"/>
        </w:rPr>
        <w:t xml:space="preserve"> </w:t>
      </w:r>
      <w:r>
        <w:rPr>
          <w:lang w:val="fr-FR"/>
        </w:rPr>
        <w:t xml:space="preserve">L’année de scolarité (72,5 %),</w:t>
      </w:r>
      <w:r>
        <w:rPr>
          <w:lang w:val="fr-FR"/>
        </w:rPr>
        <w:t xml:space="preserve"> </w:t>
      </w:r>
      <w:r>
        <w:rPr>
          <w:lang w:val="fr-FR"/>
        </w:rPr>
        <w:t xml:space="preserve">l’énergie de cuisson (76,8 %) et les toilettes (77,3 %) privent aussi une large majorité des</w:t>
      </w:r>
      <w:r>
        <w:rPr>
          <w:lang w:val="fr-FR"/>
        </w:rPr>
        <w:t xml:space="preserve"> </w:t>
      </w:r>
      <w:r>
        <w:rPr>
          <w:lang w:val="fr-FR"/>
        </w:rPr>
        <w:t xml:space="preserve">ménages, et posent la même question de pouvoir discriminant. Le cas s’est reproduit hors Santé :</w:t>
      </w:r>
      <w:r>
        <w:rPr>
          <w:lang w:val="fr-FR"/>
        </w:rPr>
        <w:t xml:space="preserve"> </w:t>
      </w:r>
      <w:r>
        <w:rPr>
          <w:lang w:val="fr-FR"/>
        </w:rPr>
        <w:t xml:space="preserve">l’emploi agricole de subsistance prive 48,1 % des ménages et apporte à lui seul 16,9 % de</w:t>
      </w:r>
      <w:r>
        <w:rPr>
          <w:lang w:val="fr-FR"/>
        </w:rPr>
        <w:t xml:space="preserve"> </w:t>
      </w:r>
      <w:r>
        <w:rPr>
          <w:lang w:val="fr-FR"/>
        </w:rPr>
        <w:t xml:space="preserve">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, contre 1,6 % au chômage, à poids identique.</w:t>
      </w:r>
    </w:p>
    <w:p>
      <w:pPr>
        <w:pStyle w:val="FirstParagraph"/>
      </w:pPr>
      <w:r>
        <w:rPr>
          <w:lang w:val="fr-FR"/>
        </w:rPr>
        <w:t xml:space="preserve">Ces arbitrages relèvent du cadrage et non de la technique : chacun se modifie en une ligne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pipeline/02_construction_matrice_situationnelle.py</w:t>
      </w:r>
      <w:r>
        <w:rPr>
          <w:lang w:val="fr-FR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lang w:val="fr-FR"/>
        </w:rPr>
        <w:t xml:space="preserve">Documents associés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Méthodologie de calcul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Dictionnaire des sorties</w:t>
      </w:r>
      <w:r>
        <w:rPr>
          <w:lang w:val="fr-FR"/>
        </w:rPr>
        <w:t xml:space="preserve">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sur la dimension Santé Pourquoi l’assurance maladie ne peut pas la porter seule</dc:title>
  <dc:creator>Pipeline PythonIPM — IPM Côte d’Ivoire, EHCVM 2021</dc:creator>
  <cp:keywords/>
  <dcterms:created xsi:type="dcterms:W3CDTF">2026-09-11T15:32:42Z</dcterms:created>
  <dcterms:modified xsi:type="dcterms:W3CDTF">2026-09-11T15:32:42Z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La dimension Santé de l’IPM ivoirien a d’abord reposé sur un unique indicateur — l’absence de couverture maladie — faute de pouvoir mesurer la mortalité juvénile dans l’EHCVM. Cette note montre pourquoi ce montage produisait un indice non plausible, expose le mécanisme arithmétique en cause, documente les décisions prises — l’ajout de l’insécurité alimentaire mesurée par l’échelle FIES de la FAO, puis celui du renoncement aux soins pour raison de coût ou d’indisponibilité de l’offre — et en mesure l’effet. Elle se termine sur ce qui reste ouvert.</vt:lpwstr>
  </property>
  <property fmtid="{D5CDD505-2E9C-101B-9397-08002B2CF9AE}" pid="3" name="date">
    <vt:lpwstr>Août 2026</vt:lpwstr>
  </property>
</Properties>
</file>