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  <w:lang w:val="fr-FR"/>
        </w:rPr>
        <w:t xml:space="preserve">EHCVM ou RGPH : quel IPM sert le mieux le PND 2026-2030 ?</w:t>
      </w:r>
      <w:r>
        <w:br/>
      </w:r>
      <w:r>
        <w:rPr>
          <w:b/>
          <w:bCs/>
          <w:lang w:val="fr-FR"/>
        </w:rPr>
        <w:t xml:space="preserve">Analyse comparative et recommandation</w:t>
      </w:r>
    </w:p>
    <w:p>
      <w:pPr>
        <w:pStyle w:val="Author"/>
      </w:pPr>
      <w:r>
        <w:rPr>
          <w:lang w:val="fr-FR"/>
        </w:rPr>
        <w:t xml:space="preserve">Pipeline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PythonIPM</w:t>
      </w:r>
    </w:p>
    <w:p>
      <w:pPr>
        <w:pStyle w:val="Date"/>
      </w:pPr>
      <w:r>
        <w:rPr>
          <w:lang w:val="fr-FR"/>
        </w:rPr>
        <w:t xml:space="preserve">Septembre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lang w:val="fr-FR"/>
        </w:rPr>
        <w:t xml:space="preserve">Deux indices de pauvreté multidimensionnelle ont été calculés pour la Côte d’Ivoire sur</w:t>
      </w:r>
      <w:r>
        <w:rPr>
          <w:lang w:val="fr-FR"/>
        </w:rPr>
        <w:t xml:space="preserve"> </w:t>
      </w:r>
      <w:r>
        <w:rPr>
          <w:lang w:val="fr-FR"/>
        </w:rPr>
        <w:t xml:space="preserve">l’année 2021 : l’un sur l’EHCVM, enquête auprès de 12 965 ménages, l’autre sur le RGPH, recensement</w:t>
      </w:r>
      <w:r>
        <w:rPr>
          <w:lang w:val="fr-FR"/>
        </w:rPr>
        <w:t xml:space="preserve"> </w:t>
      </w:r>
      <w:r>
        <w:rPr>
          <w:lang w:val="fr-FR"/>
        </w:rPr>
        <w:t xml:space="preserve">exhaustif de 5,6 millions de ménages. Ce document les confronte au Plan National de Développement</w:t>
      </w:r>
      <w:r>
        <w:rPr>
          <w:lang w:val="fr-FR"/>
        </w:rPr>
        <w:t xml:space="preserve"> </w:t>
      </w:r>
      <w:r>
        <w:rPr>
          <w:lang w:val="fr-FR"/>
        </w:rPr>
        <w:t xml:space="preserve">2026-2030 et tranche : lequel est le plus aligné, lequel aide le mieux, et comment les employer</w:t>
      </w:r>
      <w:r>
        <w:rPr>
          <w:lang w:val="fr-FR"/>
        </w:rPr>
        <w:t xml:space="preserve"> </w:t>
      </w:r>
      <w:r>
        <w:rPr>
          <w:lang w:val="fr-FR"/>
        </w:rPr>
        <w:t xml:space="preserve">ensemble. Il suppose connus les deux documents d’analyse qui le précèdent, mais peut se lire seul.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-FR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  <w:lang w:val="fr-FR"/>
        </w:rPr>
        <w:t xml:space="preserve">La recommandation en une page</w:t>
      </w:r>
    </w:p>
    <w:p>
      <w:pPr>
        <w:pStyle w:val="BlockText"/>
      </w:pPr>
      <w:r>
        <w:rPr>
          <w:b/>
          <w:bCs/>
          <w:lang w:val="fr-FR"/>
        </w:rPr>
        <w:t xml:space="preserve">L’IPM EHCVM est le plus aligné sur le</w:t>
      </w:r>
      <w:r>
        <w:rPr>
          <w:b/>
          <w:bCs/>
          <w:lang w:val="fr-FR"/>
        </w:rPr>
        <w:t xml:space="preserve"> </w:t>
      </w:r>
      <w:r>
        <w:rPr>
          <w:b/>
          <w:bCs/>
          <w:i/>
          <w:iCs/>
          <w:lang w:val="fr-FR"/>
        </w:rPr>
        <w:t xml:space="preserve">contenu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des cibles du PND</w:t>
      </w:r>
      <w:r>
        <w:rPr>
          <w:lang w:val="fr-FR"/>
        </w:rPr>
        <w:t xml:space="preserve">, pour une raison</w:t>
      </w:r>
      <w:r>
        <w:rPr>
          <w:lang w:val="fr-FR"/>
        </w:rPr>
        <w:t xml:space="preserve"> </w:t>
      </w:r>
      <w:r>
        <w:rPr>
          <w:lang w:val="fr-FR"/>
        </w:rPr>
        <w:t xml:space="preserve">qui tient en une ligne : le recensement ne pose aucune question de santé. L’assurance maladie et le</w:t>
      </w:r>
      <w:r>
        <w:rPr>
          <w:lang w:val="fr-FR"/>
        </w:rPr>
        <w:t xml:space="preserve"> </w:t>
      </w:r>
      <w:r>
        <w:rPr>
          <w:lang w:val="fr-FR"/>
        </w:rPr>
        <w:t xml:space="preserve">renoncement aux soins lui échappent entièrement, et avec eux les cibles santé du Pilier 4. Il porte</w:t>
      </w:r>
      <w:r>
        <w:rPr>
          <w:lang w:val="fr-FR"/>
        </w:rPr>
        <w:t xml:space="preserve"> </w:t>
      </w:r>
      <w:r>
        <w:rPr>
          <w:lang w:val="fr-FR"/>
        </w:rPr>
        <w:t xml:space="preserve">en outre la consommation, donc la pauvreté monétaire. Si un seul indice devait tenir le cadre de</w:t>
      </w:r>
      <w:r>
        <w:rPr>
          <w:lang w:val="fr-FR"/>
        </w:rPr>
        <w:t xml:space="preserve"> </w:t>
      </w:r>
      <w:r>
        <w:rPr>
          <w:lang w:val="fr-FR"/>
        </w:rPr>
        <w:t xml:space="preserve">résultats, c’est celui-là.</w:t>
      </w:r>
    </w:p>
    <w:p>
      <w:pPr>
        <w:pStyle w:val="BlockText"/>
      </w:pPr>
      <w:r>
        <w:rPr>
          <w:b/>
          <w:bCs/>
          <w:lang w:val="fr-FR"/>
        </w:rPr>
        <w:t xml:space="preserve">Mais l’IPM RGPH est celui qui aide le mieux à agir</w:t>
      </w:r>
      <w:r>
        <w:rPr>
          <w:lang w:val="fr-FR"/>
        </w:rPr>
        <w:t xml:space="preserve"> </w:t>
      </w:r>
      <w:r>
        <w:rPr>
          <w:lang w:val="fr-FR"/>
        </w:rPr>
        <w:t xml:space="preserve">: il est seul à rendre opérationnels</w:t>
      </w:r>
      <w:r>
        <w:rPr>
          <w:lang w:val="fr-FR"/>
        </w:rPr>
        <w:t xml:space="preserve"> </w:t>
      </w:r>
      <w:r>
        <w:rPr>
          <w:lang w:val="fr-FR"/>
        </w:rPr>
        <w:t xml:space="preserve">trois instruments centraux du plan — les Pôles Économiques Compétitifs, le registre social unifié</w:t>
      </w:r>
      <w:r>
        <w:rPr>
          <w:lang w:val="fr-FR"/>
        </w:rPr>
        <w:t xml:space="preserve"> </w:t>
      </w:r>
      <w:r>
        <w:rPr>
          <w:lang w:val="fr-FR"/>
        </w:rPr>
        <w:t xml:space="preserve">et le ciblage des 827 000 ménages de filets sociaux — que l’enquête ne peut pas servir du tout.</w:t>
      </w:r>
    </w:p>
    <w:p>
      <w:pPr>
        <w:pStyle w:val="BlockText"/>
      </w:pPr>
      <w:r>
        <w:rPr>
          <w:b/>
          <w:bCs/>
          <w:lang w:val="fr-FR"/>
        </w:rPr>
        <w:t xml:space="preserve">La recommandation n’est donc pas de choisir</w:t>
      </w:r>
      <w:r>
        <w:rPr>
          <w:lang w:val="fr-FR"/>
        </w:rPr>
        <w:t xml:space="preserve">, mais de répartir les rôles :</w:t>
      </w:r>
    </w:p>
    <w:p>
      <w:pPr>
        <w:pStyle w:val="BlockText"/>
        <w:numPr>
          <w:ilvl w:val="0"/>
          <w:numId w:val="1001"/>
        </w:numPr>
      </w:pPr>
      <w:r>
        <w:rPr>
          <w:lang w:val="fr-FR"/>
        </w:rPr>
        <w:t xml:space="preserve">l’</w:t>
      </w:r>
      <w:r>
        <w:rPr>
          <w:b/>
          <w:bCs/>
          <w:lang w:val="fr-FR"/>
        </w:rPr>
        <w:t xml:space="preserve">EHCVM</w:t>
      </w:r>
      <w:r>
        <w:rPr>
          <w:lang w:val="fr-FR"/>
        </w:rPr>
        <w:t xml:space="preserve"> </w:t>
      </w:r>
      <w:r>
        <w:rPr>
          <w:lang w:val="fr-FR"/>
        </w:rPr>
        <w:t xml:space="preserve">tient le cadre de résultats — la valeur 2021, la cible 2030, les points</w:t>
      </w:r>
      <w:r>
        <w:rPr>
          <w:lang w:val="fr-FR"/>
        </w:rPr>
        <w:t xml:space="preserve"> </w:t>
      </w:r>
      <w:r>
        <w:rPr>
          <w:lang w:val="fr-FR"/>
        </w:rPr>
        <w:t xml:space="preserve">d’étape ;</w:t>
      </w:r>
    </w:p>
    <w:p>
      <w:pPr>
        <w:pStyle w:val="BlockText"/>
        <w:numPr>
          <w:ilvl w:val="0"/>
          <w:numId w:val="1001"/>
        </w:numPr>
      </w:pPr>
      <w:r>
        <w:rPr>
          <w:lang w:val="fr-FR"/>
        </w:rPr>
        <w:t xml:space="preserve">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RGPH</w:t>
      </w:r>
      <w:r>
        <w:rPr>
          <w:lang w:val="fr-FR"/>
        </w:rPr>
        <w:t xml:space="preserve"> </w:t>
      </w:r>
      <w:r>
        <w:rPr>
          <w:lang w:val="fr-FR"/>
        </w:rPr>
        <w:t xml:space="preserve">tient la carte et le registre — où investir, quels ménages servir ;</w:t>
      </w:r>
    </w:p>
    <w:p>
      <w:pPr>
        <w:pStyle w:val="BlockText"/>
        <w:numPr>
          <w:ilvl w:val="0"/>
          <w:numId w:val="1001"/>
        </w:numPr>
      </w:pPr>
      <w:r>
        <w:rPr>
          <w:lang w:val="fr-FR"/>
        </w:rPr>
        <w:t xml:space="preserve">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variante harmonisée</w:t>
      </w:r>
      <w:r>
        <w:rPr>
          <w:lang w:val="fr-FR"/>
        </w:rPr>
        <w:t xml:space="preserve"> </w:t>
      </w:r>
      <w:r>
        <w:rPr>
          <w:lang w:val="fr-FR"/>
        </w:rPr>
        <w:t xml:space="preserve">fait le pont, et le fait bien : à indicateurs identiques,</w:t>
      </w:r>
      <w:r>
        <w:rPr>
          <w:lang w:val="fr-FR"/>
        </w:rPr>
        <w:t xml:space="preserve"> </w:t>
      </w:r>
      <w:r>
        <w:rPr>
          <w:lang w:val="fr-FR"/>
        </w:rPr>
        <w:t xml:space="preserve">les deux sources donnent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2737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m:oMath>
        <m:r>
          <m:t>0</m:t>
        </m:r>
        <m:r>
          <m:rPr>
            <m:sty m:val="p"/>
          </m:rPr>
          <m:t>,</m:t>
        </m:r>
        <m:r>
          <m:t>2680</m:t>
        </m:r>
      </m:oMath>
      <w:r>
        <w:rPr>
          <w:lang w:val="fr-FR"/>
        </w:rPr>
        <w:t xml:space="preserve">, soit 2 % d’écart.</w:t>
      </w:r>
    </w:p>
    <w:bookmarkStart w:id="9" w:name="deux-questions-pas-une"/>
    <w:p>
      <w:pPr>
        <w:pStyle w:val="Heading1"/>
      </w:pPr>
      <w:r>
        <w:rPr>
          <w:lang w:val="fr-FR"/>
        </w:rPr>
        <w:t xml:space="preserve">Deux questions, pas une</w:t>
      </w:r>
    </w:p>
    <w:p>
      <w:pPr>
        <w:pStyle w:val="FirstParagraph"/>
      </w:pPr>
      <w:r>
        <w:rPr>
          <w:lang w:val="fr-FR"/>
        </w:rPr>
        <w:t xml:space="preserve">Le PND 2026-2030 pose au statisticien deux questions de nature différente, et l’essentiel de la</w:t>
      </w:r>
      <w:r>
        <w:rPr>
          <w:lang w:val="fr-FR"/>
        </w:rPr>
        <w:t xml:space="preserve"> </w:t>
      </w:r>
      <w:r>
        <w:rPr>
          <w:lang w:val="fr-FR"/>
        </w:rPr>
        <w:t xml:space="preserve">comparaison tient à ce qu’aucune source ne répond bien aux deux.</w:t>
      </w:r>
    </w:p>
    <w:p>
      <w:pPr>
        <w:pStyle w:val="DefinitionTerm"/>
      </w:pPr>
      <w:r>
        <w:rPr>
          <w:lang w:val="fr-FR"/>
        </w:rPr>
        <w:t xml:space="preserve">Mesurer.</w:t>
      </w:r>
    </w:p>
    <w:p>
      <w:pPr>
        <w:pStyle w:val="Definition"/>
      </w:pPr>
      <w:r>
        <w:rPr>
          <w:i/>
          <w:iCs/>
          <w:lang w:val="fr-FR"/>
        </w:rPr>
        <w:t xml:space="preserve">Où en est-on, et où en sera-t-on en 2030 ?</w:t>
      </w:r>
      <w:r>
        <w:rPr>
          <w:lang w:val="fr-FR"/>
        </w:rPr>
        <w:t xml:space="preserve"> </w:t>
      </w:r>
      <w:r>
        <w:rPr>
          <w:lang w:val="fr-FR"/>
        </w:rPr>
        <w:t xml:space="preserve">Le plan fixe des cibles</w:t>
      </w:r>
      <w:r>
        <w:rPr>
          <w:lang w:val="fr-FR"/>
        </w:rPr>
        <w:t xml:space="preserve"> </w:t>
      </w:r>
      <w:r>
        <w:rPr>
          <w:lang w:val="fr-FR"/>
        </w:rPr>
        <w:t xml:space="preserve">chiffrées, pilier par pilier, avec une valeur de départ et une valeur d’arrivée. Y répondre</w:t>
      </w:r>
      <w:r>
        <w:rPr>
          <w:lang w:val="fr-FR"/>
        </w:rPr>
        <w:t xml:space="preserve"> </w:t>
      </w:r>
      <w:r>
        <w:rPr>
          <w:lang w:val="fr-FR"/>
        </w:rPr>
        <w:t xml:space="preserve">demande un indicateur dont le contenu recoupe ces cibles, et qui puisse être recalculé en cours</w:t>
      </w:r>
      <w:r>
        <w:rPr>
          <w:lang w:val="fr-FR"/>
        </w:rPr>
        <w:t xml:space="preserve"> </w:t>
      </w:r>
      <w:r>
        <w:rPr>
          <w:lang w:val="fr-FR"/>
        </w:rPr>
        <w:t xml:space="preserve">de plan.</w:t>
      </w:r>
    </w:p>
    <w:p>
      <w:pPr>
        <w:pStyle w:val="DefinitionTerm"/>
      </w:pPr>
      <w:r>
        <w:rPr>
          <w:lang w:val="fr-FR"/>
        </w:rPr>
        <w:t xml:space="preserve">Cibler.</w:t>
      </w:r>
    </w:p>
    <w:p>
      <w:pPr>
        <w:pStyle w:val="Definition"/>
      </w:pPr>
      <w:r>
        <w:rPr>
          <w:i/>
          <w:iCs/>
          <w:lang w:val="fr-FR"/>
        </w:rPr>
        <w:t xml:space="preserve">Où faut-il investir, et quels ménages faut-il servir ?</w:t>
      </w:r>
      <w:r>
        <w:rPr>
          <w:lang w:val="fr-FR"/>
        </w:rPr>
        <w:t xml:space="preserve"> </w:t>
      </w:r>
      <w:r>
        <w:rPr>
          <w:lang w:val="fr-FR"/>
        </w:rPr>
        <w:t xml:space="preserve">Le Pilier 5 veut</w:t>
      </w:r>
      <w:r>
        <w:rPr>
          <w:lang w:val="fr-FR"/>
        </w:rPr>
        <w:t xml:space="preserve"> </w:t>
      </w:r>
      <w:r>
        <w:rPr>
          <w:lang w:val="fr-FR"/>
        </w:rPr>
        <w:t xml:space="preserve">une « cartographie fine » pour ses Pôles Économiques Compétitifs, le Pilier 6 un « registre</w:t>
      </w:r>
      <w:r>
        <w:rPr>
          <w:lang w:val="fr-FR"/>
        </w:rPr>
        <w:t xml:space="preserve"> </w:t>
      </w:r>
      <w:r>
        <w:rPr>
          <w:lang w:val="fr-FR"/>
        </w:rPr>
        <w:t xml:space="preserve">social unifié », le Pilier 4 une liste de 827 000 ménages. Y répondre demande une base</w:t>
      </w:r>
      <w:r>
        <w:rPr>
          <w:lang w:val="fr-FR"/>
        </w:rPr>
        <w:t xml:space="preserve"> </w:t>
      </w:r>
      <w:r>
        <w:rPr>
          <w:lang w:val="fr-FR"/>
        </w:rPr>
        <w:t xml:space="preserve">exhaustive, ou au moins une maille territoriale très fine.</w:t>
      </w:r>
    </w:p>
    <w:p>
      <w:pPr>
        <w:pStyle w:val="BlockText"/>
      </w:pPr>
      <w:r>
        <w:rPr>
          <w:b/>
          <w:bCs/>
          <w:lang w:val="fr-FR"/>
        </w:rPr>
        <w:t xml:space="preserve">Le partage naturel</w:t>
      </w:r>
    </w:p>
    <w:p>
      <w:pPr>
        <w:pStyle w:val="BlockText"/>
      </w:pPr>
      <w:r>
        <w:rPr>
          <w:lang w:val="fr-FR"/>
        </w:rPr>
        <w:t xml:space="preserve">Une enquête par sondage est faite pour mesurer : questionnaire long, indicateurs riches, répétée</w:t>
      </w:r>
      <w:r>
        <w:rPr>
          <w:lang w:val="fr-FR"/>
        </w:rPr>
        <w:t xml:space="preserve"> </w:t>
      </w:r>
      <w:r>
        <w:rPr>
          <w:lang w:val="fr-FR"/>
        </w:rPr>
        <w:t xml:space="preserve">dans le temps. Un recensement est fait pour dénombrer : questionnaire court, indicateurs pauvres,</w:t>
      </w:r>
      <w:r>
        <w:rPr>
          <w:lang w:val="fr-FR"/>
        </w:rPr>
        <w:t xml:space="preserve"> </w:t>
      </w:r>
      <w:r>
        <w:rPr>
          <w:lang w:val="fr-FR"/>
        </w:rPr>
        <w:t xml:space="preserve">mais exhaustif et localisé. Le PND a besoin des deux, et la comparaison qui suit ne fait que le</w:t>
      </w:r>
      <w:r>
        <w:rPr>
          <w:lang w:val="fr-FR"/>
        </w:rPr>
        <w:t xml:space="preserve"> </w:t>
      </w:r>
      <w:r>
        <w:rPr>
          <w:lang w:val="fr-FR"/>
        </w:rPr>
        <w:t xml:space="preserve">chiffrer.</w:t>
      </w:r>
    </w:p>
    <w:bookmarkEnd w:id="9"/>
    <w:bookmarkStart w:id="12" w:name="couverture-des-cibles-du-pnd"/>
    <w:p>
      <w:pPr>
        <w:pStyle w:val="Heading1"/>
      </w:pPr>
      <w:r>
        <w:rPr>
          <w:lang w:val="fr-FR"/>
        </w:rPr>
        <w:t xml:space="preserve">Couverture des cibles du PND</w:t>
      </w:r>
    </w:p>
    <w:bookmarkStart w:id="10" w:name="le-décompte"/>
    <w:p>
      <w:pPr>
        <w:pStyle w:val="Heading2"/>
      </w:pPr>
      <w:r>
        <w:rPr>
          <w:lang w:val="fr-FR"/>
        </w:rPr>
        <w:t xml:space="preserve">Le décompte</w:t>
      </w:r>
    </w:p>
    <w:p>
      <w:pPr>
        <w:pStyle w:val="FirstParagraph"/>
      </w:pPr>
      <w:r>
        <w:rPr>
          <w:lang w:val="fr-FR"/>
        </w:rPr>
        <w:t xml:space="preserve">Vingt-deux cibles et orientations du PND peuvent être éclairées par un indice de pauvreté. Le</w:t>
      </w:r>
      <w:r>
        <w:rPr>
          <w:lang w:val="fr-FR"/>
        </w:rPr>
        <w:t xml:space="preserve"> </w:t>
      </w:r>
      <w:r>
        <w:rPr>
          <w:lang w:val="fr-FR"/>
        </w:rPr>
        <w:t xml:space="preserve">tableau ci-dessous en donne la couverture par source.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Nature de la prise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EHCVM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RGPH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Directe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Approchée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Indirecte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Partielle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Opérationnelle (ciblage)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Aucune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8</w:t>
            </w:r>
          </w:p>
        </w:tc>
      </w:tr>
    </w:tbl>
    <w:p>
      <w:pPr>
        <w:pStyle w:val="BlockText"/>
      </w:pPr>
      <w:r>
        <w:rPr>
          <w:b/>
          <w:bCs/>
          <w:lang w:val="fr-FR"/>
        </w:rPr>
        <w:t xml:space="preserve">Attention — Ce tableau flatte l’EHCVM, et il faut savoir pourquoi</w:t>
      </w:r>
    </w:p>
    <w:p>
      <w:pPr>
        <w:pStyle w:val="BlockText"/>
      </w:pPr>
      <w:r>
        <w:rPr>
          <w:lang w:val="fr-FR"/>
        </w:rPr>
        <w:t xml:space="preserve">Il compte des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cibles</w:t>
      </w:r>
      <w:r>
        <w:rPr>
          <w:lang w:val="fr-FR"/>
        </w:rPr>
        <w:t xml:space="preserve">, or plusieurs cibles retombent sur le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même</w:t>
      </w:r>
      <w:r>
        <w:rPr>
          <w:lang w:val="fr-FR"/>
        </w:rPr>
        <w:t xml:space="preserve"> </w:t>
      </w:r>
      <w:r>
        <w:rPr>
          <w:lang w:val="fr-FR"/>
        </w:rPr>
        <w:t xml:space="preserve">indicateur : les deux</w:t>
      </w:r>
      <w:r>
        <w:rPr>
          <w:lang w:val="fr-FR"/>
        </w:rPr>
        <w:t xml:space="preserve"> </w:t>
      </w:r>
      <w:r>
        <w:rPr>
          <w:lang w:val="fr-FR"/>
        </w:rPr>
        <w:t xml:space="preserve">cibles d’analphabétisme sur l’indicateur d’alphabétisation, les deux cibles de couverture sociale</w:t>
      </w:r>
      <w:r>
        <w:rPr>
          <w:lang w:val="fr-FR"/>
        </w:rPr>
        <w:t xml:space="preserve"> </w:t>
      </w:r>
      <w:r>
        <w:rPr>
          <w:lang w:val="fr-FR"/>
        </w:rPr>
        <w:t xml:space="preserve">sur l’indicateur d’assurance maladie. En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indicateurs distincts</w:t>
      </w:r>
      <w:r>
        <w:rPr>
          <w:lang w:val="fr-FR"/>
        </w:rPr>
        <w:t xml:space="preserve"> </w:t>
      </w:r>
      <w:r>
        <w:rPr>
          <w:lang w:val="fr-FR"/>
        </w:rPr>
        <w:t xml:space="preserve">à prise directe, le compte</w:t>
      </w:r>
      <w:r>
        <w:rPr>
          <w:lang w:val="fr-FR"/>
        </w:rPr>
        <w:t xml:space="preserve"> </w:t>
      </w:r>
      <w:r>
        <w:rPr>
          <w:lang w:val="fr-FR"/>
        </w:rPr>
        <w:t xml:space="preserve">passe de 11 contre 7 à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9 contre 6</w:t>
      </w:r>
      <w:r>
        <w:rPr>
          <w:lang w:val="fr-FR"/>
        </w:rPr>
        <w:t xml:space="preserve">.</w:t>
      </w:r>
    </w:p>
    <w:p>
      <w:pPr>
        <w:pStyle w:val="BlockText"/>
      </w:pPr>
      <w:r>
        <w:rPr>
          <w:lang w:val="fr-FR"/>
        </w:rPr>
        <w:t xml:space="preserve">Il récompense en outre mécaniquement la source la mieux dotée : l’EHCVM porte seize indicateurs, le</w:t>
      </w:r>
      <w:r>
        <w:rPr>
          <w:lang w:val="fr-FR"/>
        </w:rPr>
        <w:t xml:space="preserve"> </w:t>
      </w:r>
      <w:r>
        <w:rPr>
          <w:lang w:val="fr-FR"/>
        </w:rPr>
        <w:t xml:space="preserve">RGPH treize. Ce n’est pas un résultat, c’est une propriété du questionnaire.</w:t>
      </w:r>
    </w:p>
    <w:p>
      <w:pPr>
        <w:pStyle w:val="BlockText"/>
      </w:pPr>
      <w:r>
        <w:rPr>
          <w:b/>
          <w:bCs/>
          <w:lang w:val="fr-FR"/>
        </w:rPr>
        <w:t xml:space="preserve">L’écart réel se ramène à trois indicateurs</w:t>
      </w:r>
      <w:r>
        <w:rPr>
          <w:lang w:val="fr-FR"/>
        </w:rPr>
        <w:t xml:space="preserve"> </w:t>
      </w:r>
      <w:r>
        <w:rPr>
          <w:lang w:val="fr-FR"/>
        </w:rPr>
        <w:t xml:space="preserve">: l’assurance maladie, le renoncement aux soins,</w:t>
      </w:r>
      <w:r>
        <w:rPr>
          <w:lang w:val="fr-FR"/>
        </w:rPr>
        <w:t xml:space="preserve"> </w:t>
      </w:r>
      <w:r>
        <w:rPr>
          <w:lang w:val="fr-FR"/>
        </w:rPr>
        <w:t xml:space="preserve">et l’année de scolarité mesurée exactement plutôt qu’approchée par le diplôme. Deux sur trois sont</w:t>
      </w:r>
      <w:r>
        <w:rPr>
          <w:lang w:val="fr-FR"/>
        </w:rPr>
        <w:t xml:space="preserve"> </w:t>
      </w:r>
      <w:r>
        <w:rPr>
          <w:lang w:val="fr-FR"/>
        </w:rPr>
        <w:t xml:space="preserve">des indicateurs de santé — c’est là, et seulement là, que se joue l’avantage de l’enquête.</w:t>
      </w:r>
    </w:p>
    <w:bookmarkEnd w:id="10"/>
    <w:bookmarkStart w:id="11" w:name="les-cibles-que-lune-seule-mesure"/>
    <w:p>
      <w:pPr>
        <w:pStyle w:val="Heading2"/>
      </w:pPr>
      <w:r>
        <w:rPr>
          <w:lang w:val="fr-FR"/>
        </w:rPr>
        <w:t xml:space="preserve">Les cibles que l’une seule mesure</w:t>
      </w:r>
    </w:p>
    <w:p>
      <w:pPr>
        <w:pStyle w:val="FirstParagraph"/>
      </w:pPr>
      <w:r>
        <w:rPr>
          <w:lang w:val="fr-FR"/>
        </w:rPr>
        <w:t xml:space="preserve">C’est là que se joue l’essentiel. Onze cibles sont couvertes par une source et pas par</w:t>
      </w:r>
      <w:r>
        <w:rPr>
          <w:lang w:val="fr-FR"/>
        </w:rPr>
        <w:t xml:space="preserve"> </w:t>
      </w:r>
      <w:r>
        <w:rPr>
          <w:lang w:val="fr-FR"/>
        </w:rPr>
        <w:t xml:space="preserve">l’autre : sept par la seule EHCVM, quatre par le seul RGPH.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Cible ou orientation du PND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fr-FR"/>
              </w:rPr>
              <w:t xml:space="preserve">EHCVM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fr-FR"/>
              </w:rPr>
              <w:t xml:space="preserve">RGPH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Enrôlés à la CMU de 20 à 30 millions (P. 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fr-FR"/>
              </w:rP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Protection sociale de 27 à 50 % (P. 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fr-FR"/>
              </w:rP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Population à moins de 5 km d’un centre de santé, 82 à 100 % (P. 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fr-FR"/>
              </w:rP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Retard de croissance des moins de 5 ans, 21,4 à 18 % (P. 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fr-FR"/>
              </w:rP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Désagrégation par sexe du chef de ménage (P. 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fr-FR"/>
              </w:rP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non</w:t>
            </w:r>
            <w:r>
              <w:rPr>
                <w:vertAlign w:val="superscript"/>
                <w:lang w:val="fr-FR"/>
              </w:rP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Habitat décent : densité d’occupation (P. 5)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fr-FR"/>
              </w:rP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Croisement avec la pauvreté monétaire (objectif général)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fr-FR"/>
              </w:rPr>
              <w:t xml:space="preserve">oui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Espérance de vie de 62,3 à 65 ans (P. 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fr-FR"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Pôles Économiques Compétitifs, villes secondaires (P. 5)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fr-FR"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Registre social unifié pour le ciblage (P. 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fr-FR"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000 ménages bénéficiaires des filets sociaux (P. 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lang w:val="fr-FR"/>
              </w:rPr>
              <w:t xml:space="preserve">oui</w:t>
            </w:r>
          </w:p>
        </w:tc>
      </w:tr>
    </w:tbl>
    <w:p>
      <w:pPr>
        <w:pStyle w:val="BodyText"/>
      </w:pPr>
      <w:r>
        <w:rPr>
          <w:vertAlign w:val="superscript"/>
          <w:lang w:val="fr-FR"/>
        </w:rPr>
        <w:t xml:space="preserve">*</w:t>
      </w:r>
      <w:r>
        <w:rPr>
          <w:lang w:val="fr-FR"/>
        </w:rPr>
        <w:t xml:space="preserve">Le sexe est absent de l’</w:t>
      </w:r>
      <w:r>
        <w:rPr>
          <w:i/>
          <w:iCs/>
          <w:lang w:val="fr-FR"/>
        </w:rPr>
        <w:t xml:space="preserve">extrait</w:t>
      </w:r>
      <w:r>
        <w:rPr>
          <w:lang w:val="fr-FR"/>
        </w:rPr>
        <w:t xml:space="preserve"> </w:t>
      </w:r>
      <w:r>
        <w:rPr>
          <w:lang w:val="fr-FR"/>
        </w:rPr>
        <w:t xml:space="preserve">RGPH transmis, non du</w:t>
      </w:r>
      <w:r>
        <w:rPr>
          <w:lang w:val="fr-FR"/>
        </w:rPr>
        <w:t xml:space="preserve"> </w:t>
      </w:r>
      <w:r>
        <w:rPr>
          <w:lang w:val="fr-FR"/>
        </w:rPr>
        <w:t xml:space="preserve">recensement : la numérotation des questions y passe de P16 à P18, la question P17 manquant. Une</w:t>
      </w:r>
      <w:r>
        <w:rPr>
          <w:lang w:val="fr-FR"/>
        </w:rPr>
        <w:t xml:space="preserve"> </w:t>
      </w:r>
      <w:r>
        <w:rPr>
          <w:lang w:val="fr-FR"/>
        </w:rPr>
        <w:t xml:space="preserve">demande à l’INS lèverait cette limite. Et dans les deux sources, désagréger par sexe du chef de</w:t>
      </w:r>
      <w:r>
        <w:rPr>
          <w:lang w:val="fr-FR"/>
        </w:rPr>
        <w:t xml:space="preserve"> </w:t>
      </w:r>
      <w:r>
        <w:rPr>
          <w:lang w:val="fr-FR"/>
        </w:rPr>
        <w:t xml:space="preserve">ménage éclaire la cible « indice de l’écart genre » sans la mesurer — c’est un indice composite</w:t>
      </w:r>
      <w:r>
        <w:rPr>
          <w:lang w:val="fr-FR"/>
        </w:rPr>
        <w:t xml:space="preserve"> </w:t>
      </w:r>
      <w:r>
        <w:rPr>
          <w:lang w:val="fr-FR"/>
        </w:rPr>
        <w:t xml:space="preserve">couvrant l’emploi, l’éducation, la santé et la représentation politique.</w:t>
      </w:r>
    </w:p>
    <w:p>
      <w:pPr>
        <w:pStyle w:val="BlockText"/>
      </w:pPr>
      <w:r>
        <w:rPr>
          <w:b/>
          <w:bCs/>
          <w:lang w:val="fr-FR"/>
        </w:rPr>
        <w:t xml:space="preserve">Lecture</w:t>
      </w:r>
    </w:p>
    <w:p>
      <w:pPr>
        <w:pStyle w:val="BlockText"/>
      </w:pPr>
      <w:r>
        <w:rPr>
          <w:lang w:val="fr-FR"/>
        </w:rPr>
        <w:t xml:space="preserve">L’EHCVM gagne sur 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contenu</w:t>
      </w:r>
      <w:r>
        <w:rPr>
          <w:lang w:val="fr-FR"/>
        </w:rPr>
        <w:t xml:space="preserve"> </w:t>
      </w:r>
      <w:r>
        <w:rPr>
          <w:lang w:val="fr-FR"/>
        </w:rPr>
        <w:t xml:space="preserve">du Pilier 4 : les cibles santé et nutrition, que le</w:t>
      </w:r>
      <w:r>
        <w:rPr>
          <w:lang w:val="fr-FR"/>
        </w:rPr>
        <w:t xml:space="preserve"> </w:t>
      </w:r>
      <w:r>
        <w:rPr>
          <w:lang w:val="fr-FR"/>
        </w:rPr>
        <w:t xml:space="preserve">recensement ne peut pas approcher parce qu’il ne pose aucune question de santé.</w:t>
      </w:r>
    </w:p>
    <w:p>
      <w:pPr>
        <w:pStyle w:val="BlockText"/>
      </w:pPr>
      <w:r>
        <w:rPr>
          <w:lang w:val="fr-FR"/>
        </w:rPr>
        <w:t xml:space="preserve">Le RGPH gagne sur les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instruments</w:t>
      </w:r>
      <w:r>
        <w:rPr>
          <w:lang w:val="fr-FR"/>
        </w:rPr>
        <w:t xml:space="preserve"> </w:t>
      </w:r>
      <w:r>
        <w:rPr>
          <w:lang w:val="fr-FR"/>
        </w:rPr>
        <w:t xml:space="preserve">des Piliers 5 et 6 : la cartographie, le registre, le</w:t>
      </w:r>
      <w:r>
        <w:rPr>
          <w:lang w:val="fr-FR"/>
        </w:rPr>
        <w:t xml:space="preserve"> </w:t>
      </w:r>
      <w:r>
        <w:rPr>
          <w:lang w:val="fr-FR"/>
        </w:rPr>
        <w:t xml:space="preserve">ciblage — trois orientations qui ne sont pas des cibles chiffrées mais des dispositifs à</w:t>
      </w:r>
      <w:r>
        <w:rPr>
          <w:lang w:val="fr-FR"/>
        </w:rPr>
        <w:t xml:space="preserve"> </w:t>
      </w:r>
      <w:r>
        <w:rPr>
          <w:lang w:val="fr-FR"/>
        </w:rPr>
        <w:t xml:space="preserve">construire, et qu’une enquête par sondage ne peut pas alimenter.</w:t>
      </w:r>
    </w:p>
    <w:bookmarkEnd w:id="11"/>
    <w:bookmarkEnd w:id="12"/>
    <w:bookmarkStart w:id="13" w:name="Xfcb2bd6911079cbb2917fd96ebb7c13741a8675"/>
    <w:p>
      <w:pPr>
        <w:pStyle w:val="Heading1"/>
      </w:pPr>
      <w:r>
        <w:rPr>
          <w:lang w:val="fr-FR"/>
        </w:rPr>
        <w:t xml:space="preserve">La finesse territoriale : l’écart est massif</w:t>
      </w:r>
    </w:p>
    <w:p>
      <w:pPr>
        <w:pStyle w:val="FirstParagraph"/>
      </w:pPr>
      <w:r>
        <w:rPr>
          <w:lang w:val="fr-FR"/>
        </w:rPr>
        <w:t xml:space="preserve">Le Pilier 5 entend « une répartition optimale et équitable des investissements publics et privés »</w:t>
      </w:r>
      <w:r>
        <w:rPr>
          <w:lang w:val="fr-FR"/>
        </w:rPr>
        <w:t xml:space="preserve"> </w:t>
      </w:r>
      <w:r>
        <w:rPr>
          <w:lang w:val="fr-FR"/>
        </w:rPr>
        <w:t xml:space="preserve">fondée sur une « cartographie fine ». La question est donc : à quelle maille chaque source</w:t>
      </w:r>
      <w:r>
        <w:rPr>
          <w:lang w:val="fr-FR"/>
        </w:rPr>
        <w:t xml:space="preserve"> </w:t>
      </w:r>
      <w:r>
        <w:rPr>
          <w:lang w:val="fr-FR"/>
        </w:rPr>
        <w:t xml:space="preserve">produit-elle un chiffre publiable ?</w:t>
      </w:r>
    </w:p>
    <w:p>
      <w:pPr>
        <w:pStyle w:val="BodyText"/>
      </w:pPr>
      <w:r>
        <w:rPr>
          <w:lang w:val="fr-FR"/>
        </w:rPr>
        <w:t xml:space="preserve">Convention usuelle : une estimation dont le coefficient de variation dépasse 20 % n’est pas</w:t>
      </w:r>
      <w:r>
        <w:rPr>
          <w:lang w:val="fr-FR"/>
        </w:rPr>
        <w:t xml:space="preserve"> </w:t>
      </w:r>
      <w:r>
        <w:rPr>
          <w:lang w:val="fr-FR"/>
        </w:rPr>
        <w:t xml:space="preserve">publiable.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lang w:val="fr-FR"/>
              </w:rPr>
              <w:t xml:space="preserve">EHCVM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lang w:val="fr-FR"/>
              </w:rPr>
              <w:t xml:space="preserve">RGPH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2-3</w:t>
            </w:r>
            <w:r>
              <w:rPr>
                <w:lang w:val="fr-FR"/>
              </w:rPr>
              <w:t xml:space="preserve">(lr)</w:t>
            </w:r>
            <w:r>
              <w:rPr>
                <w:lang w:val="fr-FR"/>
              </w:rPr>
              <w:t xml:space="preserve">4-5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Maille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Modalités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Non publ.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Modalités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Non publ.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Région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Département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Sous-préfecture ou commune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19</w:t>
            </w:r>
          </w:p>
        </w:tc>
      </w:tr>
    </w:tbl>
    <w:p>
      <w:pPr>
        <w:pStyle w:val="BlockText"/>
      </w:pPr>
      <w:r>
        <w:rPr>
          <w:b/>
          <w:bCs/>
          <w:lang w:val="fr-FR"/>
        </w:rPr>
        <w:t xml:space="preserve">Attention — Le chiffre qui tranche le Pilier 5</w:t>
      </w:r>
    </w:p>
    <w:p>
      <w:pPr>
        <w:pStyle w:val="BlockText"/>
      </w:pPr>
      <w:r>
        <w:rPr>
          <w:lang w:val="fr-FR"/>
        </w:rPr>
        <w:t xml:space="preserve">Les 92 sous-préfectures non publiables de l’EHCVM représentent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47,9 % de la population</w:t>
      </w:r>
      <w:r>
        <w:rPr>
          <w:lang w:val="fr-FR"/>
        </w:rPr>
        <w:t xml:space="preserve"> </w:t>
      </w:r>
      <w:r>
        <w:rPr>
          <w:lang w:val="fr-FR"/>
        </w:rPr>
        <w:t xml:space="preserve">ivoirienne. Les 19 du RGPH en représentent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1,55 %</w:t>
      </w:r>
      <w:r>
        <w:rPr>
          <w:lang w:val="fr-FR"/>
        </w:rPr>
        <w:t xml:space="preserve">.</w:t>
      </w:r>
    </w:p>
    <w:p>
      <w:pPr>
        <w:pStyle w:val="BlockText"/>
      </w:pPr>
      <w:r>
        <w:rPr>
          <w:lang w:val="fr-FR"/>
        </w:rPr>
        <w:t xml:space="preserve">Autrement dit : fonder une allocation d’investissements à la maille de la sous-préfecture sur</w:t>
      </w:r>
      <w:r>
        <w:rPr>
          <w:lang w:val="fr-FR"/>
        </w:rPr>
        <w:t xml:space="preserve"> </w:t>
      </w:r>
      <w:r>
        <w:rPr>
          <w:lang w:val="fr-FR"/>
        </w:rPr>
        <w:t xml:space="preserve">l’EHCVM reviendrait à ne rien pouvoir dire, de façon publiable, sur la moitié du pays. Le</w:t>
      </w:r>
      <w:r>
        <w:rPr>
          <w:lang w:val="fr-FR"/>
        </w:rPr>
        <w:t xml:space="preserve"> </w:t>
      </w:r>
      <w:r>
        <w:rPr>
          <w:lang w:val="fr-FR"/>
        </w:rPr>
        <w:t xml:space="preserve">recensement ramène cette zone d’ombre à un cinquantième.</w:t>
      </w:r>
    </w:p>
    <w:p>
      <w:pPr>
        <w:pStyle w:val="FirstParagraph"/>
      </w:pPr>
      <w:r>
        <w:rPr>
          <w:lang w:val="fr-FR"/>
        </w:rPr>
        <w:t xml:space="preserve">Le coefficient de variation médian donne la même lecture en continu : 15,4 % contre 9,0 % à la</w:t>
      </w:r>
      <w:r>
        <w:rPr>
          <w:lang w:val="fr-FR"/>
        </w:rPr>
        <w:t xml:space="preserve"> </w:t>
      </w:r>
      <w:r>
        <w:rPr>
          <w:lang w:val="fr-FR"/>
        </w:rPr>
        <w:t xml:space="preserve">sous-préfecture, 12,3 % contre 5,0 % au département.</w:t>
      </w:r>
    </w:p>
    <w:bookmarkEnd w:id="13"/>
    <w:bookmarkStart w:id="14" w:name="X441b10ab155f4379dd3f81f3a9af6fc61285447"/>
    <w:p>
      <w:pPr>
        <w:pStyle w:val="Heading1"/>
      </w:pPr>
      <w:r>
        <w:rPr>
          <w:lang w:val="fr-FR"/>
        </w:rPr>
        <w:t xml:space="preserve">Le suivi dans le temps : l’écart est tout aussi massif, en sens inverse</w:t>
      </w:r>
    </w:p>
    <w:p>
      <w:pPr>
        <w:pStyle w:val="BlockText"/>
      </w:pPr>
      <w:r>
        <w:rPr>
          <w:b/>
          <w:bCs/>
          <w:lang w:val="fr-FR"/>
        </w:rPr>
        <w:t xml:space="preserve">Attention — Le recensement ne dira pas si le PND a réussi</w:t>
      </w:r>
    </w:p>
    <w:p>
      <w:pPr>
        <w:pStyle w:val="BlockText"/>
      </w:pPr>
      <w:r>
        <w:rPr>
          <w:lang w:val="fr-FR"/>
        </w:rPr>
        <w:t xml:space="preserve">Le RGPH est décennal : le prochain n’interviendra pas avant la fin du plan. L’IPM RGPH fournit une</w:t>
      </w:r>
      <w:r>
        <w:rPr>
          <w:lang w:val="fr-FR"/>
        </w:rPr>
        <w:t xml:space="preserve"> </w:t>
      </w:r>
      <w:r>
        <w:rPr>
          <w:lang w:val="fr-FR"/>
        </w:rPr>
        <w:t xml:space="preserve">valeur de départ, très détaillée, mais aucune évolution.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Ce point est certain.</w:t>
      </w:r>
    </w:p>
    <w:p>
      <w:pPr>
        <w:pStyle w:val="BlockText"/>
      </w:pPr>
      <w:r>
        <w:rPr>
          <w:lang w:val="fr-FR"/>
        </w:rPr>
        <w:t xml:space="preserve">L’EHCVM est une enquête répétée — 2018, puis 2021. Le rythme passé laisse attendre une vague dans</w:t>
      </w:r>
      <w:r>
        <w:rPr>
          <w:lang w:val="fr-FR"/>
        </w:rPr>
        <w:t xml:space="preserve"> </w:t>
      </w:r>
      <w:r>
        <w:rPr>
          <w:lang w:val="fr-FR"/>
        </w:rPr>
        <w:t xml:space="preserve">l’intervalle du plan, mais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aucune programmation n’a été vérifiée ici</w:t>
      </w:r>
      <w:r>
        <w:rPr>
          <w:lang w:val="fr-FR"/>
        </w:rPr>
        <w:t xml:space="preserve"> </w:t>
      </w:r>
      <w:r>
        <w:rPr>
          <w:lang w:val="fr-FR"/>
        </w:rPr>
        <w:t xml:space="preserve">: l’argument « seule</w:t>
      </w:r>
      <w:r>
        <w:rPr>
          <w:lang w:val="fr-FR"/>
        </w:rPr>
        <w:t xml:space="preserve"> </w:t>
      </w:r>
      <w:r>
        <w:rPr>
          <w:lang w:val="fr-FR"/>
        </w:rPr>
        <w:t xml:space="preserve">l’EHCVM permettra le suivi » suppose cette vague et doit être confirmé auprès de l’INS avant d’être</w:t>
      </w:r>
      <w:r>
        <w:rPr>
          <w:lang w:val="fr-FR"/>
        </w:rPr>
        <w:t xml:space="preserve"> </w:t>
      </w:r>
      <w:r>
        <w:rPr>
          <w:lang w:val="fr-FR"/>
        </w:rPr>
        <w:t xml:space="preserve">avancé devant une instance de décision.</w:t>
      </w:r>
    </w:p>
    <w:p>
      <w:pPr>
        <w:pStyle w:val="FirstParagraph"/>
      </w:pPr>
      <w:r>
        <w:rPr>
          <w:lang w:val="fr-FR"/>
        </w:rPr>
        <w:t xml:space="preserve">Pour un plan quinquennal assorti de cibles datées, c’est un argument qui ne se compense pas : un</w:t>
      </w:r>
      <w:r>
        <w:rPr>
          <w:lang w:val="fr-FR"/>
        </w:rPr>
        <w:t xml:space="preserve"> </w:t>
      </w:r>
      <w:r>
        <w:rPr>
          <w:lang w:val="fr-FR"/>
        </w:rPr>
        <w:t xml:space="preserve">indice qu’on ne peut recalculer qu’une fois n’est pas un indicateur de suivi.</w:t>
      </w:r>
    </w:p>
    <w:bookmarkEnd w:id="14"/>
    <w:bookmarkStart w:id="16" w:name="ce-que-les-deux-mesurent-également-bien"/>
    <w:p>
      <w:pPr>
        <w:pStyle w:val="Heading1"/>
      </w:pPr>
      <w:r>
        <w:rPr>
          <w:lang w:val="fr-FR"/>
        </w:rPr>
        <w:t xml:space="preserve">Ce que les deux mesurent également bien</w:t>
      </w:r>
    </w:p>
    <w:p>
      <w:pPr>
        <w:pStyle w:val="FirstParagraph"/>
      </w:pPr>
      <w:r>
        <w:rPr>
          <w:lang w:val="fr-FR"/>
        </w:rPr>
        <w:t xml:space="preserve">Sept indicateurs sont communs aux deux sources avec une définition quasi identique. Les taux de</w:t>
      </w:r>
      <w:r>
        <w:rPr>
          <w:lang w:val="fr-FR"/>
        </w:rPr>
        <w:t xml:space="preserve"> </w:t>
      </w:r>
      <w:r>
        <w:rPr>
          <w:lang w:val="fr-FR"/>
        </w:rPr>
        <w:t xml:space="preserve">privation se suivent de près, ce qui valide les deux calculs l’un par l’autre.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Indicateur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EHCVM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RGPH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Commentaire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Année de scolarité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62,9 %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63,2 %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le diplôme approche bien les années d’études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Énergie de cuisson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66,3 %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62,7 %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Emploi de subsistance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40,5 %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46,0 %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approximation côté RGPH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Fréquentation scolaire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31,9 %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35,6 %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Biens d’équipement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21,7 %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18,2 %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le RGPH mesure les 8 biens, l’EHCVM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Logement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17,3 %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25,0 %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nomenclatures de matériaux différentes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Électricité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9,3 %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11,5 %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Chômage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6,5 %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5,9 %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Eau potable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20,9 %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14,3 %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le RGPH perd le temps de trajet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Toilette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67,2 %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45,1 %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le RGPH perd le partage des sanitaires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Alphabétisation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62,9 %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70,4 %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État civil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26,3 %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15,2 %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—</w:t>
            </w:r>
          </w:p>
        </w:tc>
      </w:tr>
    </w:tbl>
    <w:bookmarkStart w:id="15" w:name="X47df7c81921e471785c93df5fcf1929ea22af66"/>
    <w:p>
      <w:pPr>
        <w:pStyle w:val="Heading2"/>
      </w:pPr>
      <w:r>
        <w:rPr>
          <w:lang w:val="fr-FR"/>
        </w:rPr>
        <w:t xml:space="preserve">Le test de cohérence : la variante harmonisée</w:t>
      </w:r>
    </w:p>
    <w:p>
      <w:pPr>
        <w:pStyle w:val="FirstParagraph"/>
      </w:pPr>
      <w:r>
        <w:rPr>
          <w:lang w:val="fr-FR"/>
        </w:rPr>
        <w:t xml:space="preserve">Le pipeline produit, pour chaque source, une variante restreinte au socle des douze indicateurs</w:t>
      </w:r>
      <w:r>
        <w:rPr>
          <w:lang w:val="fr-FR"/>
        </w:rPr>
        <w:t xml:space="preserve"> </w:t>
      </w:r>
      <w:r>
        <w:rPr>
          <w:lang w:val="fr-FR"/>
        </w:rPr>
        <w:t xml:space="preserve">communs. C’est la seule comparaison légitime entre les deux.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m:oMath>
              <m:r>
                <m:t>H</m:t>
              </m:r>
            </m:oMath>
            <w:r>
              <w:rPr>
                <w:lang w:val="fr-FR"/>
              </w:rP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rPr>
                <w:lang w:val="fr-FR"/>
              </w:rP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lang w:val="fr-FR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EHCVM 2021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53,5 %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0,5113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0,2737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RGPH 2021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52,0 %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0,5157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0,2680</w:t>
            </w:r>
          </w:p>
        </w:tc>
      </w:tr>
    </w:tbl>
    <w:p>
      <w:pPr>
        <w:pStyle w:val="BlockText"/>
      </w:pPr>
      <w:r>
        <w:rPr>
          <w:b/>
          <w:bCs/>
          <w:lang w:val="fr-FR"/>
        </w:rPr>
        <w:t xml:space="preserve">Un résultat qui compte pour le PND</w:t>
      </w:r>
    </w:p>
    <w:p>
      <w:pPr>
        <w:pStyle w:val="BlockText"/>
      </w:pPr>
      <w:r>
        <w:rPr>
          <w:lang w:val="fr-FR"/>
        </w:rPr>
        <w:t xml:space="preserve">À indicateurs identiques, une enquête par sondage et un recensement exhaustif, collectés la même</w:t>
      </w:r>
      <w:r>
        <w:rPr>
          <w:lang w:val="fr-FR"/>
        </w:rPr>
        <w:t xml:space="preserve"> </w:t>
      </w:r>
      <w:r>
        <w:rPr>
          <w:lang w:val="fr-FR"/>
        </w:rPr>
        <w:t xml:space="preserve">année par deux dispositifs entièrement différents, donnent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2 % d’écart</w:t>
      </w:r>
      <w:r>
        <w:rPr>
          <w:lang w:val="fr-FR"/>
        </w:rPr>
        <w:t xml:space="preserve">.</w:t>
      </w:r>
    </w:p>
    <w:p>
      <w:pPr>
        <w:pStyle w:val="BlockText"/>
      </w:pPr>
      <w:r>
        <w:rPr>
          <w:lang w:val="fr-FR"/>
        </w:rPr>
        <w:t xml:space="preserve">Conséquence pratique : la carte territoriale du recensement et le tableau de bord de l’enquête</w:t>
      </w:r>
      <w:r>
        <w:rPr>
          <w:lang w:val="fr-FR"/>
        </w:rPr>
        <w:t xml:space="preserve"> </w:t>
      </w:r>
      <w:r>
        <w:rPr>
          <w:lang w:val="fr-FR"/>
        </w:rPr>
        <w:t xml:space="preserve">peuvent être utilisés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ensemble</w:t>
      </w:r>
      <w:r>
        <w:rPr>
          <w:lang w:val="fr-FR"/>
        </w:rPr>
        <w:t xml:space="preserve"> </w:t>
      </w:r>
      <w:r>
        <w:rPr>
          <w:lang w:val="fr-FR"/>
        </w:rPr>
        <w:t xml:space="preserve">sans craindre qu’ils racontent deux histoires différentes.</w:t>
      </w:r>
      <w:r>
        <w:rPr>
          <w:lang w:val="fr-FR"/>
        </w:rPr>
        <w:t xml:space="preserve"> </w:t>
      </w:r>
      <w:r>
        <w:rPr>
          <w:lang w:val="fr-FR"/>
        </w:rPr>
        <w:t xml:space="preserve">C’est ce qui rend l’architecture recommandée ci-dessous opérationnelle et non seulement</w:t>
      </w:r>
      <w:r>
        <w:rPr>
          <w:lang w:val="fr-FR"/>
        </w:rPr>
        <w:t xml:space="preserve"> </w:t>
      </w:r>
      <w:r>
        <w:rPr>
          <w:lang w:val="fr-FR"/>
        </w:rPr>
        <w:t xml:space="preserve">théorique.</w:t>
      </w:r>
    </w:p>
    <w:bookmarkEnd w:id="15"/>
    <w:bookmarkEnd w:id="16"/>
    <w:bookmarkStart w:id="19" w:name="le-verdict"/>
    <w:p>
      <w:pPr>
        <w:pStyle w:val="Heading1"/>
      </w:pPr>
      <w:r>
        <w:rPr>
          <w:lang w:val="fr-FR"/>
        </w:rPr>
        <w:t xml:space="preserve">Le verdict</w:t>
      </w:r>
    </w:p>
    <w:bookmarkStart w:id="17" w:name="lequel-est-le-plus-aligné"/>
    <w:p>
      <w:pPr>
        <w:pStyle w:val="Heading2"/>
      </w:pPr>
      <w:r>
        <w:rPr>
          <w:lang w:val="fr-FR"/>
        </w:rPr>
        <w:t xml:space="preserve">Lequel est le plus aligné ?</w:t>
      </w:r>
    </w:p>
    <w:p>
      <w:pPr>
        <w:pStyle w:val="FirstParagraph"/>
      </w:pPr>
      <w:r>
        <w:rPr>
          <w:b/>
          <w:bCs/>
          <w:lang w:val="fr-FR"/>
        </w:rPr>
        <w:t xml:space="preserve">L’IPM EHCVM</w:t>
      </w:r>
      <w:r>
        <w:rPr>
          <w:lang w:val="fr-FR"/>
        </w:rPr>
        <w:t xml:space="preserve">, et pour trois raisons qui se cumulent.</w:t>
      </w:r>
    </w:p>
    <w:p>
      <w:pPr>
        <w:numPr>
          <w:ilvl w:val="0"/>
          <w:numId w:val="1002"/>
        </w:numPr>
      </w:pPr>
      <w:r>
        <w:rPr>
          <w:b/>
          <w:bCs/>
          <w:lang w:val="fr-FR"/>
        </w:rPr>
        <w:t xml:space="preserve">Il couvre le cœur du Pilier 4</w:t>
      </w:r>
      <w:r>
        <w:rPr>
          <w:lang w:val="fr-FR"/>
        </w:rPr>
        <w:t xml:space="preserve">, le pilier du capital humain, où se concentrent les</w:t>
      </w:r>
      <w:r>
        <w:rPr>
          <w:lang w:val="fr-FR"/>
        </w:rPr>
        <w:t xml:space="preserve"> </w:t>
      </w:r>
      <w:r>
        <w:rPr>
          <w:lang w:val="fr-FR"/>
        </w:rPr>
        <w:t xml:space="preserve">cibles sociales du plan. Les cibles santé et nutrition — CMU, protection sociale, accès</w:t>
      </w:r>
      <w:r>
        <w:rPr>
          <w:lang w:val="fr-FR"/>
        </w:rPr>
        <w:t xml:space="preserve"> </w:t>
      </w:r>
      <w:r>
        <w:rPr>
          <w:lang w:val="fr-FR"/>
        </w:rPr>
        <w:t xml:space="preserve">aux soins — sont hors de portée du recensement, qui ne pose aucune question de santé.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C’est l’argument principal, et le seul qui soit hors de discussion.</w:t>
      </w:r>
    </w:p>
    <w:p>
      <w:pPr>
        <w:numPr>
          <w:ilvl w:val="0"/>
          <w:numId w:val="1002"/>
        </w:numPr>
      </w:pPr>
      <w:r>
        <w:rPr>
          <w:b/>
          <w:bCs/>
          <w:lang w:val="fr-FR"/>
        </w:rPr>
        <w:t xml:space="preserve">Il porte la consommation</w:t>
      </w:r>
      <w:r>
        <w:rPr>
          <w:lang w:val="fr-FR"/>
        </w:rPr>
        <w:t xml:space="preserve">, donc permet de croiser pauvreté monétaire et</w:t>
      </w:r>
      <w:r>
        <w:rPr>
          <w:lang w:val="fr-FR"/>
        </w:rPr>
        <w:t xml:space="preserve"> </w:t>
      </w:r>
      <w:r>
        <w:rPr>
          <w:lang w:val="fr-FR"/>
        </w:rPr>
        <w:t xml:space="preserve">multidimensionnelle — ce que l’objectif général du plan appelle, et que le recensement ne</w:t>
      </w:r>
      <w:r>
        <w:rPr>
          <w:lang w:val="fr-FR"/>
        </w:rPr>
        <w:t xml:space="preserve"> </w:t>
      </w:r>
      <w:r>
        <w:rPr>
          <w:lang w:val="fr-FR"/>
        </w:rPr>
        <w:t xml:space="preserve">permet pas.</w:t>
      </w:r>
    </w:p>
    <w:p>
      <w:pPr>
        <w:numPr>
          <w:ilvl w:val="0"/>
          <w:numId w:val="1002"/>
        </w:numPr>
      </w:pPr>
      <w:r>
        <w:rPr>
          <w:b/>
          <w:bCs/>
          <w:lang w:val="fr-FR"/>
        </w:rPr>
        <w:t xml:space="preserve">Il est actualisable en principe</w:t>
      </w:r>
      <w:r>
        <w:rPr>
          <w:lang w:val="fr-FR"/>
        </w:rPr>
        <w:t xml:space="preserve">, étant une enquête répétée, là où le recensement</w:t>
      </w:r>
      <w:r>
        <w:rPr>
          <w:lang w:val="fr-FR"/>
        </w:rPr>
        <w:t xml:space="preserve"> </w:t>
      </w:r>
      <w:r>
        <w:rPr>
          <w:lang w:val="fr-FR"/>
        </w:rPr>
        <w:t xml:space="preserve">décennal ne le sera pas avant 2031. Le calendrier précis de la prochaine vague reste à</w:t>
      </w:r>
      <w:r>
        <w:rPr>
          <w:lang w:val="fr-FR"/>
        </w:rPr>
        <w:t xml:space="preserve"> </w:t>
      </w:r>
      <w:r>
        <w:rPr>
          <w:lang w:val="fr-FR"/>
        </w:rPr>
        <w:t xml:space="preserve">confirmer.</w:t>
      </w:r>
    </w:p>
    <w:p>
      <w:pPr>
        <w:pStyle w:val="FirstParagraph"/>
      </w:pPr>
      <w:r>
        <w:rPr>
          <w:lang w:val="fr-FR"/>
        </w:rPr>
        <w:t xml:space="preserve">Un quatrième argument est souvent avancé — « il couvre onze cibles contre sept » —</w:t>
      </w:r>
      <w:r>
        <w:rPr>
          <w:lang w:val="fr-FR"/>
        </w:rPr>
        <w:t xml:space="preserve"> </w:t>
      </w:r>
      <w:r>
        <w:rPr>
          <w:lang w:val="fr-FR"/>
        </w:rPr>
        <w:t xml:space="preserve">mais il ne résiste pas à l’examen : ramené aux indicateurs distincts, l’écart est de neuf contre</w:t>
      </w:r>
      <w:r>
        <w:rPr>
          <w:lang w:val="fr-FR"/>
        </w:rPr>
        <w:t xml:space="preserve"> </w:t>
      </w:r>
      <w:r>
        <w:rPr>
          <w:lang w:val="fr-FR"/>
        </w:rPr>
        <w:t xml:space="preserve">six, et il se réduit aux trois indicateurs cités plus haut.</w:t>
      </w:r>
    </w:p>
    <w:bookmarkEnd w:id="17"/>
    <w:bookmarkStart w:id="18" w:name="lequel-aide-le-mieux"/>
    <w:p>
      <w:pPr>
        <w:pStyle w:val="Heading2"/>
      </w:pPr>
      <w:r>
        <w:rPr>
          <w:lang w:val="fr-FR"/>
        </w:rPr>
        <w:t xml:space="preserve">Lequel aide le mieux ?</w:t>
      </w:r>
    </w:p>
    <w:p>
      <w:pPr>
        <w:pStyle w:val="FirstParagraph"/>
      </w:pPr>
      <w:r>
        <w:rPr>
          <w:b/>
          <w:bCs/>
          <w:lang w:val="fr-FR"/>
        </w:rPr>
        <w:t xml:space="preserve">Cela dépend de ce qu’on appelle aider</w:t>
      </w:r>
      <w:r>
        <w:rPr>
          <w:lang w:val="fr-FR"/>
        </w:rPr>
        <w:t xml:space="preserve">, et la réponse honnête est qu’ils aident à deux</w:t>
      </w:r>
      <w:r>
        <w:rPr>
          <w:lang w:val="fr-FR"/>
        </w:rPr>
        <w:t xml:space="preserve"> </w:t>
      </w:r>
      <w:r>
        <w:rPr>
          <w:lang w:val="fr-FR"/>
        </w:rPr>
        <w:t xml:space="preserve">moments différents du cycle de la politique publique.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Ce que le PND demande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Cadrer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fixer la cible de pauvreté à 2030, que le plan a laissée en blanc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EHCVM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Répartir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allouer les investissements du Pilier 5 entre territoires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RGPH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Cibler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constituer le registre social unifié, servir 827 000 ménages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RGPH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Suivre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mesurer les progrès à mi-parcours et en 2030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EHCVM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Rendre compte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documenter l’atteinte des cibles du cadre de résultats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EHCVM</w:t>
            </w:r>
          </w:p>
        </w:tc>
      </w:tr>
    </w:tbl>
    <w:p>
      <w:pPr>
        <w:pStyle w:val="BlockText"/>
      </w:pPr>
      <w:r>
        <w:rPr>
          <w:b/>
          <w:bCs/>
          <w:lang w:val="fr-FR"/>
        </w:rPr>
        <w:t xml:space="preserve">Attention — Ce que choisir une seule source coûterait</w:t>
      </w:r>
    </w:p>
    <w:p>
      <w:pPr>
        <w:pStyle w:val="BlockText"/>
      </w:pPr>
      <w:r>
        <w:rPr>
          <w:b/>
          <w:bCs/>
          <w:lang w:val="fr-FR"/>
        </w:rPr>
        <w:t xml:space="preserve">Ne garder que l’EHCVM</w:t>
      </w:r>
      <w:r>
        <w:rPr>
          <w:lang w:val="fr-FR"/>
        </w:rPr>
        <w:t xml:space="preserve"> </w:t>
      </w:r>
      <w:r>
        <w:rPr>
          <w:lang w:val="fr-FR"/>
        </w:rPr>
        <w:t xml:space="preserve">: le Pilier 5 perdrait sa base statistique — près de la moitié de</w:t>
      </w:r>
      <w:r>
        <w:rPr>
          <w:lang w:val="fr-FR"/>
        </w:rPr>
        <w:t xml:space="preserve"> </w:t>
      </w:r>
      <w:r>
        <w:rPr>
          <w:lang w:val="fr-FR"/>
        </w:rPr>
        <w:t xml:space="preserve">la population dans une zone dont l’IPM n’est pas publiable — et le registre social unifié du</w:t>
      </w:r>
      <w:r>
        <w:rPr>
          <w:lang w:val="fr-FR"/>
        </w:rPr>
        <w:t xml:space="preserve"> </w:t>
      </w:r>
      <w:r>
        <w:rPr>
          <w:lang w:val="fr-FR"/>
        </w:rPr>
        <w:t xml:space="preserve">Pilier 6 devrait être construit sans information de privation.</w:t>
      </w:r>
    </w:p>
    <w:p>
      <w:pPr>
        <w:pStyle w:val="BlockText"/>
      </w:pPr>
      <w:r>
        <w:rPr>
          <w:b/>
          <w:bCs/>
          <w:lang w:val="fr-FR"/>
        </w:rPr>
        <w:t xml:space="preserve">Ne garder que le RGPH</w:t>
      </w:r>
      <w:r>
        <w:rPr>
          <w:lang w:val="fr-FR"/>
        </w:rPr>
        <w:t xml:space="preserve"> </w:t>
      </w:r>
      <w:r>
        <w:rPr>
          <w:lang w:val="fr-FR"/>
        </w:rPr>
        <w:t xml:space="preserve">: le plan perdrait toute mesure de la santé, de la nutrition, de la</w:t>
      </w:r>
      <w:r>
        <w:rPr>
          <w:lang w:val="fr-FR"/>
        </w:rPr>
        <w:t xml:space="preserve"> </w:t>
      </w:r>
      <w:r>
        <w:rPr>
          <w:lang w:val="fr-FR"/>
        </w:rPr>
        <w:t xml:space="preserve">protection sociale et du genre, c’est-à-dire la plus grande partie des cibles sociales du Pilier 4,</w:t>
      </w:r>
      <w:r>
        <w:rPr>
          <w:lang w:val="fr-FR"/>
        </w:rPr>
        <w:t xml:space="preserve"> </w:t>
      </w:r>
      <w:r>
        <w:rPr>
          <w:lang w:val="fr-FR"/>
        </w:rPr>
        <w:t xml:space="preserve">et n’aurait aucun moyen de constater ses progrès avant 2031.</w:t>
      </w:r>
    </w:p>
    <w:bookmarkEnd w:id="18"/>
    <w:bookmarkEnd w:id="19"/>
    <w:bookmarkStart w:id="22" w:name="architecture-recommandée"/>
    <w:p>
      <w:pPr>
        <w:pStyle w:val="Heading1"/>
      </w:pPr>
      <w:r>
        <w:rPr>
          <w:lang w:val="fr-FR"/>
        </w:rPr>
        <w:t xml:space="preserve">Architecture recommandée</w:t>
      </w:r>
    </w:p>
    <w:bookmarkStart w:id="20" w:name="les-trois-rôles"/>
    <w:p>
      <w:pPr>
        <w:pStyle w:val="Heading2"/>
      </w:pPr>
      <w:r>
        <w:rPr>
          <w:lang w:val="fr-FR"/>
        </w:rPr>
        <w:t xml:space="preserve">Les trois rôles</w:t>
      </w:r>
    </w:p>
    <w:p>
      <w:pPr>
        <w:pStyle w:val="DefinitionTerm"/>
      </w:pPr>
      <w:r>
        <w:rPr>
          <w:lang w:val="fr-FR"/>
        </w:rPr>
        <w:t xml:space="preserve">L’EHCVM tient le cadre de résultats.</w:t>
      </w:r>
    </w:p>
    <w:p>
      <w:pPr>
        <w:pStyle w:val="Definition"/>
      </w:pP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2863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en 2021 devient la valeur de</w:t>
      </w:r>
      <w:r>
        <w:rPr>
          <w:lang w:val="fr-FR"/>
        </w:rPr>
        <w:t xml:space="preserve"> </w:t>
      </w:r>
      <w:r>
        <w:rPr>
          <w:lang w:val="fr-FR"/>
        </w:rPr>
        <w:t xml:space="preserve">départ ; une cible 2030 est fixée, comblant la seule absence de valeur chiffrée parmi les</w:t>
      </w:r>
      <w:r>
        <w:rPr>
          <w:lang w:val="fr-FR"/>
        </w:rPr>
        <w:t xml:space="preserve"> </w:t>
      </w:r>
      <w:r>
        <w:rPr>
          <w:lang w:val="fr-FR"/>
        </w:rPr>
        <w:t xml:space="preserve">objectifs majeurs du plan ; onze cibles sectorielles sont suivies sur une série unique et</w:t>
      </w:r>
      <w:r>
        <w:rPr>
          <w:lang w:val="fr-FR"/>
        </w:rPr>
        <w:t xml:space="preserve"> </w:t>
      </w:r>
      <w:r>
        <w:rPr>
          <w:lang w:val="fr-FR"/>
        </w:rPr>
        <w:t xml:space="preserve">cohérente plutôt que sur onze statistiques éparses.</w:t>
      </w:r>
    </w:p>
    <w:p>
      <w:pPr>
        <w:pStyle w:val="DefinitionTerm"/>
      </w:pPr>
      <w:r>
        <w:rPr>
          <w:lang w:val="fr-FR"/>
        </w:rPr>
        <w:t xml:space="preserve">Le RGPH tient la carte et le registre.</w:t>
      </w:r>
    </w:p>
    <w:p>
      <w:pPr>
        <w:pStyle w:val="Definition"/>
      </w:pPr>
      <w:r>
        <w:rPr>
          <w:lang w:val="fr-FR"/>
        </w:rPr>
        <w:t xml:space="preserve">Un IPM publiable pour 111 départements et 500</w:t>
      </w:r>
      <w:r>
        <w:rPr>
          <w:lang w:val="fr-FR"/>
        </w:rPr>
        <w:t xml:space="preserve"> </w:t>
      </w:r>
      <w:r>
        <w:rPr>
          <w:lang w:val="fr-FR"/>
        </w:rPr>
        <w:t xml:space="preserve">sous-préfectures fonde la planification spatiale du Pilier 5. Les 5,6 millions de ménages, dont</w:t>
      </w:r>
      <w:r>
        <w:rPr>
          <w:lang w:val="fr-FR"/>
        </w:rPr>
        <w:t xml:space="preserve"> </w:t>
      </w:r>
      <w:r>
        <w:rPr>
          <w:lang w:val="fr-FR"/>
        </w:rPr>
        <w:t xml:space="preserve">1 751 746 pauvres et 285 115 en pauvreté sévère, chacun avec son score et sa localisation,</w:t>
      </w:r>
      <w:r>
        <w:rPr>
          <w:lang w:val="fr-FR"/>
        </w:rPr>
        <w:t xml:space="preserve"> </w:t>
      </w:r>
      <w:r>
        <w:rPr>
          <w:lang w:val="fr-FR"/>
        </w:rPr>
        <w:t xml:space="preserve">fondent le registre social du Pilier 6 et le ciblage des filets sociaux.</w:t>
      </w:r>
    </w:p>
    <w:p>
      <w:pPr>
        <w:pStyle w:val="DefinitionTerm"/>
      </w:pPr>
      <w:r>
        <w:rPr>
          <w:lang w:val="fr-FR"/>
        </w:rPr>
        <w:t xml:space="preserve">La variante harmonisée fait le pont.</w:t>
      </w:r>
    </w:p>
    <w:p>
      <w:pPr>
        <w:pStyle w:val="Definition"/>
      </w:pPr>
      <w:r>
        <w:rPr>
          <w:lang w:val="fr-FR"/>
        </w:rPr>
        <w:t xml:space="preserve">Elle garantit que les deux instruments parlent de la</w:t>
      </w:r>
      <w:r>
        <w:rPr>
          <w:lang w:val="fr-FR"/>
        </w:rPr>
        <w:t xml:space="preserve"> </w:t>
      </w:r>
      <w:r>
        <w:rPr>
          <w:lang w:val="fr-FR"/>
        </w:rPr>
        <w:t xml:space="preserve">même chose. Elle sert aussi de contrôle : si un futur IPM EHCVM s’écartait fortement de la</w:t>
      </w:r>
      <w:r>
        <w:rPr>
          <w:lang w:val="fr-FR"/>
        </w:rPr>
        <w:t xml:space="preserve"> </w:t>
      </w:r>
      <w:r>
        <w:rPr>
          <w:lang w:val="fr-FR"/>
        </w:rPr>
        <w:t xml:space="preserve">trajectoire, la comparaison harmonisée dirait s’il s’agit d’un effet réel ou d’un artefact de</w:t>
      </w:r>
      <w:r>
        <w:rPr>
          <w:lang w:val="fr-FR"/>
        </w:rPr>
        <w:t xml:space="preserve"> </w:t>
      </w:r>
      <w:r>
        <w:rPr>
          <w:lang w:val="fr-FR"/>
        </w:rPr>
        <w:t xml:space="preserve">mesure.</w:t>
      </w:r>
    </w:p>
    <w:bookmarkEnd w:id="20"/>
    <w:bookmarkStart w:id="21" w:name="ce-quil-reste-à-faire"/>
    <w:p>
      <w:pPr>
        <w:pStyle w:val="Heading2"/>
      </w:pPr>
      <w:r>
        <w:rPr>
          <w:lang w:val="fr-FR"/>
        </w:rPr>
        <w:t xml:space="preserve">Ce qu’il reste à faire</w:t>
      </w:r>
    </w:p>
    <w:p>
      <w:pPr>
        <w:numPr>
          <w:ilvl w:val="0"/>
          <w:numId w:val="1003"/>
        </w:numPr>
      </w:pPr>
      <w:r>
        <w:rPr>
          <w:b/>
          <w:bCs/>
          <w:lang w:val="fr-FR"/>
        </w:rPr>
        <w:t xml:space="preserve">Faire adopter une cible d’IPM à 2030</w:t>
      </w:r>
      <w:r>
        <w:rPr>
          <w:lang w:val="fr-FR"/>
        </w:rPr>
        <w:t xml:space="preserve"> </w:t>
      </w:r>
      <w:r>
        <w:rPr>
          <w:lang w:val="fr-FR"/>
        </w:rPr>
        <w:t xml:space="preserve">dans le cadre de gouvernance du PND. C’est la</w:t>
      </w:r>
      <w:r>
        <w:rPr>
          <w:lang w:val="fr-FR"/>
        </w:rPr>
        <w:t xml:space="preserve"> </w:t>
      </w:r>
      <w:r>
        <w:rPr>
          <w:lang w:val="fr-FR"/>
        </w:rPr>
        <w:t xml:space="preserve">seule action qui transforme un travail statistique en instrument de pilotage.</w:t>
      </w:r>
    </w:p>
    <w:p>
      <w:pPr>
        <w:numPr>
          <w:ilvl w:val="0"/>
          <w:numId w:val="1003"/>
        </w:numPr>
      </w:pPr>
      <w:r>
        <w:rPr>
          <w:b/>
          <w:bCs/>
          <w:lang w:val="fr-FR"/>
        </w:rPr>
        <w:t xml:space="preserve">Publier la carte RGPH</w:t>
      </w:r>
      <w:r>
        <w:rPr>
          <w:lang w:val="fr-FR"/>
        </w:rPr>
        <w:t xml:space="preserve"> </w:t>
      </w:r>
      <w:r>
        <w:rPr>
          <w:lang w:val="fr-FR"/>
        </w:rPr>
        <w:t xml:space="preserve">à la maille du département et de la sous-préfecture, en</w:t>
      </w:r>
      <w:r>
        <w:rPr>
          <w:lang w:val="fr-FR"/>
        </w:rPr>
        <w:t xml:space="preserve"> </w:t>
      </w:r>
      <w:r>
        <w:rPr>
          <w:lang w:val="fr-FR"/>
        </w:rPr>
        <w:t xml:space="preserve">signalant les 19 sous-préfectures non publiables.</w:t>
      </w:r>
    </w:p>
    <w:p>
      <w:pPr>
        <w:numPr>
          <w:ilvl w:val="0"/>
          <w:numId w:val="1003"/>
        </w:numPr>
      </w:pPr>
      <w:r>
        <w:rPr>
          <w:b/>
          <w:bCs/>
          <w:lang w:val="fr-FR"/>
        </w:rPr>
        <w:t xml:space="preserve">Arbitrer les deux points méthodologiques ouverts</w:t>
      </w:r>
      <w:r>
        <w:rPr>
          <w:lang w:val="fr-FR"/>
        </w:rPr>
        <w:t xml:space="preserve"> </w:t>
      </w:r>
      <w:r>
        <w:rPr>
          <w:lang w:val="fr-FR"/>
        </w:rPr>
        <w:t xml:space="preserve">avant toute publication : le taux</w:t>
      </w:r>
      <w:r>
        <w:rPr>
          <w:lang w:val="fr-FR"/>
        </w:rPr>
        <w:t xml:space="preserve"> </w:t>
      </w:r>
      <w:r>
        <w:rPr>
          <w:lang w:val="fr-FR"/>
        </w:rPr>
        <w:t xml:space="preserve">de privation de la toilette au RGPH, non réconcilié avec la production Stata antérieure, et</w:t>
      </w:r>
      <w:r>
        <w:rPr>
          <w:lang w:val="fr-FR"/>
        </w:rPr>
        <w:t xml:space="preserve"> </w:t>
      </w:r>
      <w:r>
        <w:rPr>
          <w:lang w:val="fr-FR"/>
        </w:rPr>
        <w:t xml:space="preserve">l’approximation de l’emploi agricole de subsistance, qui porte à elle seule 26,8 % de</w:t>
      </w:r>
      <w:r>
        <w:rPr>
          <w:lang w:val="fr-FR"/>
        </w:rPr>
        <w:t xml:space="preserve"> </w:t>
      </w:r>
      <w:r>
        <w:rPr>
          <w:lang w:val="fr-FR"/>
        </w:rPr>
        <w:t xml:space="preserve">l’indice RGPH.</w:t>
      </w:r>
    </w:p>
    <w:p>
      <w:pPr>
        <w:numPr>
          <w:ilvl w:val="0"/>
          <w:numId w:val="1003"/>
        </w:numPr>
      </w:pPr>
      <w:r>
        <w:rPr>
          <w:b/>
          <w:bCs/>
          <w:lang w:val="fr-FR"/>
        </w:rPr>
        <w:t xml:space="preserve">Reprendre le croisement monétaire / multidimensionnel</w:t>
      </w:r>
      <w:r>
        <w:rPr>
          <w:lang w:val="fr-FR"/>
        </w:rPr>
        <w:t xml:space="preserve"> </w:t>
      </w:r>
      <w:r>
        <w:rPr>
          <w:lang w:val="fr-FR"/>
        </w:rPr>
        <w:t xml:space="preserve">sur la méthode officielle de</w:t>
      </w:r>
      <w:r>
        <w:rPr>
          <w:lang w:val="fr-FR"/>
        </w:rPr>
        <w:t xml:space="preserve"> </w:t>
      </w:r>
      <w:r>
        <w:rPr>
          <w:lang w:val="fr-FR"/>
        </w:rPr>
        <w:t xml:space="preserve">calcul du taux de pauvreté, pour documenter l’objectif général du plan.</w:t>
      </w:r>
    </w:p>
    <w:p>
      <w:pPr>
        <w:numPr>
          <w:ilvl w:val="0"/>
          <w:numId w:val="1003"/>
        </w:numPr>
      </w:pPr>
      <w:r>
        <w:rPr>
          <w:b/>
          <w:bCs/>
          <w:lang w:val="fr-FR"/>
        </w:rPr>
        <w:t xml:space="preserve">Prévoir le recalcul de l’IPM EHCVM</w:t>
      </w:r>
      <w:r>
        <w:rPr>
          <w:lang w:val="fr-FR"/>
        </w:rPr>
        <w:t xml:space="preserve"> </w:t>
      </w:r>
      <w:r>
        <w:rPr>
          <w:lang w:val="fr-FR"/>
        </w:rPr>
        <w:t xml:space="preserve">sur la prochaine vague d’enquête, aux mêmes</w:t>
      </w:r>
      <w:r>
        <w:rPr>
          <w:lang w:val="fr-FR"/>
        </w:rPr>
        <w:t xml:space="preserve"> </w:t>
      </w:r>
      <w:r>
        <w:rPr>
          <w:lang w:val="fr-FR"/>
        </w:rPr>
        <w:t xml:space="preserve">définitions — le pipeline le permet sans modification.</w:t>
      </w:r>
    </w:p>
    <w:bookmarkEnd w:id="21"/>
    <w:bookmarkEnd w:id="22"/>
    <w:bookmarkStart w:id="23" w:name="limites-de-cette-comparaison"/>
    <w:p>
      <w:pPr>
        <w:pStyle w:val="Heading1"/>
      </w:pPr>
      <w:r>
        <w:rPr>
          <w:lang w:val="fr-FR"/>
        </w:rPr>
        <w:t xml:space="preserve">Limites de cette comparaison</w:t>
      </w:r>
    </w:p>
    <w:p>
      <w:pPr>
        <w:numPr>
          <w:ilvl w:val="0"/>
          <w:numId w:val="1004"/>
        </w:numPr>
      </w:pPr>
      <w:r>
        <w:rPr>
          <w:b/>
          <w:bCs/>
          <w:lang w:val="fr-FR"/>
        </w:rPr>
        <w:t xml:space="preserve">Le décompte des cibles est un jugement, pas une mesure</w:t>
      </w:r>
      <w:r>
        <w:rPr>
          <w:lang w:val="fr-FR"/>
        </w:rPr>
        <w:t xml:space="preserve">, et il est biaisé en faveur</w:t>
      </w:r>
      <w:r>
        <w:rPr>
          <w:lang w:val="fr-FR"/>
        </w:rPr>
        <w:t xml:space="preserve"> </w:t>
      </w:r>
      <w:r>
        <w:rPr>
          <w:lang w:val="fr-FR"/>
        </w:rPr>
        <w:t xml:space="preserve">de la source la mieux dotée en indicateurs. Classer une prise en « directe », « approchée »</w:t>
      </w:r>
      <w:r>
        <w:rPr>
          <w:lang w:val="fr-FR"/>
        </w:rPr>
        <w:t xml:space="preserve"> </w:t>
      </w:r>
      <w:r>
        <w:rPr>
          <w:lang w:val="fr-FR"/>
        </w:rPr>
        <w:t xml:space="preserve">ou « indirecte » suppose d’apprécier la proximité entre un indicateur de ménage et une cible</w:t>
      </w:r>
      <w:r>
        <w:rPr>
          <w:lang w:val="fr-FR"/>
        </w:rPr>
        <w:t xml:space="preserve"> </w:t>
      </w:r>
      <w:r>
        <w:rPr>
          <w:lang w:val="fr-FR"/>
        </w:rPr>
        <w:t xml:space="preserve">souvent formulée en taux individuel. C’est pourquoi la conclusion de ce document ne repose</w:t>
      </w:r>
      <w:r>
        <w:rPr>
          <w:lang w:val="fr-FR"/>
        </w:rPr>
        <w:t xml:space="preserve"> </w:t>
      </w:r>
      <w:r>
        <w:rPr>
          <w:lang w:val="fr-FR"/>
        </w:rPr>
        <w:t xml:space="preserve">pas sur ce décompte mais sur l’absence de module de santé au recensement, qui est un fait.</w:t>
      </w:r>
    </w:p>
    <w:p>
      <w:pPr>
        <w:numPr>
          <w:ilvl w:val="0"/>
          <w:numId w:val="1004"/>
        </w:numPr>
      </w:pPr>
      <w:r>
        <w:rPr>
          <w:b/>
          <w:bCs/>
          <w:lang w:val="fr-FR"/>
        </w:rPr>
        <w:t xml:space="preserve">Le PND ne contient aucune cible d’IPM.</w:t>
      </w:r>
      <w:r>
        <w:rPr>
          <w:lang w:val="fr-FR"/>
        </w:rPr>
        <w:t xml:space="preserve"> </w:t>
      </w:r>
      <w:r>
        <w:rPr>
          <w:lang w:val="fr-FR"/>
        </w:rPr>
        <w:t xml:space="preserve">L’alignement établi ici est un alignement de</w:t>
      </w:r>
      <w:r>
        <w:rPr>
          <w:lang w:val="fr-FR"/>
        </w:rPr>
        <w:t xml:space="preserve"> </w:t>
      </w:r>
      <w:r>
        <w:rPr>
          <w:lang w:val="fr-FR"/>
        </w:rPr>
        <w:t xml:space="preserve">contenu. Rien dans le plan n’engage à retenir cet indice.</w:t>
      </w:r>
    </w:p>
    <w:p>
      <w:pPr>
        <w:numPr>
          <w:ilvl w:val="0"/>
          <w:numId w:val="1004"/>
        </w:numPr>
      </w:pPr>
      <w:r>
        <w:rPr>
          <w:b/>
          <w:bCs/>
          <w:lang w:val="fr-FR"/>
        </w:rPr>
        <w:t xml:space="preserve">Les deux IPM complets ne sont pas comparables en niveau</w:t>
      </w:r>
      <w:r>
        <w:rPr>
          <w:lang w:val="fr-FR"/>
        </w:rPr>
        <w:t xml:space="preserve">, la dimension Santé du</w:t>
      </w:r>
      <w:r>
        <w:rPr>
          <w:lang w:val="fr-FR"/>
        </w:rPr>
        <w:t xml:space="preserve"> </w:t>
      </w:r>
      <w:r>
        <w:rPr>
          <w:lang w:val="fr-FR"/>
        </w:rPr>
        <w:t xml:space="preserve">RGPH étant presque inerte. Toutes les comparaisons de niveau de ce document passent par la</w:t>
      </w:r>
      <w:r>
        <w:rPr>
          <w:lang w:val="fr-FR"/>
        </w:rPr>
        <w:t xml:space="preserve"> </w:t>
      </w:r>
      <w:r>
        <w:rPr>
          <w:lang w:val="fr-FR"/>
        </w:rPr>
        <w:t xml:space="preserve">variante harmonisée.</w:t>
      </w:r>
    </w:p>
    <w:p>
      <w:pPr>
        <w:numPr>
          <w:ilvl w:val="0"/>
          <w:numId w:val="1004"/>
        </w:numPr>
      </w:pPr>
      <w:r>
        <w:rPr>
          <w:b/>
          <w:bCs/>
          <w:lang w:val="fr-FR"/>
        </w:rPr>
        <w:t xml:space="preserve">Les cibles du PND ont des années de référence hétérogènes</w:t>
      </w:r>
      <w:r>
        <w:rPr>
          <w:lang w:val="fr-FR"/>
        </w:rPr>
        <w:t xml:space="preserve"> </w:t>
      </w:r>
      <w:r>
        <w:rPr>
          <w:lang w:val="fr-FR"/>
        </w:rPr>
        <w:t xml:space="preserve">(2021, 2023, 2024, 2025)</w:t>
      </w:r>
      <w:r>
        <w:rPr>
          <w:lang w:val="fr-FR"/>
        </w:rPr>
        <w:t xml:space="preserve"> </w:t>
      </w:r>
      <w:r>
        <w:rPr>
          <w:lang w:val="fr-FR"/>
        </w:rPr>
        <w:t xml:space="preserve">alors que les deux IPM sont datés de 2021. Les écarts à la cible ne sont donc pas des</w:t>
      </w:r>
      <w:r>
        <w:rPr>
          <w:lang w:val="fr-FR"/>
        </w:rPr>
        <w:t xml:space="preserve"> </w:t>
      </w:r>
      <w:r>
        <w:rPr>
          <w:lang w:val="fr-FR"/>
        </w:rPr>
        <w:t xml:space="preserve">écarts à la valeur de départ officielle.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EHCVM ou RGPH : quel IPM sert le mieux le PND 2026-2030 ? Analyse comparative et recommandation</dc:title>
  <dc:creator>Pipeline PythonIPM</dc:creator>
  <cp:keywords/>
  <dcterms:created xsi:type="dcterms:W3CDTF">2026-09-11T16:14:14Z</dcterms:created>
  <dcterms:modified xsi:type="dcterms:W3CDTF">2026-09-11T16:14:14Z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Deux indices de pauvreté multidimensionnelle ont été calculés pour la Côte d’Ivoire sur l’année 2021 : l’un sur l’EHCVM, enquête auprès de 12 965 ménages, l’autre sur le RGPH, recensement exhaustif de 5,6 millions de ménages. Ce document les confronte au Plan National de Développement 2026-2030 et tranche : lequel est le plus aligné, lequel aide le mieux, et comment les employer ensemble. Il suppose connus les deux documents d’analyse qui le précèdent, mais peut se lire seul.</vt:lpwstr>
  </property>
  <property fmtid="{D5CDD505-2E9C-101B-9397-08002B2CF9AE}" pid="3" name="date">
    <vt:lpwstr>Septembre 2026</vt:lpwstr>
  </property>
</Properties>
</file>