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lang w:val="fr-FR"/>
        </w:rPr>
        <w:t xml:space="preserve">L’IPM calculé sur l’EHCVM 2021 au service du PND 2026-2030</w:t>
      </w:r>
      <w:r>
        <w:br/>
      </w:r>
      <w:r>
        <w:rPr>
          <w:b/>
          <w:bCs/>
          <w:lang w:val="fr-FR"/>
        </w:rPr>
        <w:t xml:space="preserve">Analyse d’alignement</w:t>
      </w:r>
    </w:p>
    <w:p>
      <w:pPr>
        <w:pStyle w:val="Author"/>
      </w:pPr>
      <w:r>
        <w:rPr>
          <w:lang w:val="fr-FR"/>
        </w:rPr>
        <w:t xml:space="preserve">Pipeline</w:t>
      </w:r>
      <w:r>
        <w:rPr>
          <w:lang w:val="fr-FR"/>
        </w:rPr>
        <w:t xml:space="preserve"> </w:t>
      </w:r>
      <w:r>
        <w:rPr>
          <w:rStyle w:val="VerbatimChar"/>
          <w:lang w:val="fr-FR"/>
        </w:rPr>
        <w:t xml:space="preserve">PythonIPM</w:t>
      </w:r>
    </w:p>
    <w:p>
      <w:pPr>
        <w:pStyle w:val="Date"/>
      </w:pPr>
      <w:r>
        <w:rPr>
          <w:lang w:val="fr-FR"/>
        </w:rPr>
        <w:t xml:space="preserve">Septembre 2026</w:t>
      </w:r>
    </w:p>
    <w:p>
      <w:pPr>
        <w:pStyle w:val="AbstractTitle"/>
      </w:pPr>
      <w:r>
        <w:t xml:space="preserve">Abstract</w:t>
      </w:r>
    </w:p>
    <w:p>
      <w:pPr>
        <w:pStyle w:val="Abstract"/>
      </w:pPr>
      <w:r>
        <w:rPr>
          <w:lang w:val="fr-FR"/>
        </w:rPr>
        <w:t xml:space="preserve">Ce document confronte l’indice de pauvreté multidimensionnelle calculé sur l’EHCVM 2021</w:t>
      </w:r>
      <w:r>
        <w:rPr>
          <w:lang w:val="fr-FR"/>
        </w:rPr>
        <w:t xml:space="preserve"> </w:t>
      </w:r>
      <w:r>
        <w:rPr>
          <w:lang w:val="fr-FR"/>
        </w:rPr>
        <w:t xml:space="preserve">au Plan National de Développement 2026-2030. Il ne juge ni le plan ni l’indice : il établit, cible</w:t>
      </w:r>
      <w:r>
        <w:rPr>
          <w:lang w:val="fr-FR"/>
        </w:rPr>
        <w:t xml:space="preserve"> </w:t>
      </w:r>
      <w:r>
        <w:rPr>
          <w:lang w:val="fr-FR"/>
        </w:rPr>
        <w:t xml:space="preserve">par cible, ce que l’un permet de mesurer de l’autre, ce qu’il ne permet pas, et l’usage auquel il</w:t>
      </w:r>
      <w:r>
        <w:rPr>
          <w:lang w:val="fr-FR"/>
        </w:rPr>
        <w:t xml:space="preserve"> </w:t>
      </w:r>
      <w:r>
        <w:rPr>
          <w:lang w:val="fr-FR"/>
        </w:rPr>
        <w:t xml:space="preserve">se prête le mieux dans le dispositif de suivi du PND. Un document jumeau traite de l’IPM calculé</w:t>
      </w:r>
      <w:r>
        <w:rPr>
          <w:lang w:val="fr-FR"/>
        </w:rPr>
        <w:t xml:space="preserve"> </w:t>
      </w:r>
      <w:r>
        <w:rPr>
          <w:lang w:val="fr-FR"/>
        </w:rPr>
        <w:t xml:space="preserve">sur le RGPH 2021 ; un troisième les compare et conclut.</w:t>
      </w:r>
    </w:p>
    <w:sdt>
      <w:sdtPr>
        <w:docPartObj>
          <w:docPartGallery w:val="Table of Contents"/>
          <w:docPartUnique/>
        </w:docPartObj>
      </w:sdtPr>
      <w:sdtContent>
        <w:p>
          <w:pPr>
            <w:pStyle w:val="TOCHeading"/>
          </w:pPr>
          <w:r>
            <w:rPr>
              <w:lang w:val="fr-FR"/>
            </w:rPr>
            <w:t xml:space="preserve">Table of Contents</w:t>
          </w:r>
        </w:p>
        <w:p>
          <w:r>
            <w:fldChar w:fldCharType="begin" w:dirty="true"/>
            <w:instrText xml:space="preserve">TOC \o "1-2" \h \z \u</w:instrText>
            <w:fldChar w:fldCharType="separate"/>
            <w:fldChar w:fldCharType="end"/>
          </w:r>
        </w:p>
      </w:sdtContent>
    </w:sdt>
    <w:p>
      <w:pPr>
        <w:pStyle w:val="BlockText"/>
      </w:pPr>
      <w:r>
        <w:rPr>
          <w:b/>
          <w:bCs/>
          <w:lang w:val="fr-FR"/>
        </w:rPr>
        <w:t xml:space="preserve">La conclusion en cinq lignes</w:t>
      </w:r>
    </w:p>
    <w:p>
      <w:pPr>
        <w:pStyle w:val="BlockText"/>
        <w:numPr>
          <w:ilvl w:val="0"/>
          <w:numId w:val="1001"/>
        </w:numPr>
      </w:pPr>
      <w:r>
        <w:rPr>
          <w:lang w:val="fr-FR"/>
        </w:rPr>
        <w:t xml:space="preserve">L’avantage de l’EHCVM sur le recensement tient à</w:t>
      </w:r>
      <w:r>
        <w:rPr>
          <w:lang w:val="fr-FR"/>
        </w:rPr>
        <w:t xml:space="preserve"> </w:t>
      </w:r>
      <w:r>
        <w:rPr>
          <w:b/>
          <w:bCs/>
          <w:lang w:val="fr-FR"/>
        </w:rPr>
        <w:t xml:space="preserve">trois indicateurs</w:t>
      </w:r>
      <w:r>
        <w:rPr>
          <w:lang w:val="fr-FR"/>
        </w:rPr>
        <w:t xml:space="preserve">, et deux</w:t>
      </w:r>
      <w:r>
        <w:rPr>
          <w:lang w:val="fr-FR"/>
        </w:rPr>
        <w:t xml:space="preserve"> </w:t>
      </w:r>
      <w:r>
        <w:rPr>
          <w:lang w:val="fr-FR"/>
        </w:rPr>
        <w:t xml:space="preserve">d’entre eux sont des indicateurs de santé : l’assurance maladie, le renoncement aux soins,</w:t>
      </w:r>
      <w:r>
        <w:rPr>
          <w:lang w:val="fr-FR"/>
        </w:rPr>
        <w:t xml:space="preserve"> </w:t>
      </w:r>
      <w:r>
        <w:rPr>
          <w:lang w:val="fr-FR"/>
        </w:rPr>
        <w:t xml:space="preserve">et l’année de scolarité mesurée exactement plutôt qu’approchée par le diplôme.</w:t>
      </w:r>
    </w:p>
    <w:p>
      <w:pPr>
        <w:pStyle w:val="BlockText"/>
        <w:numPr>
          <w:ilvl w:val="0"/>
          <w:numId w:val="1001"/>
        </w:numPr>
      </w:pPr>
      <w:r>
        <w:rPr>
          <w:lang w:val="fr-FR"/>
        </w:rPr>
        <w:t xml:space="preserve">Il est</w:t>
      </w:r>
      <w:r>
        <w:rPr>
          <w:lang w:val="fr-FR"/>
        </w:rPr>
        <w:t xml:space="preserve"> </w:t>
      </w:r>
      <w:r>
        <w:rPr>
          <w:b/>
          <w:bCs/>
          <w:lang w:val="fr-FR"/>
        </w:rPr>
        <w:t xml:space="preserve">le seul</w:t>
      </w:r>
      <w:r>
        <w:rPr>
          <w:lang w:val="fr-FR"/>
        </w:rPr>
        <w:t xml:space="preserve"> </w:t>
      </w:r>
      <w:r>
        <w:rPr>
          <w:lang w:val="fr-FR"/>
        </w:rPr>
        <w:t xml:space="preserve">à donner prise aux cibles santé et nutrition du Pilier 4 —</w:t>
      </w:r>
      <w:r>
        <w:rPr>
          <w:lang w:val="fr-FR"/>
        </w:rPr>
        <w:t xml:space="preserve"> </w:t>
      </w:r>
      <w:r>
        <w:rPr>
          <w:lang w:val="fr-FR"/>
        </w:rPr>
        <w:t xml:space="preserve">Couverture Maladie Universelle, protection sociale, accès effectif aux soins — auxquelles</w:t>
      </w:r>
      <w:r>
        <w:rPr>
          <w:lang w:val="fr-FR"/>
        </w:rPr>
        <w:t xml:space="preserve"> </w:t>
      </w:r>
      <w:r>
        <w:rPr>
          <w:lang w:val="fr-FR"/>
        </w:rPr>
        <w:t xml:space="preserve">le recensement n’en donne aucune, faute de tout module de santé.</w:t>
      </w:r>
    </w:p>
    <w:p>
      <w:pPr>
        <w:pStyle w:val="BlockText"/>
        <w:numPr>
          <w:ilvl w:val="0"/>
          <w:numId w:val="1001"/>
        </w:numPr>
      </w:pPr>
      <w:r>
        <w:rPr>
          <w:lang w:val="fr-FR"/>
        </w:rPr>
        <w:t xml:space="preserve">Il est</w:t>
      </w:r>
      <w:r>
        <w:rPr>
          <w:lang w:val="fr-FR"/>
        </w:rPr>
        <w:t xml:space="preserve"> </w:t>
      </w:r>
      <w:r>
        <w:rPr>
          <w:b/>
          <w:bCs/>
          <w:lang w:val="fr-FR"/>
        </w:rPr>
        <w:t xml:space="preserve">le seul</w:t>
      </w:r>
      <w:r>
        <w:rPr>
          <w:lang w:val="fr-FR"/>
        </w:rPr>
        <w:t xml:space="preserve"> </w:t>
      </w:r>
      <w:r>
        <w:rPr>
          <w:lang w:val="fr-FR"/>
        </w:rPr>
        <w:t xml:space="preserve">à porter la pauvreté monétaire et la pauvreté multidimensionnelle</w:t>
      </w:r>
      <w:r>
        <w:rPr>
          <w:lang w:val="fr-FR"/>
        </w:rPr>
        <w:t xml:space="preserve"> </w:t>
      </w:r>
      <w:r>
        <w:rPr>
          <w:lang w:val="fr-FR"/>
        </w:rPr>
        <w:t xml:space="preserve">dans la même base, ce dont l’objectif « baisser significativement le taux de pauvreté » a</w:t>
      </w:r>
      <w:r>
        <w:rPr>
          <w:lang w:val="fr-FR"/>
        </w:rPr>
        <w:t xml:space="preserve"> </w:t>
      </w:r>
      <w:r>
        <w:rPr>
          <w:lang w:val="fr-FR"/>
        </w:rPr>
        <w:t xml:space="preserve">besoin.</w:t>
      </w:r>
    </w:p>
    <w:p>
      <w:pPr>
        <w:pStyle w:val="BlockText"/>
        <w:numPr>
          <w:ilvl w:val="0"/>
          <w:numId w:val="1001"/>
        </w:numPr>
      </w:pPr>
      <w:r>
        <w:rPr>
          <w:lang w:val="fr-FR"/>
        </w:rPr>
        <w:t xml:space="preserve">Étant une</w:t>
      </w:r>
      <w:r>
        <w:rPr>
          <w:lang w:val="fr-FR"/>
        </w:rPr>
        <w:t xml:space="preserve"> </w:t>
      </w:r>
      <w:r>
        <w:rPr>
          <w:b/>
          <w:bCs/>
          <w:lang w:val="fr-FR"/>
        </w:rPr>
        <w:t xml:space="preserve">enquête répétée</w:t>
      </w:r>
      <w:r>
        <w:rPr>
          <w:lang w:val="fr-FR"/>
        </w:rPr>
        <w:t xml:space="preserve">, il peut être recalculé en cours de plan, là où le</w:t>
      </w:r>
      <w:r>
        <w:rPr>
          <w:lang w:val="fr-FR"/>
        </w:rPr>
        <w:t xml:space="preserve"> </w:t>
      </w:r>
      <w:r>
        <w:rPr>
          <w:lang w:val="fr-FR"/>
        </w:rPr>
        <w:t xml:space="preserve">recensement, décennal, ne le pourra pas.</w:t>
      </w:r>
    </w:p>
    <w:p>
      <w:pPr>
        <w:pStyle w:val="BlockText"/>
        <w:numPr>
          <w:ilvl w:val="0"/>
          <w:numId w:val="1001"/>
        </w:numPr>
      </w:pPr>
      <w:r>
        <w:rPr>
          <w:lang w:val="fr-FR"/>
        </w:rPr>
        <w:t xml:space="preserve">Il ne sert en revanche</w:t>
      </w:r>
      <w:r>
        <w:rPr>
          <w:lang w:val="fr-FR"/>
        </w:rPr>
        <w:t xml:space="preserve"> </w:t>
      </w:r>
      <w:r>
        <w:rPr>
          <w:b/>
          <w:bCs/>
          <w:lang w:val="fr-FR"/>
        </w:rPr>
        <w:t xml:space="preserve">pas le ciblage territorial</w:t>
      </w:r>
      <w:r>
        <w:rPr>
          <w:lang w:val="fr-FR"/>
        </w:rPr>
        <w:t xml:space="preserve"> </w:t>
      </w:r>
      <w:r>
        <w:rPr>
          <w:lang w:val="fr-FR"/>
        </w:rPr>
        <w:t xml:space="preserve">du Pilier 5 : la moitié de la</w:t>
      </w:r>
      <w:r>
        <w:rPr>
          <w:lang w:val="fr-FR"/>
        </w:rPr>
        <w:t xml:space="preserve"> </w:t>
      </w:r>
      <w:r>
        <w:rPr>
          <w:lang w:val="fr-FR"/>
        </w:rPr>
        <w:t xml:space="preserve">population vit dans une sous-préfecture dont l’IPM n’est pas publiable.</w:t>
      </w:r>
    </w:p>
    <w:bookmarkStart w:id="9" w:name="Xbc6dc1ee9dd9742206717bcfcf540dde095f177"/>
    <w:p>
      <w:pPr>
        <w:pStyle w:val="Heading1"/>
      </w:pPr>
      <w:r>
        <w:rPr>
          <w:lang w:val="fr-FR"/>
        </w:rPr>
        <w:t xml:space="preserve">Ce que le PND demande à un indice de pauvreté</w:t>
      </w:r>
    </w:p>
    <w:p>
      <w:pPr>
        <w:pStyle w:val="FirstParagraph"/>
      </w:pPr>
      <w:r>
        <w:rPr>
          <w:lang w:val="fr-FR"/>
        </w:rPr>
        <w:t xml:space="preserve">Le PND 2026-2030 vise à « Bâtir une Grande Nation Stable, Ambitieuse et Solidaire ». Parmi ses</w:t>
      </w:r>
      <w:r>
        <w:rPr>
          <w:lang w:val="fr-FR"/>
        </w:rPr>
        <w:t xml:space="preserve"> </w:t>
      </w:r>
      <w:r>
        <w:rPr>
          <w:lang w:val="fr-FR"/>
        </w:rPr>
        <w:t xml:space="preserve">objectifs généraux figure de</w:t>
      </w:r>
      <w:r>
        <w:rPr>
          <w:lang w:val="fr-FR"/>
        </w:rPr>
        <w:t xml:space="preserve"> </w:t>
      </w:r>
      <w:r>
        <w:rPr>
          <w:b/>
          <w:bCs/>
          <w:lang w:val="fr-FR"/>
        </w:rPr>
        <w:t xml:space="preserve">« baisser significativement le taux de pauvreté »</w:t>
      </w:r>
      <w:r>
        <w:rPr>
          <w:lang w:val="fr-FR"/>
        </w:rPr>
        <w:t xml:space="preserve"> </w:t>
      </w:r>
      <w:r>
        <w:rPr>
          <w:lang w:val="fr-FR"/>
        </w:rPr>
        <w:t xml:space="preserve">— et</w:t>
      </w:r>
      <w:r>
        <w:rPr>
          <w:lang w:val="fr-FR"/>
        </w:rPr>
        <w:t xml:space="preserve"> </w:t>
      </w:r>
      <w:r>
        <w:rPr>
          <w:lang w:val="fr-FR"/>
        </w:rPr>
        <w:t xml:space="preserve">c’est le seul des objectifs majeurs qui ne soit assorti d’aucune valeur cible à 2030, là où le</w:t>
      </w:r>
      <w:r>
        <w:rPr>
          <w:lang w:val="fr-FR"/>
        </w:rPr>
        <w:t xml:space="preserve"> </w:t>
      </w:r>
      <w:r>
        <w:rPr>
          <w:lang w:val="fr-FR"/>
        </w:rPr>
        <w:t xml:space="preserve">revenu intermédiaire supérieur, les trois millions d’emplois décents, l’Indice de Capital Humain à</w:t>
      </w:r>
      <w:r>
        <w:rPr>
          <w:lang w:val="fr-FR"/>
        </w:rPr>
        <w:t xml:space="preserve"> </w:t>
      </w:r>
      <w:r>
        <w:rPr>
          <w:lang w:val="fr-FR"/>
        </w:rPr>
        <w:t xml:space="preserve">0,7 et les IDE à 3,3 % du PIB le sont tous.</w:t>
      </w:r>
    </w:p>
    <w:p>
      <w:pPr>
        <w:pStyle w:val="BlockText"/>
      </w:pPr>
      <w:r>
        <w:rPr>
          <w:b/>
          <w:bCs/>
          <w:lang w:val="fr-FR"/>
        </w:rPr>
        <w:t xml:space="preserve">Une cible manquante, et l’occasion qu’elle ouvre</w:t>
      </w:r>
    </w:p>
    <w:p>
      <w:pPr>
        <w:pStyle w:val="BlockText"/>
      </w:pPr>
      <w:r>
        <w:rPr>
          <w:lang w:val="fr-FR"/>
        </w:rPr>
        <w:t xml:space="preserve">Le PND documente la trajectoire de la pauvreté monétaire — 55,4 % en 2011, 44,4 % en 2015,</w:t>
      </w:r>
      <w:r>
        <w:rPr>
          <w:lang w:val="fr-FR"/>
        </w:rPr>
        <w:t xml:space="preserve"> </w:t>
      </w:r>
      <w:r>
        <w:rPr>
          <w:lang w:val="fr-FR"/>
        </w:rPr>
        <w:t xml:space="preserve">39,4 % en 2018, 37,5 % en 2021 — mais ne fixe pas de valeur à atteindre en 2030. Un indice de</w:t>
      </w:r>
      <w:r>
        <w:rPr>
          <w:lang w:val="fr-FR"/>
        </w:rPr>
        <w:t xml:space="preserve"> </w:t>
      </w:r>
      <w:r>
        <w:rPr>
          <w:lang w:val="fr-FR"/>
        </w:rPr>
        <w:t xml:space="preserve">pauvreté multidimensionnelle est précisément l’instrument qui permettrait de la poser, et de la</w:t>
      </w:r>
      <w:r>
        <w:rPr>
          <w:lang w:val="fr-FR"/>
        </w:rPr>
        <w:t xml:space="preserve"> </w:t>
      </w:r>
      <w:r>
        <w:rPr>
          <w:lang w:val="fr-FR"/>
        </w:rPr>
        <w:t xml:space="preserve">suivre sur une grandeur qui ne dépend pas des seuls prix.</w:t>
      </w:r>
    </w:p>
    <w:p>
      <w:pPr>
        <w:pStyle w:val="FirstParagraph"/>
      </w:pPr>
      <w:r>
        <w:rPr>
          <w:lang w:val="fr-FR"/>
        </w:rPr>
        <w:t xml:space="preserve">Le plan formule par ailleurs, pilier par pilier, des cibles chiffrées assorties d’une valeur de</w:t>
      </w:r>
      <w:r>
        <w:rPr>
          <w:lang w:val="fr-FR"/>
        </w:rPr>
        <w:t xml:space="preserve"> </w:t>
      </w:r>
      <w:r>
        <w:rPr>
          <w:lang w:val="fr-FR"/>
        </w:rPr>
        <w:t xml:space="preserve">départ et d’une valeur 2030. Ce sont elles qui donnent la mesure de l’alignement : un indice est</w:t>
      </w:r>
      <w:r>
        <w:rPr>
          <w:lang w:val="fr-FR"/>
        </w:rPr>
        <w:t xml:space="preserve"> </w:t>
      </w:r>
      <w:r>
        <w:rPr>
          <w:lang w:val="fr-FR"/>
        </w:rPr>
        <w:t xml:space="preserve">utile au PND dans l’exacte mesure où ses indicateurs recoupent ces cibles.</w:t>
      </w:r>
    </w:p>
    <w:bookmarkEnd w:id="9"/>
    <w:bookmarkStart w:id="13" w:name="sec:correspondance"/>
    <w:p>
      <w:pPr>
        <w:pStyle w:val="Heading1"/>
      </w:pPr>
      <w:r>
        <w:rPr>
          <w:lang w:val="fr-FR"/>
        </w:rPr>
        <w:t xml:space="preserve">La correspondance, cible par cible</w:t>
      </w:r>
    </w:p>
    <w:p>
      <w:pPr>
        <w:pStyle w:val="FirstParagraph"/>
      </w:pPr>
      <w:r>
        <w:rPr>
          <w:lang w:val="fr-FR"/>
        </w:rPr>
        <w:t xml:space="preserve">Les seize indicateurs de l’IPM EHCVM se rapportent aux cibles du PND comme suit. La colonne</w:t>
      </w:r>
      <w:r>
        <w:rPr>
          <w:lang w:val="fr-FR"/>
        </w:rPr>
        <w:t xml:space="preserve"> </w:t>
      </w:r>
      <w:r>
        <w:rPr>
          <w:lang w:val="fr-FR"/>
        </w:rPr>
        <w:t xml:space="preserve">« Aujourd’hui » donne la part de la population vivant dans un ménage privé sur l’indicateur.</w:t>
      </w:r>
    </w:p>
    <w:bookmarkStart w:id="10" w:name="X93feb511e49a7b2ecc334f77961fa782adc2911"/>
    <w:p>
      <w:pPr>
        <w:pStyle w:val="Heading2"/>
      </w:pPr>
      <w:r>
        <w:rPr>
          <w:lang w:val="fr-FR"/>
        </w:rPr>
        <w:t xml:space="preserve">Pilier 4 — Capital humain, compétences et emplois décents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lang w:val="fr-FR"/>
              </w:rPr>
              <w:t xml:space="preserve">Cible PND à 2030</w:t>
            </w:r>
          </w:p>
        </w:tc>
        <w:tc>
          <w:tcPr/>
          <w:p>
            <w:pPr>
              <w:pStyle w:val="Compact"/>
              <w:jc w:val="left"/>
            </w:pPr>
            <w:r>
              <w:rPr>
                <w:b/>
                <w:bCs/>
                <w:lang w:val="fr-FR"/>
              </w:rPr>
              <w:t xml:space="preserve">Indicateur IPM</w:t>
            </w:r>
          </w:p>
        </w:tc>
        <w:tc>
          <w:tcPr/>
          <w:p>
            <w:pPr>
              <w:pStyle w:val="Compact"/>
              <w:jc w:val="right"/>
            </w:pPr>
            <w:r>
              <w:rPr>
                <w:b/>
                <w:bCs/>
                <w:lang w:val="fr-FR"/>
              </w:rPr>
              <w:t xml:space="preserve">Auj.</w:t>
            </w:r>
          </w:p>
        </w:tc>
        <w:tc>
          <w:tcPr/>
          <w:p>
            <w:pPr>
              <w:pStyle w:val="Compact"/>
              <w:jc w:val="center"/>
            </w:pPr>
            <w:r>
              <w:rPr>
                <w:b/>
                <w:bCs/>
                <w:lang w:val="fr-FR"/>
              </w:rPr>
              <w:t xml:space="preserve">Prise</w:t>
            </w:r>
          </w:p>
        </w:tc>
      </w:tr>
      <w:tr>
        <w:tc>
          <w:tcPr/>
          <w:p>
            <w:pPr>
              <w:pStyle w:val="Compact"/>
              <w:jc w:val="left"/>
            </w:pPr>
            <w:r>
              <w:rPr>
                <w:lang w:val="fr-FR"/>
              </w:rPr>
              <w:t xml:space="preserve">Analphabétisme adultes 51,1</w:t>
            </w:r>
            <w:r>
              <w:rPr>
                <w:lang w:val="fr-FR"/>
              </w:rPr>
              <w:t xml:space="preserve"> </w:t>
            </w:r>
            <m:oMath>
              <m:r>
                <m:rPr>
                  <m:sty m:val="p"/>
                </m:rPr>
                <m:t>→</m:t>
              </m:r>
            </m:oMath>
            <w:r>
              <w:rPr>
                <w:lang w:val="fr-FR"/>
              </w:rPr>
              <w:t xml:space="preserve"> </w:t>
            </w:r>
            <w:r>
              <w:rPr>
                <w:lang w:val="fr-FR"/>
              </w:rPr>
              <w:t xml:space="preserve">45 %</w:t>
            </w:r>
          </w:p>
        </w:tc>
        <w:tc>
          <w:tcPr/>
          <w:p>
            <w:pPr>
              <w:pStyle w:val="Compact"/>
              <w:jc w:val="left"/>
            </w:pPr>
            <w:r>
              <w:rPr>
                <w:lang w:val="fr-FR"/>
              </w:rPr>
              <w:t xml:space="preserve">Alphabétisation</w:t>
            </w:r>
          </w:p>
        </w:tc>
        <w:tc>
          <w:tcPr/>
          <w:p>
            <w:pPr>
              <w:pStyle w:val="Compact"/>
              <w:jc w:val="right"/>
            </w:pPr>
            <w:r>
              <w:rPr>
                <w:lang w:val="fr-FR"/>
              </w:rPr>
              <w:t xml:space="preserve">62,9 %</w:t>
            </w:r>
          </w:p>
        </w:tc>
        <w:tc>
          <w:tcPr/>
          <w:p>
            <w:pPr>
              <w:pStyle w:val="Compact"/>
              <w:jc w:val="center"/>
            </w:pPr>
            <w:r>
              <w:rPr>
                <w:lang w:val="fr-FR"/>
              </w:rPr>
              <w:t xml:space="preserve">directe</w:t>
            </w:r>
          </w:p>
        </w:tc>
      </w:tr>
      <w:tr>
        <w:tc>
          <w:tcPr/>
          <w:p>
            <w:pPr>
              <w:pStyle w:val="Compact"/>
              <w:jc w:val="left"/>
            </w:pPr>
            <w:r>
              <w:rPr>
                <w:lang w:val="fr-FR"/>
              </w:rPr>
              <w:t xml:space="preserve">Analphabétisme 15-24 ans 37,6</w:t>
            </w:r>
            <w:r>
              <w:rPr>
                <w:lang w:val="fr-FR"/>
              </w:rPr>
              <w:t xml:space="preserve"> </w:t>
            </w:r>
            <m:oMath>
              <m:r>
                <m:rPr>
                  <m:sty m:val="p"/>
                </m:rPr>
                <m:t>→</m:t>
              </m:r>
            </m:oMath>
            <w:r>
              <w:rPr>
                <w:lang w:val="fr-FR"/>
              </w:rPr>
              <w:t xml:space="preserve"> </w:t>
            </w:r>
            <w:r>
              <w:rPr>
                <w:lang w:val="fr-FR"/>
              </w:rPr>
              <w:t xml:space="preserve">20 %</w:t>
            </w:r>
          </w:p>
        </w:tc>
        <w:tc>
          <w:tcPr/>
          <w:p>
            <w:pPr>
              <w:pStyle w:val="Compact"/>
              <w:jc w:val="left"/>
            </w:pPr>
            <w:r>
              <w:rPr>
                <w:lang w:val="fr-FR"/>
              </w:rPr>
              <w:t xml:space="preserve">Alphabétisation</w:t>
            </w:r>
          </w:p>
        </w:tc>
        <w:tc>
          <w:tcPr/>
          <w:p>
            <w:pPr>
              <w:pStyle w:val="Compact"/>
              <w:jc w:val="right"/>
            </w:pPr>
            <w:r>
              <w:rPr>
                <w:lang w:val="fr-FR"/>
              </w:rPr>
              <w:t xml:space="preserve">62,9 %</w:t>
            </w:r>
          </w:p>
        </w:tc>
        <w:tc>
          <w:tcPr/>
          <w:p>
            <w:pPr>
              <w:pStyle w:val="Compact"/>
              <w:jc w:val="center"/>
            </w:pPr>
            <w:r>
              <w:rPr>
                <w:lang w:val="fr-FR"/>
              </w:rPr>
              <w:t xml:space="preserve">directe</w:t>
            </w:r>
          </w:p>
        </w:tc>
      </w:tr>
      <w:tr>
        <w:tc>
          <w:tcPr/>
          <w:p>
            <w:pPr>
              <w:pStyle w:val="Compact"/>
              <w:jc w:val="left"/>
            </w:pPr>
            <w:r>
              <w:rPr>
                <w:lang w:val="fr-FR"/>
              </w:rPr>
              <w:t xml:space="preserve">Achèvement 1</w:t>
            </w:r>
            <w:r>
              <w:rPr>
                <w:vertAlign w:val="superscript"/>
                <w:lang w:val="fr-FR"/>
              </w:rPr>
              <w:t xml:space="preserve">er</w:t>
            </w:r>
            <w:r>
              <w:rPr>
                <w:lang w:val="fr-FR"/>
              </w:rPr>
              <w:t xml:space="preserve"> </w:t>
            </w:r>
            <w:r>
              <w:rPr>
                <w:lang w:val="fr-FR"/>
              </w:rPr>
              <w:t xml:space="preserve">cycle secondaire</w:t>
            </w:r>
            <w:r>
              <w:rPr>
                <w:lang w:val="fr-FR"/>
              </w:rPr>
              <w:t xml:space="preserve"> </w:t>
            </w:r>
            <w:r>
              <w:rPr>
                <w:lang w:val="fr-FR"/>
              </w:rPr>
              <w:t xml:space="preserve">81,14</w:t>
            </w:r>
            <w:r>
              <w:rPr>
                <w:lang w:val="fr-FR"/>
              </w:rPr>
              <w:t xml:space="preserve"> </w:t>
            </w:r>
            <m:oMath>
              <m:r>
                <m:rPr>
                  <m:sty m:val="p"/>
                </m:rPr>
                <m:t>→</m:t>
              </m:r>
            </m:oMath>
            <w:r>
              <w:rPr>
                <w:lang w:val="fr-FR"/>
              </w:rPr>
              <w:t xml:space="preserve"> </w:t>
            </w:r>
            <w:r>
              <w:rPr>
                <w:lang w:val="fr-FR"/>
              </w:rPr>
              <w:t xml:space="preserve">89 %</w:t>
            </w:r>
          </w:p>
        </w:tc>
        <w:tc>
          <w:tcPr/>
          <w:p>
            <w:pPr>
              <w:pStyle w:val="Compact"/>
              <w:jc w:val="left"/>
            </w:pPr>
            <w:r>
              <w:rPr>
                <w:lang w:val="fr-FR"/>
              </w:rPr>
              <w:t xml:space="preserve">Année de scolarité</w:t>
            </w:r>
          </w:p>
        </w:tc>
        <w:tc>
          <w:tcPr/>
          <w:p>
            <w:pPr>
              <w:pStyle w:val="Compact"/>
              <w:jc w:val="right"/>
            </w:pPr>
            <w:r>
              <w:rPr>
                <w:lang w:val="fr-FR"/>
              </w:rPr>
              <w:t xml:space="preserve">62,9 %</w:t>
            </w:r>
          </w:p>
        </w:tc>
        <w:tc>
          <w:tcPr/>
          <w:p>
            <w:pPr>
              <w:pStyle w:val="Compact"/>
              <w:jc w:val="center"/>
            </w:pPr>
            <w:r>
              <w:rPr>
                <w:lang w:val="fr-FR"/>
              </w:rPr>
              <w:t xml:space="preserve">directe</w:t>
            </w:r>
          </w:p>
        </w:tc>
      </w:tr>
      <w:tr>
        <w:tc>
          <w:tcPr/>
          <w:p>
            <w:pPr>
              <w:pStyle w:val="Compact"/>
              <w:jc w:val="left"/>
            </w:pPr>
            <w:r>
              <w:rPr>
                <w:lang w:val="fr-FR"/>
              </w:rPr>
              <w:t xml:space="preserve">Personnes à moins de 5 km d’un centre de santé 82</w:t>
            </w:r>
            <w:r>
              <w:rPr>
                <w:lang w:val="fr-FR"/>
              </w:rPr>
              <w:t xml:space="preserve"> </w:t>
            </w:r>
            <m:oMath>
              <m:r>
                <m:rPr>
                  <m:sty m:val="p"/>
                </m:rPr>
                <m:t>→</m:t>
              </m:r>
            </m:oMath>
            <w:r>
              <w:rPr>
                <w:lang w:val="fr-FR"/>
              </w:rPr>
              <w:t xml:space="preserve"> </w:t>
            </w:r>
            <w:r>
              <w:rPr>
                <w:lang w:val="fr-FR"/>
              </w:rPr>
              <w:t xml:space="preserve">100 %</w:t>
            </w:r>
          </w:p>
        </w:tc>
        <w:tc>
          <w:tcPr/>
          <w:p>
            <w:pPr>
              <w:pStyle w:val="Compact"/>
              <w:jc w:val="left"/>
            </w:pPr>
            <w:r>
              <w:rPr>
                <w:lang w:val="fr-FR"/>
              </w:rPr>
              <w:t xml:space="preserve">Renoncement aux soins, motif d’indisponibilité de l’offre</w:t>
            </w:r>
          </w:p>
        </w:tc>
        <w:tc>
          <w:tcPr/>
          <w:p>
            <w:pPr>
              <w:pStyle w:val="Compact"/>
              <w:jc w:val="right"/>
            </w:pPr>
            <w:r>
              <w:rPr>
                <w:lang w:val="fr-FR"/>
              </w:rPr>
              <w:t xml:space="preserve">9,0 %</w:t>
            </w:r>
          </w:p>
        </w:tc>
        <w:tc>
          <w:tcPr/>
          <w:p>
            <w:pPr>
              <w:pStyle w:val="Compact"/>
              <w:jc w:val="center"/>
            </w:pPr>
            <w:r>
              <w:rPr>
                <w:lang w:val="fr-FR"/>
              </w:rPr>
              <w:t xml:space="preserve">directe</w:t>
            </w:r>
          </w:p>
        </w:tc>
      </w:tr>
      <w:tr>
        <w:tc>
          <w:tcPr/>
          <w:p>
            <w:pPr>
              <w:pStyle w:val="Compact"/>
              <w:jc w:val="left"/>
            </w:pPr>
            <w:r>
              <w:rPr>
                <w:lang w:val="fr-FR"/>
              </w:rPr>
              <w:t xml:space="preserve">Enrôlés à la CMU 20</w:t>
            </w:r>
            <w:r>
              <w:rPr>
                <w:lang w:val="fr-FR"/>
              </w:rPr>
              <w:t xml:space="preserve"> </w:t>
            </w:r>
            <m:oMath>
              <m:r>
                <m:rPr>
                  <m:sty m:val="p"/>
                </m:rPr>
                <m:t>→</m:t>
              </m:r>
            </m:oMath>
            <w:r>
              <w:rPr>
                <w:lang w:val="fr-FR"/>
              </w:rPr>
              <w:t xml:space="preserve"> </w:t>
            </w:r>
            <w:r>
              <w:rPr>
                <w:lang w:val="fr-FR"/>
              </w:rPr>
              <w:t xml:space="preserve">30 millions</w:t>
            </w:r>
          </w:p>
        </w:tc>
        <w:tc>
          <w:tcPr/>
          <w:p>
            <w:pPr>
              <w:pStyle w:val="Compact"/>
              <w:jc w:val="left"/>
            </w:pPr>
            <w:r>
              <w:rPr>
                <w:lang w:val="fr-FR"/>
              </w:rPr>
              <w:t xml:space="preserve">Assurance maladie</w:t>
            </w:r>
          </w:p>
        </w:tc>
        <w:tc>
          <w:tcPr/>
          <w:p>
            <w:pPr>
              <w:pStyle w:val="Compact"/>
              <w:jc w:val="right"/>
            </w:pPr>
            <w:r>
              <w:rPr>
                <w:lang w:val="fr-FR"/>
              </w:rPr>
              <w:t xml:space="preserve">90,2 %</w:t>
            </w:r>
          </w:p>
        </w:tc>
        <w:tc>
          <w:tcPr/>
          <w:p>
            <w:pPr>
              <w:pStyle w:val="Compact"/>
              <w:jc w:val="center"/>
            </w:pPr>
            <w:r>
              <w:rPr>
                <w:lang w:val="fr-FR"/>
              </w:rPr>
              <w:t xml:space="preserve">directe</w:t>
            </w:r>
          </w:p>
        </w:tc>
      </w:tr>
      <w:tr>
        <w:tc>
          <w:tcPr/>
          <w:p>
            <w:pPr>
              <w:pStyle w:val="Compact"/>
              <w:jc w:val="left"/>
            </w:pPr>
            <w:r>
              <w:rPr>
                <w:lang w:val="fr-FR"/>
              </w:rPr>
              <w:t xml:space="preserve">Couverture par la protection sociale 27</w:t>
            </w:r>
            <w:r>
              <w:rPr>
                <w:lang w:val="fr-FR"/>
              </w:rPr>
              <w:t xml:space="preserve"> </w:t>
            </w:r>
            <m:oMath>
              <m:r>
                <m:rPr>
                  <m:sty m:val="p"/>
                </m:rPr>
                <m:t>→</m:t>
              </m:r>
            </m:oMath>
            <w:r>
              <w:rPr>
                <w:lang w:val="fr-FR"/>
              </w:rPr>
              <w:t xml:space="preserve"> </w:t>
            </w:r>
            <w:r>
              <w:rPr>
                <w:lang w:val="fr-FR"/>
              </w:rPr>
              <w:t xml:space="preserve">50 %</w:t>
            </w:r>
          </w:p>
        </w:tc>
        <w:tc>
          <w:tcPr/>
          <w:p>
            <w:pPr>
              <w:pStyle w:val="Compact"/>
              <w:jc w:val="left"/>
            </w:pPr>
            <w:r>
              <w:rPr>
                <w:lang w:val="fr-FR"/>
              </w:rPr>
              <w:t xml:space="preserve">Assurance maladie</w:t>
            </w:r>
          </w:p>
        </w:tc>
        <w:tc>
          <w:tcPr/>
          <w:p>
            <w:pPr>
              <w:pStyle w:val="Compact"/>
              <w:jc w:val="right"/>
            </w:pPr>
            <w:r>
              <w:rPr>
                <w:lang w:val="fr-FR"/>
              </w:rPr>
              <w:t xml:space="preserve">90,2 %</w:t>
            </w:r>
          </w:p>
        </w:tc>
        <w:tc>
          <w:tcPr/>
          <w:p>
            <w:pPr>
              <w:pStyle w:val="Compact"/>
              <w:jc w:val="center"/>
            </w:pPr>
            <w:r>
              <w:rPr>
                <w:lang w:val="fr-FR"/>
              </w:rPr>
              <w:t xml:space="preserve">directe</w:t>
            </w:r>
          </w:p>
        </w:tc>
      </w:tr>
      <w:tr>
        <w:tc>
          <w:tcPr/>
          <w:p>
            <w:pPr>
              <w:pStyle w:val="Compact"/>
              <w:jc w:val="left"/>
            </w:pPr>
            <w:r>
              <w:rPr>
                <w:lang w:val="fr-FR"/>
              </w:rPr>
              <w:t xml:space="preserve">Chômage et main-d’œuvre potentielle (SU3) 12,9</w:t>
            </w:r>
            <w:r>
              <w:rPr>
                <w:lang w:val="fr-FR"/>
              </w:rPr>
              <w:t xml:space="preserve"> </w:t>
            </w:r>
            <m:oMath>
              <m:r>
                <m:rPr>
                  <m:sty m:val="p"/>
                </m:rPr>
                <m:t>→</m:t>
              </m:r>
            </m:oMath>
            <w:r>
              <w:rPr>
                <w:lang w:val="fr-FR"/>
              </w:rPr>
              <w:t xml:space="preserve"> </w:t>
            </w:r>
            <w:r>
              <w:rPr>
                <w:lang w:val="fr-FR"/>
              </w:rPr>
              <w:t xml:space="preserve">8,9 %</w:t>
            </w:r>
          </w:p>
        </w:tc>
        <w:tc>
          <w:tcPr/>
          <w:p>
            <w:pPr>
              <w:pStyle w:val="Compact"/>
              <w:jc w:val="left"/>
            </w:pPr>
            <w:r>
              <w:rPr>
                <w:lang w:val="fr-FR"/>
              </w:rPr>
              <w:t xml:space="preserve">Chômage</w:t>
            </w:r>
          </w:p>
        </w:tc>
        <w:tc>
          <w:tcPr/>
          <w:p>
            <w:pPr>
              <w:pStyle w:val="Compact"/>
              <w:jc w:val="right"/>
            </w:pPr>
            <w:r>
              <w:rPr>
                <w:lang w:val="fr-FR"/>
              </w:rPr>
              <w:t xml:space="preserve">6,5 %</w:t>
            </w:r>
          </w:p>
        </w:tc>
        <w:tc>
          <w:tcPr/>
          <w:p>
            <w:pPr>
              <w:pStyle w:val="Compact"/>
              <w:jc w:val="center"/>
            </w:pPr>
            <w:r>
              <w:rPr>
                <w:lang w:val="fr-FR"/>
              </w:rPr>
              <w:t xml:space="preserve">directe</w:t>
            </w:r>
          </w:p>
        </w:tc>
      </w:tr>
      <w:tr>
        <w:tc>
          <w:tcPr/>
          <w:p>
            <w:pPr>
              <w:pStyle w:val="Compact"/>
              <w:jc w:val="left"/>
            </w:pPr>
            <w:r>
              <w:rPr>
                <w:lang w:val="fr-FR"/>
              </w:rPr>
              <w:t xml:space="preserve">Retard de croissance des moins de 5 ans 21,4</w:t>
            </w:r>
            <w:r>
              <w:rPr>
                <w:lang w:val="fr-FR"/>
              </w:rPr>
              <w:t xml:space="preserve"> </w:t>
            </w:r>
            <m:oMath>
              <m:r>
                <m:rPr>
                  <m:sty m:val="p"/>
                </m:rPr>
                <m:t>→</m:t>
              </m:r>
            </m:oMath>
            <w:r>
              <w:rPr>
                <w:lang w:val="fr-FR"/>
              </w:rPr>
              <w:t xml:space="preserve"> </w:t>
            </w:r>
            <w:r>
              <w:rPr>
                <w:lang w:val="fr-FR"/>
              </w:rPr>
              <w:t xml:space="preserve">18 %</w:t>
            </w:r>
          </w:p>
        </w:tc>
        <w:tc>
          <w:tcPr/>
          <w:p>
            <w:pPr>
              <w:pStyle w:val="Compact"/>
              <w:jc w:val="left"/>
            </w:pPr>
            <w:r>
              <w:rPr>
                <w:lang w:val="fr-FR"/>
              </w:rPr>
              <w:t xml:space="preserve">Insécurité alimentaire (FIES)</w:t>
            </w:r>
          </w:p>
        </w:tc>
        <w:tc>
          <w:tcPr/>
          <w:p>
            <w:pPr>
              <w:pStyle w:val="Compact"/>
              <w:jc w:val="right"/>
            </w:pPr>
            <w:r>
              <w:rPr>
                <w:lang w:val="fr-FR"/>
              </w:rPr>
              <w:t xml:space="preserve">40,8 %</w:t>
            </w:r>
          </w:p>
        </w:tc>
        <w:tc>
          <w:tcPr/>
          <w:p>
            <w:pPr>
              <w:pStyle w:val="Compact"/>
              <w:jc w:val="center"/>
            </w:pPr>
            <w:r>
              <w:rPr>
                <w:lang w:val="fr-FR"/>
              </w:rPr>
              <w:t xml:space="preserve">indirecte</w:t>
            </w:r>
          </w:p>
        </w:tc>
      </w:tr>
      <w:tr>
        <w:tc>
          <w:tcPr/>
          <w:p>
            <w:pPr>
              <w:pStyle w:val="Compact"/>
              <w:jc w:val="left"/>
            </w:pPr>
            <w:r>
              <w:rPr>
                <w:lang w:val="fr-FR"/>
              </w:rPr>
              <w:t xml:space="preserve">Espérance de vie 62,3</w:t>
            </w:r>
            <w:r>
              <w:rPr>
                <w:lang w:val="fr-FR"/>
              </w:rPr>
              <w:t xml:space="preserve"> </w:t>
            </w:r>
            <m:oMath>
              <m:r>
                <m:rPr>
                  <m:sty m:val="p"/>
                </m:rPr>
                <m:t>→</m:t>
              </m:r>
            </m:oMath>
            <w:r>
              <w:rPr>
                <w:lang w:val="fr-FR"/>
              </w:rPr>
              <w:t xml:space="preserve"> </w:t>
            </w:r>
            <w:r>
              <w:rPr>
                <w:lang w:val="fr-FR"/>
              </w:rPr>
              <w:t xml:space="preserve">65 ans</w:t>
            </w:r>
          </w:p>
        </w:tc>
        <w:tc>
          <w:tcPr/>
          <w:p>
            <w:pPr>
              <w:pStyle w:val="Compact"/>
              <w:jc w:val="left"/>
            </w:pPr>
            <w:r>
              <w:rPr>
                <w:lang w:val="fr-FR"/>
              </w:rPr>
              <w:t xml:space="preserve">—</w:t>
            </w:r>
          </w:p>
        </w:tc>
        <w:tc>
          <w:tcPr/>
          <w:p>
            <w:pPr>
              <w:pStyle w:val="Compact"/>
              <w:jc w:val="right"/>
            </w:pPr>
            <w:r>
              <w:rPr>
                <w:lang w:val="fr-FR"/>
              </w:rPr>
              <w:t xml:space="preserve">—</w:t>
            </w:r>
          </w:p>
        </w:tc>
        <w:tc>
          <w:tcPr/>
          <w:p>
            <w:pPr>
              <w:pStyle w:val="Compact"/>
              <w:jc w:val="center"/>
            </w:pPr>
            <w:r>
              <w:rPr>
                <w:lang w:val="fr-FR"/>
              </w:rPr>
              <w:t xml:space="preserve">aucune</w:t>
            </w:r>
          </w:p>
        </w:tc>
      </w:tr>
      <w:tr>
        <w:tc>
          <w:tcPr/>
          <w:p>
            <w:pPr>
              <w:pStyle w:val="Compact"/>
              <w:jc w:val="left"/>
            </w:pPr>
            <w:r>
              <w:rPr>
                <w:lang w:val="fr-FR"/>
              </w:rPr>
              <w:t xml:space="preserve">Indice de l’écart genre 0,655</w:t>
            </w:r>
            <w:r>
              <w:rPr>
                <w:lang w:val="fr-FR"/>
              </w:rPr>
              <w:t xml:space="preserve"> </w:t>
            </w:r>
            <m:oMath>
              <m:r>
                <m:rPr>
                  <m:sty m:val="p"/>
                </m:rPr>
                <m:t>→</m:t>
              </m:r>
            </m:oMath>
            <w:r>
              <w:rPr>
                <w:lang w:val="fr-FR"/>
              </w:rPr>
              <w:t xml:space="preserve"> </w:t>
            </w:r>
            <w:r>
              <w:rPr>
                <w:lang w:val="fr-FR"/>
              </w:rPr>
              <w:t xml:space="preserve">0,7</w:t>
            </w:r>
          </w:p>
        </w:tc>
        <w:tc>
          <w:tcPr/>
          <w:p>
            <w:pPr>
              <w:pStyle w:val="Compact"/>
              <w:jc w:val="left"/>
            </w:pPr>
            <w:r>
              <w:rPr>
                <w:lang w:val="fr-FR"/>
              </w:rPr>
              <w:t xml:space="preserve">désagrégation par sexe du chef de ménage</w:t>
            </w:r>
          </w:p>
        </w:tc>
        <w:tc>
          <w:tcPr/>
          <w:p>
            <w:pPr>
              <w:pStyle w:val="Compact"/>
              <w:jc w:val="right"/>
            </w:pPr>
            <w:r>
              <w:rPr>
                <w:lang w:val="fr-FR"/>
              </w:rPr>
              <w:t xml:space="preserve">—</w:t>
            </w:r>
          </w:p>
        </w:tc>
        <w:tc>
          <w:tcPr/>
          <w:p>
            <w:pPr>
              <w:pStyle w:val="Compact"/>
              <w:jc w:val="center"/>
            </w:pPr>
            <w:r>
              <w:rPr>
                <w:lang w:val="fr-FR"/>
              </w:rPr>
              <w:t xml:space="preserve">partielle</w:t>
            </w:r>
          </w:p>
        </w:tc>
      </w:tr>
      <w:tr>
        <w:tc>
          <w:tcPr/>
          <w:p>
            <w:pPr>
              <w:pStyle w:val="Compact"/>
              <w:jc w:val="left"/>
            </w:pPr>
            <w:r>
              <w:rPr>
                <w:lang w:val="fr-FR"/>
              </w:rPr>
              <w:t xml:space="preserve">000 ménages bénéficiaires des filets sociaux</w:t>
            </w:r>
          </w:p>
        </w:tc>
        <w:tc>
          <w:tcPr/>
          <w:p>
            <w:pPr>
              <w:pStyle w:val="Compact"/>
              <w:jc w:val="left"/>
            </w:pPr>
            <w:r>
              <w:rPr>
                <w:lang w:val="fr-FR"/>
              </w:rPr>
              <w:t xml:space="preserve">identification des ménages pauvres</w:t>
            </w:r>
          </w:p>
        </w:tc>
        <w:tc>
          <w:tcPr/>
          <w:p>
            <w:pPr>
              <w:pStyle w:val="Compact"/>
              <w:jc w:val="right"/>
            </w:pPr>
            <w:r>
              <w:rPr>
                <w:lang w:val="fr-FR"/>
              </w:rPr>
              <w:t xml:space="preserve">—</w:t>
            </w:r>
          </w:p>
        </w:tc>
        <w:tc>
          <w:tcPr/>
          <w:p>
            <w:pPr>
              <w:pStyle w:val="Compact"/>
              <w:jc w:val="center"/>
            </w:pPr>
            <w:r>
              <w:rPr>
                <w:lang w:val="fr-FR"/>
              </w:rPr>
              <w:t xml:space="preserve">partielle</w:t>
            </w:r>
          </w:p>
        </w:tc>
      </w:tr>
      <w:tr>
        <w:tc>
          <w:tcPr/>
          <w:p>
            <w:pPr>
              <w:pStyle w:val="Compact"/>
              <w:jc w:val="left"/>
            </w:pPr>
            <w:r>
              <w:rPr>
                <w:lang w:val="fr-FR"/>
              </w:rPr>
              <w:t xml:space="preserve">Préscolaire 11</w:t>
            </w:r>
            <w:r>
              <w:rPr>
                <w:lang w:val="fr-FR"/>
              </w:rPr>
              <w:t xml:space="preserve"> </w:t>
            </w:r>
            <m:oMath>
              <m:r>
                <m:rPr>
                  <m:sty m:val="p"/>
                </m:rPr>
                <m:t>→</m:t>
              </m:r>
            </m:oMath>
            <w:r>
              <w:rPr>
                <w:lang w:val="fr-FR"/>
              </w:rPr>
              <w:t xml:space="preserve"> </w:t>
            </w:r>
            <w:r>
              <w:rPr>
                <w:lang w:val="fr-FR"/>
              </w:rPr>
              <w:t xml:space="preserve">25 % ; EFTP 6,2</w:t>
            </w:r>
            <w:r>
              <w:rPr>
                <w:lang w:val="fr-FR"/>
              </w:rPr>
              <w:t xml:space="preserve"> </w:t>
            </w:r>
            <m:oMath>
              <m:r>
                <m:rPr>
                  <m:sty m:val="p"/>
                </m:rPr>
                <m:t>→</m:t>
              </m:r>
            </m:oMath>
            <w:r>
              <w:rPr>
                <w:lang w:val="fr-FR"/>
              </w:rPr>
              <w:t xml:space="preserve"> </w:t>
            </w:r>
            <w:r>
              <w:rPr>
                <w:lang w:val="fr-FR"/>
              </w:rPr>
              <w:t xml:space="preserve">15 % ; IPS primaire</w:t>
            </w:r>
          </w:p>
        </w:tc>
        <w:tc>
          <w:tcPr/>
          <w:p>
            <w:pPr>
              <w:pStyle w:val="Compact"/>
              <w:jc w:val="left"/>
            </w:pPr>
            <w:r>
              <w:rPr>
                <w:lang w:val="fr-FR"/>
              </w:rPr>
              <w:t xml:space="preserve">—</w:t>
            </w:r>
          </w:p>
        </w:tc>
        <w:tc>
          <w:tcPr/>
          <w:p>
            <w:pPr>
              <w:pStyle w:val="Compact"/>
              <w:jc w:val="right"/>
            </w:pPr>
            <w:r>
              <w:rPr>
                <w:lang w:val="fr-FR"/>
              </w:rPr>
              <w:t xml:space="preserve">—</w:t>
            </w:r>
          </w:p>
        </w:tc>
        <w:tc>
          <w:tcPr/>
          <w:p>
            <w:pPr>
              <w:pStyle w:val="Compact"/>
              <w:jc w:val="center"/>
            </w:pPr>
            <w:r>
              <w:rPr>
                <w:lang w:val="fr-FR"/>
              </w:rPr>
              <w:t xml:space="preserve">aucune</w:t>
            </w:r>
          </w:p>
        </w:tc>
      </w:tr>
    </w:tbl>
    <w:bookmarkEnd w:id="10"/>
    <w:bookmarkStart w:id="11" w:name="X9a49324705845c690ee17c70c5d023bc06c0467"/>
    <w:p>
      <w:pPr>
        <w:pStyle w:val="Heading2"/>
      </w:pPr>
      <w:r>
        <w:rPr>
          <w:lang w:val="fr-FR"/>
        </w:rPr>
        <w:t xml:space="preserve">Pilier 5 — Infrastructures, pôles régionaux et transition écologique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lang w:val="fr-FR"/>
              </w:rPr>
              <w:t xml:space="preserve">Cible PND à 2030</w:t>
            </w:r>
          </w:p>
        </w:tc>
        <w:tc>
          <w:tcPr/>
          <w:p>
            <w:pPr>
              <w:pStyle w:val="Compact"/>
              <w:jc w:val="left"/>
            </w:pPr>
            <w:r>
              <w:rPr>
                <w:b/>
                <w:bCs/>
                <w:lang w:val="fr-FR"/>
              </w:rPr>
              <w:t xml:space="preserve">Indicateur IPM</w:t>
            </w:r>
          </w:p>
        </w:tc>
        <w:tc>
          <w:tcPr/>
          <w:p>
            <w:pPr>
              <w:pStyle w:val="Compact"/>
              <w:jc w:val="right"/>
            </w:pPr>
            <w:r>
              <w:rPr>
                <w:b/>
                <w:bCs/>
                <w:lang w:val="fr-FR"/>
              </w:rPr>
              <w:t xml:space="preserve">Auj.</w:t>
            </w:r>
          </w:p>
        </w:tc>
        <w:tc>
          <w:tcPr/>
          <w:p>
            <w:pPr>
              <w:pStyle w:val="Compact"/>
              <w:jc w:val="center"/>
            </w:pPr>
            <w:r>
              <w:rPr>
                <w:b/>
                <w:bCs/>
                <w:lang w:val="fr-FR"/>
              </w:rPr>
              <w:t xml:space="preserve">Prise</w:t>
            </w:r>
          </w:p>
        </w:tc>
      </w:tr>
      <w:tr>
        <w:tc>
          <w:tcPr/>
          <w:p>
            <w:pPr>
              <w:pStyle w:val="Compact"/>
              <w:jc w:val="left"/>
            </w:pPr>
            <w:r>
              <w:rPr>
                <w:lang w:val="fr-FR"/>
              </w:rPr>
              <w:t xml:space="preserve">Accès à une source d’eau améliorée 81</w:t>
            </w:r>
            <w:r>
              <w:rPr>
                <w:lang w:val="fr-FR"/>
              </w:rPr>
              <w:t xml:space="preserve"> </w:t>
            </w:r>
            <m:oMath>
              <m:r>
                <m:rPr>
                  <m:sty m:val="p"/>
                </m:rPr>
                <m:t>→</m:t>
              </m:r>
            </m:oMath>
            <w:r>
              <w:rPr>
                <w:lang w:val="fr-FR"/>
              </w:rPr>
              <w:t xml:space="preserve"> </w:t>
            </w:r>
            <w:r>
              <w:rPr>
                <w:lang w:val="fr-FR"/>
              </w:rPr>
              <w:t xml:space="preserve">90 %</w:t>
            </w:r>
          </w:p>
        </w:tc>
        <w:tc>
          <w:tcPr/>
          <w:p>
            <w:pPr>
              <w:pStyle w:val="Compact"/>
              <w:jc w:val="left"/>
            </w:pPr>
            <w:r>
              <w:rPr>
                <w:lang w:val="fr-FR"/>
              </w:rPr>
              <w:t xml:space="preserve">Eau potable</w:t>
            </w:r>
          </w:p>
        </w:tc>
        <w:tc>
          <w:tcPr/>
          <w:p>
            <w:pPr>
              <w:pStyle w:val="Compact"/>
              <w:jc w:val="right"/>
            </w:pPr>
            <w:r>
              <w:rPr>
                <w:lang w:val="fr-FR"/>
              </w:rPr>
              <w:t xml:space="preserve">20,9 %</w:t>
            </w:r>
          </w:p>
        </w:tc>
        <w:tc>
          <w:tcPr/>
          <w:p>
            <w:pPr>
              <w:pStyle w:val="Compact"/>
              <w:jc w:val="center"/>
            </w:pPr>
            <w:r>
              <w:rPr>
                <w:lang w:val="fr-FR"/>
              </w:rPr>
              <w:t xml:space="preserve">directe</w:t>
            </w:r>
          </w:p>
        </w:tc>
      </w:tr>
      <w:tr>
        <w:tc>
          <w:tcPr/>
          <w:p>
            <w:pPr>
              <w:pStyle w:val="Compact"/>
              <w:jc w:val="left"/>
            </w:pPr>
            <w:r>
              <w:rPr>
                <w:lang w:val="fr-FR"/>
              </w:rPr>
              <w:t xml:space="preserve">Accès à l’assainissement amélioré 37</w:t>
            </w:r>
            <w:r>
              <w:rPr>
                <w:lang w:val="fr-FR"/>
              </w:rPr>
              <w:t xml:space="preserve"> </w:t>
            </w:r>
            <m:oMath>
              <m:r>
                <m:rPr>
                  <m:sty m:val="p"/>
                </m:rPr>
                <m:t>→</m:t>
              </m:r>
            </m:oMath>
            <w:r>
              <w:rPr>
                <w:lang w:val="fr-FR"/>
              </w:rPr>
              <w:t xml:space="preserve"> </w:t>
            </w:r>
            <w:r>
              <w:rPr>
                <w:lang w:val="fr-FR"/>
              </w:rPr>
              <w:t xml:space="preserve">70 %</w:t>
            </w:r>
          </w:p>
        </w:tc>
        <w:tc>
          <w:tcPr/>
          <w:p>
            <w:pPr>
              <w:pStyle w:val="Compact"/>
              <w:jc w:val="left"/>
            </w:pPr>
            <w:r>
              <w:rPr>
                <w:lang w:val="fr-FR"/>
              </w:rPr>
              <w:t xml:space="preserve">Toilette</w:t>
            </w:r>
          </w:p>
        </w:tc>
        <w:tc>
          <w:tcPr/>
          <w:p>
            <w:pPr>
              <w:pStyle w:val="Compact"/>
              <w:jc w:val="right"/>
            </w:pPr>
            <w:r>
              <w:rPr>
                <w:lang w:val="fr-FR"/>
              </w:rPr>
              <w:t xml:space="preserve">67,2 %</w:t>
            </w:r>
          </w:p>
        </w:tc>
        <w:tc>
          <w:tcPr/>
          <w:p>
            <w:pPr>
              <w:pStyle w:val="Compact"/>
              <w:jc w:val="center"/>
            </w:pPr>
            <w:r>
              <w:rPr>
                <w:lang w:val="fr-FR"/>
              </w:rPr>
              <w:t xml:space="preserve">directe</w:t>
            </w:r>
          </w:p>
        </w:tc>
      </w:tr>
      <w:tr>
        <w:tc>
          <w:tcPr/>
          <w:p>
            <w:pPr>
              <w:pStyle w:val="Compact"/>
              <w:jc w:val="left"/>
            </w:pPr>
            <w:r>
              <w:rPr>
                <w:lang w:val="fr-FR"/>
              </w:rPr>
              <w:t xml:space="preserve">Accès universel à l’électricité d’ici 2030, en priorité</w:t>
            </w:r>
            <w:r>
              <w:rPr>
                <w:lang w:val="fr-FR"/>
              </w:rPr>
              <w:t xml:space="preserve"> </w:t>
            </w:r>
            <w:r>
              <w:rPr>
                <w:lang w:val="fr-FR"/>
              </w:rPr>
              <w:t xml:space="preserve">dans les quartiers précaires</w:t>
            </w:r>
          </w:p>
        </w:tc>
        <w:tc>
          <w:tcPr/>
          <w:p>
            <w:pPr>
              <w:pStyle w:val="Compact"/>
              <w:jc w:val="left"/>
            </w:pPr>
            <w:r>
              <w:rPr>
                <w:lang w:val="fr-FR"/>
              </w:rPr>
              <w:t xml:space="preserve">Électricité</w:t>
            </w:r>
          </w:p>
        </w:tc>
        <w:tc>
          <w:tcPr/>
          <w:p>
            <w:pPr>
              <w:pStyle w:val="Compact"/>
              <w:jc w:val="right"/>
            </w:pPr>
            <w:r>
              <w:rPr>
                <w:lang w:val="fr-FR"/>
              </w:rPr>
              <w:t xml:space="preserve">9,3 %</w:t>
            </w:r>
          </w:p>
        </w:tc>
        <w:tc>
          <w:tcPr/>
          <w:p>
            <w:pPr>
              <w:pStyle w:val="Compact"/>
              <w:jc w:val="center"/>
            </w:pPr>
            <w:r>
              <w:rPr>
                <w:lang w:val="fr-FR"/>
              </w:rPr>
              <w:t xml:space="preserve">directe</w:t>
            </w:r>
          </w:p>
        </w:tc>
      </w:tr>
      <w:tr>
        <w:tc>
          <w:tcPr/>
          <w:p>
            <w:pPr>
              <w:pStyle w:val="Compact"/>
              <w:jc w:val="left"/>
            </w:pPr>
            <w:r>
              <w:rPr>
                <w:lang w:val="fr-FR"/>
              </w:rPr>
              <w:t xml:space="preserve">Habitat décent (défi n</w:t>
            </w:r>
            <w:r>
              <w:rPr>
                <w:vertAlign w:val="superscript"/>
                <w:lang w:val="fr-FR"/>
              </w:rPr>
              <w:t xml:space="preserve">o</w:t>
            </w:r>
            <w:r>
              <w:rPr>
                <w:lang w:val="fr-FR"/>
              </w:rPr>
              <w:t xml:space="preserve"> 5 du diagnostic stratégique)</w:t>
            </w:r>
          </w:p>
        </w:tc>
        <w:tc>
          <w:tcPr/>
          <w:p>
            <w:pPr>
              <w:pStyle w:val="Compact"/>
              <w:jc w:val="left"/>
            </w:pPr>
            <w:r>
              <w:rPr>
                <w:lang w:val="fr-FR"/>
              </w:rPr>
              <w:t xml:space="preserve">Logement, Promiscuité</w:t>
            </w:r>
          </w:p>
        </w:tc>
        <w:tc>
          <w:tcPr/>
          <w:p>
            <w:pPr>
              <w:pStyle w:val="Compact"/>
              <w:jc w:val="right"/>
            </w:pPr>
            <w:r>
              <w:rPr>
                <w:lang w:val="fr-FR"/>
              </w:rPr>
              <w:t xml:space="preserve">17,3 % ; 12,5 %</w:t>
            </w:r>
          </w:p>
        </w:tc>
        <w:tc>
          <w:tcPr/>
          <w:p>
            <w:pPr>
              <w:pStyle w:val="Compact"/>
              <w:jc w:val="center"/>
            </w:pPr>
            <w:r>
              <w:rPr>
                <w:lang w:val="fr-FR"/>
              </w:rPr>
              <w:t xml:space="preserve">directe</w:t>
            </w:r>
          </w:p>
        </w:tc>
      </w:tr>
      <w:tr>
        <w:tc>
          <w:tcPr/>
          <w:p>
            <w:pPr>
              <w:pStyle w:val="Compact"/>
              <w:jc w:val="left"/>
            </w:pPr>
            <w:r>
              <w:rPr>
                <w:lang w:val="fr-FR"/>
              </w:rPr>
              <w:t xml:space="preserve">Population utilisant internet 40,7</w:t>
            </w:r>
            <w:r>
              <w:rPr>
                <w:lang w:val="fr-FR"/>
              </w:rPr>
              <w:t xml:space="preserve"> </w:t>
            </w:r>
            <m:oMath>
              <m:r>
                <m:rPr>
                  <m:sty m:val="p"/>
                </m:rPr>
                <m:t>→</m:t>
              </m:r>
            </m:oMath>
            <w:r>
              <w:rPr>
                <w:lang w:val="fr-FR"/>
              </w:rPr>
              <w:t xml:space="preserve"> </w:t>
            </w:r>
            <w:r>
              <w:rPr>
                <w:lang w:val="fr-FR"/>
              </w:rPr>
              <w:t xml:space="preserve">60 %</w:t>
            </w:r>
          </w:p>
        </w:tc>
        <w:tc>
          <w:tcPr/>
          <w:p>
            <w:pPr>
              <w:pStyle w:val="Compact"/>
              <w:jc w:val="left"/>
            </w:pPr>
            <w:r>
              <w:rPr>
                <w:lang w:val="fr-FR"/>
              </w:rPr>
              <w:t xml:space="preserve">Biens d’équipement</w:t>
            </w:r>
          </w:p>
        </w:tc>
        <w:tc>
          <w:tcPr/>
          <w:p>
            <w:pPr>
              <w:pStyle w:val="Compact"/>
              <w:jc w:val="right"/>
            </w:pPr>
            <w:r>
              <w:rPr>
                <w:lang w:val="fr-FR"/>
              </w:rPr>
              <w:t xml:space="preserve">21,7 %</w:t>
            </w:r>
          </w:p>
        </w:tc>
        <w:tc>
          <w:tcPr/>
          <w:p>
            <w:pPr>
              <w:pStyle w:val="Compact"/>
              <w:jc w:val="center"/>
            </w:pPr>
            <w:r>
              <w:rPr>
                <w:lang w:val="fr-FR"/>
              </w:rPr>
              <w:t xml:space="preserve">indirecte</w:t>
            </w:r>
          </w:p>
        </w:tc>
      </w:tr>
      <w:tr>
        <w:tc>
          <w:tcPr/>
          <w:p>
            <w:pPr>
              <w:pStyle w:val="Compact"/>
              <w:jc w:val="left"/>
            </w:pPr>
            <w:r>
              <w:rPr>
                <w:lang w:val="fr-FR"/>
              </w:rPr>
              <w:t xml:space="preserve">Pôles économiques compétitifs, villes secondaires, réduction des</w:t>
            </w:r>
            <w:r>
              <w:rPr>
                <w:lang w:val="fr-FR"/>
              </w:rPr>
              <w:t xml:space="preserve"> </w:t>
            </w:r>
            <w:r>
              <w:rPr>
                <w:lang w:val="fr-FR"/>
              </w:rPr>
              <w:t xml:space="preserve">inégalités régionales</w:t>
            </w:r>
          </w:p>
        </w:tc>
        <w:tc>
          <w:tcPr/>
          <w:p>
            <w:pPr>
              <w:pStyle w:val="Compact"/>
              <w:jc w:val="left"/>
            </w:pPr>
            <w:r>
              <w:rPr>
                <w:lang w:val="fr-FR"/>
              </w:rPr>
              <w:t xml:space="preserve">désagrégation territoriale</w:t>
            </w:r>
          </w:p>
        </w:tc>
        <w:tc>
          <w:tcPr/>
          <w:p>
            <w:pPr>
              <w:pStyle w:val="Compact"/>
              <w:jc w:val="right"/>
            </w:pPr>
            <w:r>
              <w:rPr>
                <w:lang w:val="fr-FR"/>
              </w:rPr>
              <w:t xml:space="preserve">—</w:t>
            </w:r>
          </w:p>
        </w:tc>
        <w:tc>
          <w:tcPr/>
          <w:p>
            <w:pPr>
              <w:pStyle w:val="Compact"/>
              <w:jc w:val="center"/>
            </w:pPr>
            <w:r>
              <w:rPr>
                <w:lang w:val="fr-FR"/>
              </w:rPr>
              <w:t xml:space="preserve">faible</w:t>
            </w:r>
          </w:p>
        </w:tc>
      </w:tr>
    </w:tbl>
    <w:bookmarkEnd w:id="11"/>
    <w:bookmarkStart w:id="12" w:name="piliers-2-3-et-6"/>
    <w:p>
      <w:pPr>
        <w:pStyle w:val="Heading2"/>
      </w:pPr>
      <w:r>
        <w:rPr>
          <w:lang w:val="fr-FR"/>
        </w:rPr>
        <w:t xml:space="preserve">Piliers 2, 3 et 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lang w:val="fr-FR"/>
              </w:rPr>
              <w:t xml:space="preserve">Cible ou orientation PND</w:t>
            </w:r>
          </w:p>
        </w:tc>
        <w:tc>
          <w:tcPr/>
          <w:p>
            <w:pPr>
              <w:pStyle w:val="Compact"/>
              <w:jc w:val="left"/>
            </w:pPr>
            <w:r>
              <w:rPr>
                <w:b/>
                <w:bCs/>
                <w:lang w:val="fr-FR"/>
              </w:rPr>
              <w:t xml:space="preserve">Indicateur IPM</w:t>
            </w:r>
          </w:p>
        </w:tc>
        <w:tc>
          <w:tcPr/>
          <w:p>
            <w:pPr>
              <w:pStyle w:val="Compact"/>
              <w:jc w:val="right"/>
            </w:pPr>
            <w:r>
              <w:rPr>
                <w:b/>
                <w:bCs/>
                <w:lang w:val="fr-FR"/>
              </w:rPr>
              <w:t xml:space="preserve">Auj.</w:t>
            </w:r>
          </w:p>
        </w:tc>
        <w:tc>
          <w:tcPr/>
          <w:p>
            <w:pPr>
              <w:pStyle w:val="Compact"/>
              <w:jc w:val="center"/>
            </w:pPr>
            <w:r>
              <w:rPr>
                <w:b/>
                <w:bCs/>
                <w:lang w:val="fr-FR"/>
              </w:rPr>
              <w:t xml:space="preserve">Prise</w:t>
            </w:r>
          </w:p>
        </w:tc>
      </w:tr>
      <w:tr>
        <w:tc>
          <w:tcPr/>
          <w:p>
            <w:pPr>
              <w:pStyle w:val="Compact"/>
              <w:jc w:val="left"/>
            </w:pPr>
            <w:r>
              <w:rPr>
                <w:lang w:val="fr-FR"/>
              </w:rPr>
              <w:t xml:space="preserve">Enregistrement des naissances 56,6</w:t>
            </w:r>
            <w:r>
              <w:rPr>
                <w:lang w:val="fr-FR"/>
              </w:rPr>
              <w:t xml:space="preserve"> </w:t>
            </w:r>
            <m:oMath>
              <m:r>
                <m:rPr>
                  <m:sty m:val="p"/>
                </m:rPr>
                <m:t>→</m:t>
              </m:r>
            </m:oMath>
            <w:r>
              <w:rPr>
                <w:lang w:val="fr-FR"/>
              </w:rPr>
              <w:t xml:space="preserve"> </w:t>
            </w:r>
            <w:r>
              <w:rPr>
                <w:lang w:val="fr-FR"/>
              </w:rPr>
              <w:t xml:space="preserve">100 % (P. 6)</w:t>
            </w:r>
          </w:p>
        </w:tc>
        <w:tc>
          <w:tcPr/>
          <w:p>
            <w:pPr>
              <w:pStyle w:val="Compact"/>
              <w:jc w:val="left"/>
            </w:pPr>
            <w:r>
              <w:rPr>
                <w:lang w:val="fr-FR"/>
              </w:rPr>
              <w:t xml:space="preserve">Déclaration d’état civil</w:t>
            </w:r>
          </w:p>
        </w:tc>
        <w:tc>
          <w:tcPr/>
          <w:p>
            <w:pPr>
              <w:pStyle w:val="Compact"/>
              <w:jc w:val="right"/>
            </w:pPr>
            <w:r>
              <w:rPr>
                <w:lang w:val="fr-FR"/>
              </w:rPr>
              <w:t xml:space="preserve">26,3 %</w:t>
            </w:r>
          </w:p>
        </w:tc>
        <w:tc>
          <w:tcPr/>
          <w:p>
            <w:pPr>
              <w:pStyle w:val="Compact"/>
              <w:jc w:val="center"/>
            </w:pPr>
            <w:r>
              <w:rPr>
                <w:lang w:val="fr-FR"/>
              </w:rPr>
              <w:t xml:space="preserve">directe</w:t>
            </w:r>
          </w:p>
        </w:tc>
      </w:tr>
      <w:tr>
        <w:tc>
          <w:tcPr/>
          <w:p>
            <w:pPr>
              <w:pStyle w:val="Compact"/>
              <w:jc w:val="left"/>
            </w:pPr>
            <w:r>
              <w:rPr>
                <w:lang w:val="fr-FR"/>
              </w:rPr>
              <w:t xml:space="preserve">NNI 27,78</w:t>
            </w:r>
            <w:r>
              <w:rPr>
                <w:lang w:val="fr-FR"/>
              </w:rPr>
              <w:t xml:space="preserve"> </w:t>
            </w:r>
            <m:oMath>
              <m:r>
                <m:rPr>
                  <m:sty m:val="p"/>
                </m:rPr>
                <m:t>→</m:t>
              </m:r>
            </m:oMath>
            <w:r>
              <w:rPr>
                <w:lang w:val="fr-FR"/>
              </w:rPr>
              <w:t xml:space="preserve"> </w:t>
            </w:r>
            <w:r>
              <w:rPr>
                <w:lang w:val="fr-FR"/>
              </w:rPr>
              <w:t xml:space="preserve">100 % (P. 6)</w:t>
            </w:r>
          </w:p>
        </w:tc>
        <w:tc>
          <w:tcPr/>
          <w:p>
            <w:pPr>
              <w:pStyle w:val="Compact"/>
              <w:jc w:val="left"/>
            </w:pPr>
            <w:r>
              <w:rPr>
                <w:lang w:val="fr-FR"/>
              </w:rPr>
              <w:t xml:space="preserve">Déclaration d’état civil</w:t>
            </w:r>
          </w:p>
        </w:tc>
        <w:tc>
          <w:tcPr/>
          <w:p>
            <w:pPr>
              <w:pStyle w:val="Compact"/>
              <w:jc w:val="right"/>
            </w:pPr>
            <w:r>
              <w:rPr>
                <w:lang w:val="fr-FR"/>
              </w:rPr>
              <w:t xml:space="preserve">26,3 %</w:t>
            </w:r>
          </w:p>
        </w:tc>
        <w:tc>
          <w:tcPr/>
          <w:p>
            <w:pPr>
              <w:pStyle w:val="Compact"/>
              <w:jc w:val="center"/>
            </w:pPr>
            <w:r>
              <w:rPr>
                <w:lang w:val="fr-FR"/>
              </w:rPr>
              <w:t xml:space="preserve">indirecte</w:t>
            </w:r>
          </w:p>
        </w:tc>
      </w:tr>
      <w:tr>
        <w:tc>
          <w:tcPr/>
          <w:p>
            <w:pPr>
              <w:pStyle w:val="Compact"/>
              <w:jc w:val="left"/>
            </w:pPr>
            <w:r>
              <w:rPr>
                <w:lang w:val="fr-FR"/>
              </w:rPr>
              <w:t xml:space="preserve">Modernisation de l’agriculture et productivité (P. 2) ;</w:t>
            </w:r>
            <w:r>
              <w:rPr>
                <w:lang w:val="fr-FR"/>
              </w:rPr>
              <w:t xml:space="preserve"> </w:t>
            </w:r>
            <w:r>
              <w:rPr>
                <w:lang w:val="fr-FR"/>
              </w:rPr>
              <w:t xml:space="preserve">réduction de l’informalité (P. 3)</w:t>
            </w:r>
          </w:p>
        </w:tc>
        <w:tc>
          <w:tcPr/>
          <w:p>
            <w:pPr>
              <w:pStyle w:val="Compact"/>
              <w:jc w:val="left"/>
            </w:pPr>
            <w:r>
              <w:rPr>
                <w:lang w:val="fr-FR"/>
              </w:rPr>
              <w:t xml:space="preserve">Emploi agricole de subsistance</w:t>
            </w:r>
          </w:p>
        </w:tc>
        <w:tc>
          <w:tcPr/>
          <w:p>
            <w:pPr>
              <w:pStyle w:val="Compact"/>
              <w:jc w:val="right"/>
            </w:pPr>
            <w:r>
              <w:rPr>
                <w:lang w:val="fr-FR"/>
              </w:rPr>
              <w:t xml:space="preserve">40,5 %</w:t>
            </w:r>
          </w:p>
        </w:tc>
        <w:tc>
          <w:tcPr/>
          <w:p>
            <w:pPr>
              <w:pStyle w:val="Compact"/>
              <w:jc w:val="center"/>
            </w:pPr>
            <w:r>
              <w:rPr>
                <w:lang w:val="fr-FR"/>
              </w:rPr>
              <w:t xml:space="preserve">directe</w:t>
            </w:r>
          </w:p>
        </w:tc>
      </w:tr>
      <w:tr>
        <w:tc>
          <w:tcPr/>
          <w:p>
            <w:pPr>
              <w:pStyle w:val="Compact"/>
              <w:jc w:val="left"/>
            </w:pPr>
            <w:r>
              <w:rPr>
                <w:lang w:val="fr-FR"/>
              </w:rPr>
              <w:t xml:space="preserve">Énergie de cuisson propre (transition écologique, P. 5)</w:t>
            </w:r>
          </w:p>
        </w:tc>
        <w:tc>
          <w:tcPr/>
          <w:p>
            <w:pPr>
              <w:pStyle w:val="Compact"/>
              <w:jc w:val="left"/>
            </w:pPr>
            <w:r>
              <w:rPr>
                <w:lang w:val="fr-FR"/>
              </w:rPr>
              <w:t xml:space="preserve">Énergie de cuisson</w:t>
            </w:r>
          </w:p>
        </w:tc>
        <w:tc>
          <w:tcPr/>
          <w:p>
            <w:pPr>
              <w:pStyle w:val="Compact"/>
              <w:jc w:val="right"/>
            </w:pPr>
            <w:r>
              <w:rPr>
                <w:lang w:val="fr-FR"/>
              </w:rPr>
              <w:t xml:space="preserve">66,3 %</w:t>
            </w:r>
          </w:p>
        </w:tc>
        <w:tc>
          <w:tcPr/>
          <w:p>
            <w:pPr>
              <w:pStyle w:val="Compact"/>
              <w:jc w:val="center"/>
            </w:pPr>
            <w:r>
              <w:rPr>
                <w:lang w:val="fr-FR"/>
              </w:rPr>
              <w:t xml:space="preserve">directe</w:t>
            </w:r>
          </w:p>
        </w:tc>
      </w:tr>
      <w:tr>
        <w:tc>
          <w:tcPr/>
          <w:p>
            <w:pPr>
              <w:pStyle w:val="Compact"/>
              <w:jc w:val="left"/>
            </w:pPr>
            <w:r>
              <w:rPr>
                <w:lang w:val="fr-FR"/>
              </w:rPr>
              <w:t xml:space="preserve">Registre social unifié pour le ciblage (P. 6)</w:t>
            </w:r>
          </w:p>
        </w:tc>
        <w:tc>
          <w:tcPr/>
          <w:p>
            <w:pPr>
              <w:pStyle w:val="Compact"/>
              <w:jc w:val="left"/>
            </w:pPr>
            <w:r>
              <w:rPr>
                <w:lang w:val="fr-FR"/>
              </w:rPr>
              <w:t xml:space="preserve">—</w:t>
            </w:r>
          </w:p>
        </w:tc>
        <w:tc>
          <w:tcPr/>
          <w:p>
            <w:pPr>
              <w:pStyle w:val="Compact"/>
              <w:jc w:val="right"/>
            </w:pPr>
            <w:r>
              <w:rPr>
                <w:lang w:val="fr-FR"/>
              </w:rPr>
              <w:t xml:space="preserve">—</w:t>
            </w:r>
          </w:p>
        </w:tc>
        <w:tc>
          <w:tcPr/>
          <w:p>
            <w:pPr>
              <w:pStyle w:val="Compact"/>
              <w:jc w:val="center"/>
            </w:pPr>
            <w:r>
              <w:rPr>
                <w:lang w:val="fr-FR"/>
              </w:rPr>
              <w:t xml:space="preserve">aucune</w:t>
            </w:r>
          </w:p>
        </w:tc>
      </w:tr>
    </w:tbl>
    <w:p>
      <w:pPr>
        <w:pStyle w:val="BlockText"/>
      </w:pPr>
      <w:r>
        <w:rPr>
          <w:b/>
          <w:bCs/>
          <w:lang w:val="fr-FR"/>
        </w:rPr>
        <w:t xml:space="preserve">Le décompte, et ce qu’il ne dit pas</w:t>
      </w:r>
    </w:p>
    <w:p>
      <w:pPr>
        <w:pStyle w:val="BlockText"/>
      </w:pPr>
      <w:r>
        <w:rPr>
          <w:lang w:val="fr-FR"/>
        </w:rPr>
        <w:t xml:space="preserve">Sur les vingt-deux cibles et orientations du PND qu’un indice de pauvreté peut éclairer, l’IPM</w:t>
      </w:r>
      <w:r>
        <w:rPr>
          <w:lang w:val="fr-FR"/>
        </w:rPr>
        <w:t xml:space="preserve"> </w:t>
      </w:r>
      <w:r>
        <w:rPr>
          <w:lang w:val="fr-FR"/>
        </w:rPr>
        <w:t xml:space="preserve">EHCVM en couvre</w:t>
      </w:r>
      <w:r>
        <w:rPr>
          <w:lang w:val="fr-FR"/>
        </w:rPr>
        <w:t xml:space="preserve"> </w:t>
      </w:r>
      <w:r>
        <w:rPr>
          <w:b/>
          <w:bCs/>
          <w:lang w:val="fr-FR"/>
        </w:rPr>
        <w:t xml:space="preserve">onze de façon directe</w:t>
      </w:r>
      <w:r>
        <w:rPr>
          <w:lang w:val="fr-FR"/>
        </w:rPr>
        <w:t xml:space="preserve">, trois de façon indirecte, deux partiellement, et</w:t>
      </w:r>
      <w:r>
        <w:rPr>
          <w:lang w:val="fr-FR"/>
        </w:rPr>
        <w:t xml:space="preserve"> </w:t>
      </w:r>
      <w:r>
        <w:rPr>
          <w:lang w:val="fr-FR"/>
        </w:rPr>
        <w:t xml:space="preserve">laisse six hors de portée.</w:t>
      </w:r>
    </w:p>
    <w:p>
      <w:pPr>
        <w:pStyle w:val="BlockText"/>
      </w:pPr>
      <w:r>
        <w:rPr>
          <w:lang w:val="fr-FR"/>
        </w:rPr>
        <w:t xml:space="preserve">Ce décompte est à manier avec prudence : il compte des</w:t>
      </w:r>
      <w:r>
        <w:rPr>
          <w:lang w:val="fr-FR"/>
        </w:rPr>
        <w:t xml:space="preserve"> </w:t>
      </w:r>
      <w:r>
        <w:rPr>
          <w:i/>
          <w:iCs/>
          <w:lang w:val="fr-FR"/>
        </w:rPr>
        <w:t xml:space="preserve">cibles</w:t>
      </w:r>
      <w:r>
        <w:rPr>
          <w:lang w:val="fr-FR"/>
        </w:rPr>
        <w:t xml:space="preserve">, et plusieurs cibles</w:t>
      </w:r>
      <w:r>
        <w:rPr>
          <w:lang w:val="fr-FR"/>
        </w:rPr>
        <w:t xml:space="preserve"> </w:t>
      </w:r>
      <w:r>
        <w:rPr>
          <w:lang w:val="fr-FR"/>
        </w:rPr>
        <w:t xml:space="preserve">retombent sur le</w:t>
      </w:r>
      <w:r>
        <w:rPr>
          <w:lang w:val="fr-FR"/>
        </w:rPr>
        <w:t xml:space="preserve"> </w:t>
      </w:r>
      <w:r>
        <w:rPr>
          <w:i/>
          <w:iCs/>
          <w:lang w:val="fr-FR"/>
        </w:rPr>
        <w:t xml:space="preserve">même</w:t>
      </w:r>
      <w:r>
        <w:rPr>
          <w:lang w:val="fr-FR"/>
        </w:rPr>
        <w:t xml:space="preserve"> </w:t>
      </w:r>
      <w:r>
        <w:rPr>
          <w:lang w:val="fr-FR"/>
        </w:rPr>
        <w:t xml:space="preserve">indicateur — les deux cibles d’analphabétisme comme les deux cibles</w:t>
      </w:r>
      <w:r>
        <w:rPr>
          <w:lang w:val="fr-FR"/>
        </w:rPr>
        <w:t xml:space="preserve"> </w:t>
      </w:r>
      <w:r>
        <w:rPr>
          <w:lang w:val="fr-FR"/>
        </w:rPr>
        <w:t xml:space="preserve">de couverture sociale. En indicateurs distincts à prise directe, le compte tombe à</w:t>
      </w:r>
      <w:r>
        <w:rPr>
          <w:lang w:val="fr-FR"/>
        </w:rPr>
        <w:t xml:space="preserve"> </w:t>
      </w:r>
      <w:r>
        <w:rPr>
          <w:b/>
          <w:bCs/>
          <w:lang w:val="fr-FR"/>
        </w:rPr>
        <w:t xml:space="preserve">neuf</w:t>
      </w:r>
      <w:r>
        <w:rPr>
          <w:lang w:val="fr-FR"/>
        </w:rPr>
        <w:t xml:space="preserve">.</w:t>
      </w:r>
    </w:p>
    <w:p>
      <w:pPr>
        <w:pStyle w:val="BlockText"/>
      </w:pPr>
      <w:r>
        <w:rPr>
          <w:lang w:val="fr-FR"/>
        </w:rPr>
        <w:t xml:space="preserve">Il favorise en outre mécaniquement la source qui porte le plus d’indicateurs : l’EHCVM en a seize,</w:t>
      </w:r>
      <w:r>
        <w:rPr>
          <w:lang w:val="fr-FR"/>
        </w:rPr>
        <w:t xml:space="preserve"> </w:t>
      </w:r>
      <w:r>
        <w:rPr>
          <w:lang w:val="fr-FR"/>
        </w:rPr>
        <w:t xml:space="preserve">le RGPH treize. Ce n’est pas un résultat, c’est une propriété du questionnaire.</w:t>
      </w:r>
    </w:p>
    <w:bookmarkEnd w:id="12"/>
    <w:bookmarkEnd w:id="13"/>
    <w:bookmarkStart w:id="18" w:name="X56657bee63f4e9cdd955f8f481df8d8e851c411"/>
    <w:p>
      <w:pPr>
        <w:pStyle w:val="Heading1"/>
      </w:pPr>
      <w:r>
        <w:rPr>
          <w:lang w:val="fr-FR"/>
        </w:rPr>
        <w:t xml:space="preserve">Les quatre apports que l’EHCVM est seul à fournir</w:t>
      </w:r>
    </w:p>
    <w:bookmarkStart w:id="14" w:name="Xbb083668aa310754a2f42076430ef11759fd064"/>
    <w:p>
      <w:pPr>
        <w:pStyle w:val="Heading2"/>
      </w:pPr>
      <w:r>
        <w:rPr>
          <w:lang w:val="fr-FR"/>
        </w:rPr>
        <w:t xml:space="preserve">La Couverture Maladie Universelle et la protection sociale</w:t>
      </w:r>
    </w:p>
    <w:p>
      <w:pPr>
        <w:pStyle w:val="FirstParagraph"/>
      </w:pPr>
      <w:r>
        <w:rPr>
          <w:lang w:val="fr-FR"/>
        </w:rPr>
        <w:t xml:space="preserve">Le PND fixe deux cibles chiffrées sur ce terrain : porter les enrôlés à la CMU de 20 à 30 millions,</w:t>
      </w:r>
      <w:r>
        <w:rPr>
          <w:lang w:val="fr-FR"/>
        </w:rPr>
        <w:t xml:space="preserve"> </w:t>
      </w:r>
      <w:r>
        <w:rPr>
          <w:lang w:val="fr-FR"/>
        </w:rPr>
        <w:t xml:space="preserve">et la couverture par un dispositif de protection sociale de 27 à 50 %. L’indicateur</w:t>
      </w:r>
      <w:r>
        <w:rPr>
          <w:lang w:val="fr-FR"/>
        </w:rPr>
        <w:t xml:space="preserve"> </w:t>
      </w:r>
      <w:r>
        <w:rPr>
          <w:rStyle w:val="VerbatimChar"/>
          <w:lang w:val="fr-FR"/>
        </w:rPr>
        <w:t xml:space="preserve">assurance_maladie</w:t>
      </w:r>
      <w:r>
        <w:rPr>
          <w:lang w:val="fr-FR"/>
        </w:rPr>
        <w:t xml:space="preserve"> </w:t>
      </w:r>
      <w:r>
        <w:rPr>
          <w:lang w:val="fr-FR"/>
        </w:rPr>
        <w:t xml:space="preserve">de l’IPM les mesure directement, à l’échelle du ménage.</w:t>
      </w:r>
    </w:p>
    <w:p>
      <w:pPr>
        <w:pStyle w:val="BodyText"/>
      </w:pPr>
      <w:r>
        <w:rPr>
          <w:lang w:val="fr-FR"/>
        </w:rPr>
        <w:t xml:space="preserve">Le chiffre qu’il donne est d’ailleurs le plus frappant de tout l’indice :</w:t>
      </w:r>
      <w:r>
        <w:rPr>
          <w:lang w:val="fr-FR"/>
        </w:rPr>
        <w:t xml:space="preserve"> </w:t>
      </w:r>
      <w:r>
        <w:rPr>
          <w:b/>
          <w:bCs/>
          <w:lang w:val="fr-FR"/>
        </w:rPr>
        <w:t xml:space="preserve">90,2 % de la</w:t>
      </w:r>
      <w:r>
        <w:rPr>
          <w:b/>
          <w:bCs/>
          <w:lang w:val="fr-FR"/>
        </w:rPr>
        <w:t xml:space="preserve"> </w:t>
      </w:r>
      <w:r>
        <w:rPr>
          <w:b/>
          <w:bCs/>
          <w:lang w:val="fr-FR"/>
        </w:rPr>
        <w:t xml:space="preserve">population vit dans un ménage dont aucun membre n’est couvert</w:t>
      </w:r>
      <w:r>
        <w:rPr>
          <w:lang w:val="fr-FR"/>
        </w:rPr>
        <w:t xml:space="preserve">. C’est un ordre de grandeur que la</w:t>
      </w:r>
      <w:r>
        <w:rPr>
          <w:lang w:val="fr-FR"/>
        </w:rPr>
        <w:t xml:space="preserve"> </w:t>
      </w:r>
      <w:r>
        <w:rPr>
          <w:lang w:val="fr-FR"/>
        </w:rPr>
        <w:t xml:space="preserve">cible CMU du PND — 30 millions d’enrôlés sur une population de 29,8 millions — laisse penser</w:t>
      </w:r>
      <w:r>
        <w:rPr>
          <w:lang w:val="fr-FR"/>
        </w:rPr>
        <w:t xml:space="preserve"> </w:t>
      </w:r>
      <w:r>
        <w:rPr>
          <w:lang w:val="fr-FR"/>
        </w:rPr>
        <w:t xml:space="preserve">atteignable, à condition de distinguer l’enrôlement de la couverture effective.</w:t>
      </w:r>
    </w:p>
    <w:bookmarkEnd w:id="14"/>
    <w:bookmarkStart w:id="15" w:name="la-sécurité-nutritionnelle"/>
    <w:p>
      <w:pPr>
        <w:pStyle w:val="Heading2"/>
      </w:pPr>
      <w:r>
        <w:rPr>
          <w:lang w:val="fr-FR"/>
        </w:rPr>
        <w:t xml:space="preserve">La sécurité nutritionnelle</w:t>
      </w:r>
    </w:p>
    <w:p>
      <w:pPr>
        <w:pStyle w:val="FirstParagraph"/>
      </w:pPr>
      <w:r>
        <w:rPr>
          <w:lang w:val="fr-FR"/>
        </w:rPr>
        <w:t xml:space="preserve">Le PND fait de la sécurité nutritionnelle un axe stratégique à part entière du Pilier 4, avec une</w:t>
      </w:r>
      <w:r>
        <w:rPr>
          <w:lang w:val="fr-FR"/>
        </w:rPr>
        <w:t xml:space="preserve"> </w:t>
      </w:r>
      <w:r>
        <w:rPr>
          <w:lang w:val="fr-FR"/>
        </w:rPr>
        <w:t xml:space="preserve">cible sur le retard de croissance des moins de 5 ans (21,4</w:t>
      </w:r>
      <w:r>
        <w:rPr>
          <w:lang w:val="fr-FR"/>
        </w:rPr>
        <w:t xml:space="preserve"> </w:t>
      </w:r>
      <m:oMath>
        <m:r>
          <m:rPr>
            <m:sty m:val="p"/>
          </m:rPr>
          <m:t>→</m:t>
        </m:r>
      </m:oMath>
      <w:r>
        <w:rPr>
          <w:lang w:val="fr-FR"/>
        </w:rPr>
        <w:t xml:space="preserve"> </w:t>
      </w:r>
      <w:r>
        <w:rPr>
          <w:lang w:val="fr-FR"/>
        </w:rPr>
        <w:t xml:space="preserve">18 %) et une insistance sur les</w:t>
      </w:r>
      <w:r>
        <w:rPr>
          <w:lang w:val="fr-FR"/>
        </w:rPr>
        <w:t xml:space="preserve"> </w:t>
      </w:r>
      <w:r>
        <w:rPr>
          <w:lang w:val="fr-FR"/>
        </w:rPr>
        <w:t xml:space="preserve">« 2 000 premiers jours de vie ».</w:t>
      </w:r>
    </w:p>
    <w:p>
      <w:pPr>
        <w:pStyle w:val="BodyText"/>
      </w:pPr>
      <w:r>
        <w:rPr>
          <w:lang w:val="fr-FR"/>
        </w:rPr>
        <w:t xml:space="preserve">L’EHCVM ne mesure pas l’anthropométrie, mais elle porte l’échelle FIES de la FAO, sur laquelle</w:t>
      </w:r>
      <w:r>
        <w:rPr>
          <w:lang w:val="fr-FR"/>
        </w:rPr>
        <w:t xml:space="preserve"> </w:t>
      </w:r>
      <w:r>
        <w:rPr>
          <w:lang w:val="fr-FR"/>
        </w:rPr>
        <w:t xml:space="preserve">l’IPM construit son indicateur d’insécurité alimentaire :</w:t>
      </w:r>
      <w:r>
        <w:rPr>
          <w:lang w:val="fr-FR"/>
        </w:rPr>
        <w:t xml:space="preserve"> </w:t>
      </w:r>
      <w:r>
        <w:rPr>
          <w:b/>
          <w:bCs/>
          <w:lang w:val="fr-FR"/>
        </w:rPr>
        <w:t xml:space="preserve">40,8 % de la population vit dans</w:t>
      </w:r>
      <w:r>
        <w:rPr>
          <w:b/>
          <w:bCs/>
          <w:lang w:val="fr-FR"/>
        </w:rPr>
        <w:t xml:space="preserve"> </w:t>
      </w:r>
      <w:r>
        <w:rPr>
          <w:b/>
          <w:bCs/>
          <w:lang w:val="fr-FR"/>
        </w:rPr>
        <w:t xml:space="preserve">un ménage en insécurité alimentaire modérée ou sévère</w:t>
      </w:r>
      <w:r>
        <w:rPr>
          <w:lang w:val="fr-FR"/>
        </w:rPr>
        <w:t xml:space="preserve">. Ce n’est pas le retard de croissance, mais</w:t>
      </w:r>
      <w:r>
        <w:rPr>
          <w:lang w:val="fr-FR"/>
        </w:rPr>
        <w:t xml:space="preserve"> </w:t>
      </w:r>
      <w:r>
        <w:rPr>
          <w:lang w:val="fr-FR"/>
        </w:rPr>
        <w:t xml:space="preserve">c’est la mesure du déterminant immédiat que le PND cherche à traiter.</w:t>
      </w:r>
    </w:p>
    <w:bookmarkEnd w:id="15"/>
    <w:bookmarkStart w:id="16" w:name="laccès-effectif-aux-soins"/>
    <w:p>
      <w:pPr>
        <w:pStyle w:val="Heading2"/>
      </w:pPr>
      <w:r>
        <w:rPr>
          <w:lang w:val="fr-FR"/>
        </w:rPr>
        <w:t xml:space="preserve">L’accès effectif aux soins</w:t>
      </w:r>
    </w:p>
    <w:p>
      <w:pPr>
        <w:pStyle w:val="FirstParagraph"/>
      </w:pPr>
      <w:r>
        <w:rPr>
          <w:lang w:val="fr-FR"/>
        </w:rPr>
        <w:t xml:space="preserve">La cible « porter la proportion de personnes vivant à moins de 5 km d’un établissement de santé de</w:t>
      </w:r>
      <w:r>
        <w:rPr>
          <w:lang w:val="fr-FR"/>
        </w:rPr>
        <w:t xml:space="preserve"> </w:t>
      </w:r>
      <w:r>
        <w:rPr>
          <w:lang w:val="fr-FR"/>
        </w:rPr>
        <w:t xml:space="preserve">82 à 100 % » est une cible d’offre. L’indicateur</w:t>
      </w:r>
      <w:r>
        <w:rPr>
          <w:lang w:val="fr-FR"/>
        </w:rPr>
        <w:t xml:space="preserve"> </w:t>
      </w:r>
      <w:r>
        <w:rPr>
          <w:rStyle w:val="VerbatimChar"/>
          <w:lang w:val="fr-FR"/>
        </w:rPr>
        <w:t xml:space="preserve">renoncement_soins</w:t>
      </w:r>
      <w:r>
        <w:rPr>
          <w:lang w:val="fr-FR"/>
        </w:rPr>
        <w:t xml:space="preserve"> </w:t>
      </w:r>
      <w:r>
        <w:rPr>
          <w:lang w:val="fr-FR"/>
        </w:rPr>
        <w:t xml:space="preserve">mesure le résultat de</w:t>
      </w:r>
      <w:r>
        <w:rPr>
          <w:lang w:val="fr-FR"/>
        </w:rPr>
        <w:t xml:space="preserve"> </w:t>
      </w:r>
      <w:r>
        <w:rPr>
          <w:lang w:val="fr-FR"/>
        </w:rPr>
        <w:t xml:space="preserve">cette offre du point de vue du ménage : un membre a eu un problème de santé, n’a pas consulté, et</w:t>
      </w:r>
      <w:r>
        <w:rPr>
          <w:lang w:val="fr-FR"/>
        </w:rPr>
        <w:t xml:space="preserve"> </w:t>
      </w:r>
      <w:r>
        <w:rPr>
          <w:lang w:val="fr-FR"/>
        </w:rPr>
        <w:t xml:space="preserve">a cité comme raison le coût ou</w:t>
      </w:r>
      <w:r>
        <w:rPr>
          <w:lang w:val="fr-FR"/>
        </w:rPr>
        <w:t xml:space="preserve"> </w:t>
      </w:r>
      <w:r>
        <w:rPr>
          <w:b/>
          <w:bCs/>
          <w:lang w:val="fr-FR"/>
        </w:rPr>
        <w:t xml:space="preserve">l’indisponibilité du service ou du personnel</w:t>
      </w:r>
      <w:r>
        <w:rPr>
          <w:lang w:val="fr-FR"/>
        </w:rPr>
        <w:t xml:space="preserve">.</w:t>
      </w:r>
    </w:p>
    <w:p>
      <w:pPr>
        <w:pStyle w:val="BodyText"/>
      </w:pPr>
      <w:r>
        <w:rPr>
          <w:lang w:val="fr-FR"/>
        </w:rPr>
        <w:t xml:space="preserve">C’est ce second motif qui intéresse directement le PND : il mesure le déficit d’offre là où il est</w:t>
      </w:r>
      <w:r>
        <w:rPr>
          <w:lang w:val="fr-FR"/>
        </w:rPr>
        <w:t xml:space="preserve"> </w:t>
      </w:r>
      <w:r>
        <w:rPr>
          <w:lang w:val="fr-FR"/>
        </w:rPr>
        <w:t xml:space="preserve">subi, et non la distance théorique à un établissement.</w:t>
      </w:r>
    </w:p>
    <w:bookmarkEnd w:id="16"/>
    <w:bookmarkStart w:id="17" w:name="le-genre-et-la-pauvreté-monétaire"/>
    <w:p>
      <w:pPr>
        <w:pStyle w:val="Heading2"/>
      </w:pPr>
      <w:r>
        <w:rPr>
          <w:lang w:val="fr-FR"/>
        </w:rPr>
        <w:t xml:space="preserve">Le genre et la pauvreté monétaire</w:t>
      </w:r>
    </w:p>
    <w:p>
      <w:pPr>
        <w:pStyle w:val="FirstParagraph"/>
      </w:pPr>
      <w:r>
        <w:rPr>
          <w:lang w:val="fr-FR"/>
        </w:rPr>
        <w:t xml:space="preserve">Le</w:t>
      </w:r>
      <w:r>
        <w:rPr>
          <w:lang w:val="fr-FR"/>
        </w:rPr>
        <w:t xml:space="preserve"> </w:t>
      </w:r>
      <w:r>
        <w:rPr>
          <w:b/>
          <w:bCs/>
          <w:lang w:val="fr-FR"/>
        </w:rPr>
        <w:t xml:space="preserve">sexe du chef de ménage</w:t>
      </w:r>
      <w:r>
        <w:rPr>
          <w:lang w:val="fr-FR"/>
        </w:rPr>
        <w:t xml:space="preserve"> </w:t>
      </w:r>
      <w:r>
        <w:rPr>
          <w:lang w:val="fr-FR"/>
        </w:rPr>
        <w:t xml:space="preserve">est disponible dans l’EHCVM et permet de désagréger l’indice</w:t>
      </w:r>
      <w:r>
        <w:rPr>
          <w:lang w:val="fr-FR"/>
        </w:rPr>
        <w:t xml:space="preserve"> </w:t>
      </w:r>
      <w:r>
        <w:rPr>
          <w:lang w:val="fr-FR"/>
        </w:rPr>
        <w:t xml:space="preserve">par sexe — ce que le recensement, dans l’extrait transmis, ne permet pas.</w:t>
      </w:r>
    </w:p>
    <w:p>
      <w:pPr>
        <w:pStyle w:val="BlockText"/>
      </w:pPr>
      <w:r>
        <w:rPr>
          <w:b/>
          <w:bCs/>
          <w:lang w:val="fr-FR"/>
        </w:rPr>
        <w:t xml:space="preserve">Attention — Ne pas surestimer cet avantage</w:t>
      </w:r>
    </w:p>
    <w:p>
      <w:pPr>
        <w:pStyle w:val="BlockText"/>
      </w:pPr>
      <w:r>
        <w:rPr>
          <w:lang w:val="fr-FR"/>
        </w:rPr>
        <w:t xml:space="preserve">Deux réserves. D’abord, désagréger l’IPM par sexe du chef de ménage ne</w:t>
      </w:r>
      <w:r>
        <w:rPr>
          <w:lang w:val="fr-FR"/>
        </w:rPr>
        <w:t xml:space="preserve"> </w:t>
      </w:r>
      <w:r>
        <w:rPr>
          <w:i/>
          <w:iCs/>
          <w:lang w:val="fr-FR"/>
        </w:rPr>
        <w:t xml:space="preserve">mesure</w:t>
      </w:r>
      <w:r>
        <w:rPr>
          <w:lang w:val="fr-FR"/>
        </w:rPr>
        <w:t xml:space="preserve"> </w:t>
      </w:r>
      <w:r>
        <w:rPr>
          <w:lang w:val="fr-FR"/>
        </w:rPr>
        <w:t xml:space="preserve">pas la cible</w:t>
      </w:r>
      <w:r>
        <w:rPr>
          <w:lang w:val="fr-FR"/>
        </w:rPr>
        <w:t xml:space="preserve"> </w:t>
      </w:r>
      <w:r>
        <w:rPr>
          <w:lang w:val="fr-FR"/>
        </w:rPr>
        <w:t xml:space="preserve">« indice de l’écart genre 0,655</w:t>
      </w:r>
      <w:r>
        <w:rPr>
          <w:lang w:val="fr-FR"/>
        </w:rPr>
        <w:t xml:space="preserve"> </w:t>
      </w:r>
      <m:oMath>
        <m:r>
          <m:rPr>
            <m:sty m:val="p"/>
          </m:rPr>
          <m:t>→</m:t>
        </m:r>
      </m:oMath>
      <w:r>
        <w:rPr>
          <w:lang w:val="fr-FR"/>
        </w:rPr>
        <w:t xml:space="preserve"> </w:t>
      </w:r>
      <w:r>
        <w:rPr>
          <w:lang w:val="fr-FR"/>
        </w:rPr>
        <w:t xml:space="preserve">0,7 » : cet indice est un composite couvrant l’emploi,</w:t>
      </w:r>
      <w:r>
        <w:rPr>
          <w:lang w:val="fr-FR"/>
        </w:rPr>
        <w:t xml:space="preserve"> </w:t>
      </w:r>
      <w:r>
        <w:rPr>
          <w:lang w:val="fr-FR"/>
        </w:rPr>
        <w:t xml:space="preserve">l’éducation, la santé et la représentation politique. C’est un éclairage, pas une mesure.</w:t>
      </w:r>
    </w:p>
    <w:p>
      <w:pPr>
        <w:pStyle w:val="BlockText"/>
      </w:pPr>
      <w:r>
        <w:rPr>
          <w:lang w:val="fr-FR"/>
        </w:rPr>
        <w:t xml:space="preserve">Ensuite, l’absence du sexe au RGPH est un fait de</w:t>
      </w:r>
      <w:r>
        <w:rPr>
          <w:lang w:val="fr-FR"/>
        </w:rPr>
        <w:t xml:space="preserve"> </w:t>
      </w:r>
      <w:r>
        <w:rPr>
          <w:b/>
          <w:bCs/>
          <w:lang w:val="fr-FR"/>
        </w:rPr>
        <w:t xml:space="preserve">transmission, non de collecte</w:t>
      </w:r>
      <w:r>
        <w:rPr>
          <w:lang w:val="fr-FR"/>
        </w:rPr>
        <w:t xml:space="preserve"> </w:t>
      </w:r>
      <w:r>
        <w:rPr>
          <w:lang w:val="fr-FR"/>
        </w:rPr>
        <w:t xml:space="preserve">: la</w:t>
      </w:r>
      <w:r>
        <w:rPr>
          <w:lang w:val="fr-FR"/>
        </w:rPr>
        <w:t xml:space="preserve"> </w:t>
      </w:r>
      <w:r>
        <w:rPr>
          <w:lang w:val="fr-FR"/>
        </w:rPr>
        <w:t xml:space="preserve">numérotation des questions de l’extrait passe de P16 à P18, la question P17 manquant — c’est</w:t>
      </w:r>
      <w:r>
        <w:rPr>
          <w:lang w:val="fr-FR"/>
        </w:rPr>
        <w:t xml:space="preserve"> </w:t>
      </w:r>
      <w:r>
        <w:rPr>
          <w:lang w:val="fr-FR"/>
        </w:rPr>
        <w:t xml:space="preserve">très probablement le sexe. Une demande à l’INS lèverait cette limite du côté du recensement.</w:t>
      </w:r>
    </w:p>
    <w:p>
      <w:pPr>
        <w:pStyle w:val="FirstParagraph"/>
      </w:pPr>
      <w:r>
        <w:rPr>
          <w:lang w:val="fr-FR"/>
        </w:rPr>
        <w:t xml:space="preserve">L’apport réellement propre à l’EHCVM est ailleurs : elle porte dans la même base la</w:t>
      </w:r>
      <w:r>
        <w:rPr>
          <w:lang w:val="fr-FR"/>
        </w:rPr>
        <w:t xml:space="preserve"> </w:t>
      </w:r>
      <w:r>
        <w:rPr>
          <w:b/>
          <w:bCs/>
          <w:lang w:val="fr-FR"/>
        </w:rPr>
        <w:t xml:space="preserve">consommation des ménages</w:t>
      </w:r>
      <w:r>
        <w:rPr>
          <w:lang w:val="fr-FR"/>
        </w:rPr>
        <w:t xml:space="preserve"> </w:t>
      </w:r>
      <w:r>
        <w:rPr>
          <w:lang w:val="fr-FR"/>
        </w:rPr>
        <w:t xml:space="preserve">: c’est elle qui</w:t>
      </w:r>
      <w:r>
        <w:rPr>
          <w:lang w:val="fr-FR"/>
        </w:rPr>
        <w:t xml:space="preserve"> </w:t>
      </w:r>
      <w:r>
        <w:rPr>
          <w:lang w:val="fr-FR"/>
        </w:rPr>
        <w:t xml:space="preserve">produit le taux de pauvreté monétaire cité par le PND. Les deux pauvretés peuvent donc être</w:t>
      </w:r>
      <w:r>
        <w:rPr>
          <w:lang w:val="fr-FR"/>
        </w:rPr>
        <w:t xml:space="preserve"> </w:t>
      </w:r>
      <w:r>
        <w:rPr>
          <w:lang w:val="fr-FR"/>
        </w:rPr>
        <w:t xml:space="preserve">croisées ménage par ménage.</w:t>
      </w:r>
    </w:p>
    <w:p>
      <w:pPr>
        <w:pStyle w:val="BodyText"/>
      </w:pPr>
      <w:r>
        <w:rPr>
          <w:lang w:val="fr-FR"/>
        </w:rPr>
        <w:t xml:space="preserve">Le tableau ci-dessous porte sur les 9 800 ménages pour lesquels l’indicateur de bien-être est</w:t>
      </w:r>
      <w:r>
        <w:rPr>
          <w:lang w:val="fr-FR"/>
        </w:rPr>
        <w:t xml:space="preserve"> </w:t>
      </w:r>
      <w:r>
        <w:rPr>
          <w:lang w:val="fr-FR"/>
        </w:rPr>
        <w:t xml:space="preserve">renseigné, soit 18,7 millions de personnes.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rPr>
                <w:b/>
                <w:bCs/>
                <w:lang w:val="fr-FR"/>
              </w:rPr>
              <w:t xml:space="preserve">Pauvre au sens de l’IPM</w:t>
            </w:r>
          </w:p>
        </w:tc>
        <w:tc>
          <w:tcPr/>
          <w:p>
            <w:pPr>
              <w:pStyle w:val="Compact"/>
              <w:jc w:val="right"/>
            </w:pPr>
            <w:r>
              <w:rPr>
                <w:b/>
                <w:bCs/>
                <w:lang w:val="fr-FR"/>
              </w:rPr>
              <w:t xml:space="preserve">Non pauvre IPM</w:t>
            </w:r>
          </w:p>
        </w:tc>
      </w:tr>
      <w:tr>
        <w:tc>
          <w:tcPr/>
          <w:p>
            <w:pPr>
              <w:pStyle w:val="Compact"/>
              <w:jc w:val="left"/>
            </w:pPr>
            <w:r>
              <w:rPr>
                <w:lang w:val="fr-FR"/>
              </w:rPr>
              <w:t xml:space="preserve">Pauvre monétaire</w:t>
            </w:r>
          </w:p>
        </w:tc>
        <w:tc>
          <w:tcPr/>
          <w:p>
            <w:pPr>
              <w:pStyle w:val="Compact"/>
              <w:jc w:val="right"/>
            </w:pPr>
            <w:r>
              <w:rPr>
                <w:lang w:val="fr-FR"/>
              </w:rPr>
              <w:t xml:space="preserve">41,7 %</w:t>
            </w:r>
          </w:p>
        </w:tc>
        <w:tc>
          <w:tcPr/>
          <w:p>
            <w:pPr>
              <w:pStyle w:val="Compact"/>
              <w:jc w:val="right"/>
            </w:pPr>
            <w:r>
              <w:rPr>
                <w:lang w:val="fr-FR"/>
              </w:rPr>
              <w:t xml:space="preserve">6,7 %</w:t>
            </w:r>
          </w:p>
        </w:tc>
      </w:tr>
      <w:tr>
        <w:tc>
          <w:tcPr/>
          <w:p>
            <w:pPr>
              <w:pStyle w:val="Compact"/>
              <w:jc w:val="left"/>
            </w:pPr>
            <w:r>
              <w:rPr>
                <w:lang w:val="fr-FR"/>
              </w:rPr>
              <w:t xml:space="preserve">Non pauvre monétaire</w:t>
            </w:r>
          </w:p>
        </w:tc>
        <w:tc>
          <w:tcPr/>
          <w:p>
            <w:pPr>
              <w:pStyle w:val="Compact"/>
              <w:jc w:val="right"/>
            </w:pPr>
            <w:r>
              <w:rPr>
                <w:lang w:val="fr-FR"/>
              </w:rPr>
              <w:t xml:space="preserve">28,2 %</w:t>
            </w:r>
          </w:p>
        </w:tc>
        <w:tc>
          <w:tcPr/>
          <w:p>
            <w:pPr>
              <w:pStyle w:val="Compact"/>
              <w:jc w:val="right"/>
            </w:pPr>
            <w:r>
              <w:rPr>
                <w:lang w:val="fr-FR"/>
              </w:rPr>
              <w:t xml:space="preserve">23,4 %</w:t>
            </w:r>
          </w:p>
        </w:tc>
      </w:tr>
    </w:tbl>
    <w:p>
      <w:pPr>
        <w:pStyle w:val="BodyText"/>
      </w:pPr>
      <w:r>
        <w:rPr>
          <w:lang w:val="fr-FR"/>
        </w:rPr>
        <w:t xml:space="preserve">Deux enseignements, dont un seul est solide.</w:t>
      </w:r>
    </w:p>
    <w:p>
      <w:pPr>
        <w:pStyle w:val="BodyText"/>
      </w:pPr>
      <w:r>
        <w:rPr>
          <w:lang w:val="fr-FR"/>
        </w:rPr>
        <w:t xml:space="preserve">Le premier l’est :</w:t>
      </w:r>
      <w:r>
        <w:rPr>
          <w:lang w:val="fr-FR"/>
        </w:rPr>
        <w:t xml:space="preserve"> </w:t>
      </w:r>
      <w:r>
        <w:rPr>
          <w:b/>
          <w:bCs/>
          <w:lang w:val="fr-FR"/>
        </w:rPr>
        <w:t xml:space="preserve">86,1 % des pauvres monétaires sont aussi pauvres au sens</w:t>
      </w:r>
      <w:r>
        <w:rPr>
          <w:b/>
          <w:bCs/>
          <w:lang w:val="fr-FR"/>
        </w:rPr>
        <w:t xml:space="preserve"> </w:t>
      </w:r>
      <w:r>
        <w:rPr>
          <w:b/>
          <w:bCs/>
          <w:lang w:val="fr-FR"/>
        </w:rPr>
        <w:t xml:space="preserve">multidimensionnel</w:t>
      </w:r>
      <w:r>
        <w:rPr>
          <w:lang w:val="fr-FR"/>
        </w:rPr>
        <w:t xml:space="preserve">. C’est un rapport calculé à l’intérieur du champ, donc insensible à la façon</w:t>
      </w:r>
      <w:r>
        <w:rPr>
          <w:lang w:val="fr-FR"/>
        </w:rPr>
        <w:t xml:space="preserve"> </w:t>
      </w:r>
      <w:r>
        <w:rPr>
          <w:lang w:val="fr-FR"/>
        </w:rPr>
        <w:t xml:space="preserve">dont on traite les ménages sans indicateur de bien-être — il vaut 86,1 % quelle que soit la</w:t>
      </w:r>
      <w:r>
        <w:rPr>
          <w:lang w:val="fr-FR"/>
        </w:rPr>
        <w:t xml:space="preserve"> </w:t>
      </w:r>
      <w:r>
        <w:rPr>
          <w:lang w:val="fr-FR"/>
        </w:rPr>
        <w:t xml:space="preserve">convention retenue. La pauvreté monétaire est presque entièrement incluse dans la pauvreté</w:t>
      </w:r>
      <w:r>
        <w:rPr>
          <w:lang w:val="fr-FR"/>
        </w:rPr>
        <w:t xml:space="preserve"> </w:t>
      </w:r>
      <w:r>
        <w:rPr>
          <w:lang w:val="fr-FR"/>
        </w:rPr>
        <w:t xml:space="preserve">multidimensionnelle.</w:t>
      </w:r>
    </w:p>
    <w:p>
      <w:pPr>
        <w:pStyle w:val="BodyText"/>
      </w:pPr>
      <w:r>
        <w:rPr>
          <w:lang w:val="fr-FR"/>
        </w:rPr>
        <w:t xml:space="preserve">Le second ne l’est pas au même degré, mais sa direction ne fait pas de doute : une part importante</w:t>
      </w:r>
      <w:r>
        <w:rPr>
          <w:lang w:val="fr-FR"/>
        </w:rPr>
        <w:t xml:space="preserve"> </w:t>
      </w:r>
      <w:r>
        <w:rPr>
          <w:lang w:val="fr-FR"/>
        </w:rPr>
        <w:t xml:space="preserve">de la population est</w:t>
      </w:r>
      <w:r>
        <w:rPr>
          <w:lang w:val="fr-FR"/>
        </w:rPr>
        <w:t xml:space="preserve"> </w:t>
      </w:r>
      <w:r>
        <w:rPr>
          <w:b/>
          <w:bCs/>
          <w:lang w:val="fr-FR"/>
        </w:rPr>
        <w:t xml:space="preserve">privée sans être pauvre monétairement</w:t>
      </w:r>
      <w:r>
        <w:rPr>
          <w:lang w:val="fr-FR"/>
        </w:rPr>
        <w:t xml:space="preserve"> </w:t>
      </w:r>
      <w:r>
        <w:rPr>
          <w:lang w:val="fr-FR"/>
        </w:rPr>
        <w:t xml:space="preserve">— 28,2 points ici, 31,7</w:t>
      </w:r>
      <w:r>
        <w:rPr>
          <w:lang w:val="fr-FR"/>
        </w:rPr>
        <w:t xml:space="preserve"> </w:t>
      </w:r>
      <w:r>
        <w:rPr>
          <w:lang w:val="fr-FR"/>
        </w:rPr>
        <w:t xml:space="preserve">points si l’on raisonne sur l’ensemble de l’échantillon. Une politique qui ne suivrait que le</w:t>
      </w:r>
      <w:r>
        <w:rPr>
          <w:lang w:val="fr-FR"/>
        </w:rPr>
        <w:t xml:space="preserve"> </w:t>
      </w:r>
      <w:r>
        <w:rPr>
          <w:lang w:val="fr-FR"/>
        </w:rPr>
        <w:t xml:space="preserve">revenu manquerait cette population, que le PND entend pourtant servir.</w:t>
      </w:r>
    </w:p>
    <w:p>
      <w:pPr>
        <w:pStyle w:val="BlockText"/>
      </w:pPr>
      <w:r>
        <w:rPr>
          <w:b/>
          <w:bCs/>
          <w:lang w:val="fr-FR"/>
        </w:rPr>
        <w:t xml:space="preserve">Attention — Pourquoi les niveaux ne doivent pas être publiés tels quels</w:t>
      </w:r>
    </w:p>
    <w:p>
      <w:pPr>
        <w:pStyle w:val="BlockText"/>
      </w:pPr>
      <w:r>
        <w:rPr>
          <w:lang w:val="fr-FR"/>
        </w:rPr>
        <w:t xml:space="preserve">L’indicateur de bien-être (</w:t>
      </w:r>
      <w:r>
        <w:rPr>
          <w:rStyle w:val="VerbatimChar"/>
          <w:lang w:val="fr-FR"/>
        </w:rPr>
        <w:t xml:space="preserve">pcexp</w:t>
      </w:r>
      <w:r>
        <w:rPr>
          <w:lang w:val="fr-FR"/>
        </w:rPr>
        <w:t xml:space="preserve">) et le seuil national (</w:t>
      </w:r>
      <w:r>
        <w:rPr>
          <w:rStyle w:val="VerbatimChar"/>
          <w:lang w:val="fr-FR"/>
        </w:rPr>
        <w:t xml:space="preserve">zref</w:t>
      </w:r>
      <w:r>
        <w:rPr>
          <w:lang w:val="fr-FR"/>
        </w:rPr>
        <w:t xml:space="preserve">) ne sont renseignés que</w:t>
      </w:r>
      <w:r>
        <w:rPr>
          <w:lang w:val="fr-FR"/>
        </w:rPr>
        <w:t xml:space="preserve"> </w:t>
      </w:r>
      <w:r>
        <w:rPr>
          <w:lang w:val="fr-FR"/>
        </w:rPr>
        <w:t xml:space="preserve">pour</w:t>
      </w:r>
      <w:r>
        <w:rPr>
          <w:lang w:val="fr-FR"/>
        </w:rPr>
        <w:t xml:space="preserve"> </w:t>
      </w:r>
      <w:r>
        <w:rPr>
          <w:b/>
          <w:bCs/>
          <w:lang w:val="fr-FR"/>
        </w:rPr>
        <w:t xml:space="preserve">9 800 ménages sur 12 965</w:t>
      </w:r>
      <w:r>
        <w:rPr>
          <w:lang w:val="fr-FR"/>
        </w:rPr>
        <w:t xml:space="preserve">, soit 75,6 % de l’échantillon et 62,9 % de la population</w:t>
      </w:r>
      <w:r>
        <w:rPr>
          <w:lang w:val="fr-FR"/>
        </w:rPr>
        <w:t xml:space="preserve"> </w:t>
      </w:r>
      <w:r>
        <w:rPr>
          <w:lang w:val="fr-FR"/>
        </w:rPr>
        <w:t xml:space="preserve">pondérée : le module de consommation n’est pas exploitable pour un quart des ménages.</w:t>
      </w:r>
    </w:p>
    <w:p>
      <w:pPr>
        <w:pStyle w:val="BlockText"/>
      </w:pPr>
      <w:r>
        <w:rPr>
          <w:lang w:val="fr-FR"/>
        </w:rPr>
        <w:t xml:space="preserve">Aucune des deux lectures possibles ne retombe sur le chiffre publié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lang w:val="fr-FR"/>
              </w:rPr>
              <w:t xml:space="preserve">Lecture</w:t>
            </w:r>
          </w:p>
        </w:tc>
        <w:tc>
          <w:tcPr/>
          <w:p>
            <w:pPr>
              <w:pStyle w:val="Compact"/>
              <w:jc w:val="right"/>
            </w:pPr>
            <w:r>
              <w:rPr>
                <w:b/>
                <w:bCs/>
                <w:lang w:val="fr-FR"/>
              </w:rPr>
              <w:t xml:space="preserve">Taux monétaire</w:t>
            </w:r>
          </w:p>
        </w:tc>
      </w:tr>
      <w:tr>
        <w:tc>
          <w:tcPr/>
          <w:p>
            <w:pPr>
              <w:pStyle w:val="Compact"/>
              <w:jc w:val="left"/>
            </w:pPr>
            <w:r>
              <w:rPr>
                <w:lang w:val="fr-FR"/>
              </w:rPr>
              <w:t xml:space="preserve">Manquants comptés non pauvres, sur toute la population</w:t>
            </w:r>
          </w:p>
        </w:tc>
        <w:tc>
          <w:tcPr/>
          <w:p>
            <w:pPr>
              <w:pStyle w:val="Compact"/>
              <w:jc w:val="right"/>
            </w:pPr>
            <w:r>
              <w:rPr>
                <w:lang w:val="fr-FR"/>
              </w:rPr>
              <w:t xml:space="preserve">30,5 %</w:t>
            </w:r>
          </w:p>
        </w:tc>
      </w:tr>
      <w:tr>
        <w:tc>
          <w:tcPr/>
          <w:p>
            <w:pPr>
              <w:pStyle w:val="Compact"/>
              <w:jc w:val="left"/>
            </w:pPr>
            <w:r>
              <w:rPr>
                <w:lang w:val="fr-FR"/>
              </w:rPr>
              <w:t xml:space="preserve">Champ restreint aux 9 800 ménages renseignés</w:t>
            </w:r>
          </w:p>
        </w:tc>
        <w:tc>
          <w:tcPr/>
          <w:p>
            <w:pPr>
              <w:pStyle w:val="Compact"/>
              <w:jc w:val="right"/>
            </w:pPr>
            <w:r>
              <w:rPr>
                <w:lang w:val="fr-FR"/>
              </w:rPr>
              <w:t xml:space="preserve">48,5 %</w:t>
            </w:r>
          </w:p>
        </w:tc>
      </w:tr>
      <w:tr>
        <w:tc>
          <w:tcPr/>
          <w:p>
            <w:pPr>
              <w:pStyle w:val="Compact"/>
              <w:jc w:val="left"/>
            </w:pPr>
            <w:r>
              <w:rPr>
                <w:b/>
                <w:bCs/>
                <w:lang w:val="fr-FR"/>
              </w:rPr>
              <w:t xml:space="preserve">Publié, et repris par le PND</w:t>
            </w:r>
          </w:p>
        </w:tc>
        <w:tc>
          <w:tcPr/>
          <w:p>
            <w:pPr>
              <w:pStyle w:val="Compact"/>
              <w:jc w:val="right"/>
            </w:pPr>
            <w:r>
              <w:rPr>
                <w:b/>
                <w:bCs/>
                <w:lang w:val="fr-FR"/>
              </w:rPr>
              <w:t xml:space="preserve">37,5 %</w:t>
            </w:r>
          </w:p>
        </w:tc>
      </w:tr>
    </w:tbl>
    <w:p>
      <w:pPr>
        <w:pStyle w:val="BlockText"/>
      </w:pPr>
      <w:r>
        <w:rPr>
          <w:lang w:val="fr-FR"/>
        </w:rPr>
        <w:t xml:space="preserve">Et le sous-champ n’est pas neutre : l’IPM y vaut 69,9 % contre 58,0 % sur l’échantillon complet.</w:t>
      </w:r>
      <w:r>
        <w:rPr>
          <w:lang w:val="fr-FR"/>
        </w:rPr>
        <w:t xml:space="preserve"> </w:t>
      </w:r>
      <w:r>
        <w:rPr>
          <w:b/>
          <w:bCs/>
          <w:lang w:val="fr-FR"/>
        </w:rPr>
        <w:t xml:space="preserve">Les ménages disposant d’un indicateur de bien-être sont plus pauvres que la moyenne.</w:t>
      </w:r>
      <w:r>
        <w:rPr>
          <w:lang w:val="fr-FR"/>
        </w:rPr>
        <w:t xml:space="preserve"> </w:t>
      </w:r>
      <w:r>
        <w:rPr>
          <w:lang w:val="fr-FR"/>
        </w:rPr>
        <w:t xml:space="preserve">Reproduire le 37,5 % demanderait la pondération ou l’imputation que l’INS applique à ce</w:t>
      </w:r>
      <w:r>
        <w:rPr>
          <w:lang w:val="fr-FR"/>
        </w:rPr>
        <w:t xml:space="preserve"> </w:t>
      </w:r>
      <w:r>
        <w:rPr>
          <w:lang w:val="fr-FR"/>
        </w:rPr>
        <w:t xml:space="preserve">sous-champ, qui ne figurent pas dans la base.</w:t>
      </w:r>
    </w:p>
    <w:p>
      <w:pPr>
        <w:pStyle w:val="BlockText"/>
      </w:pPr>
      <w:r>
        <w:rPr>
          <w:lang w:val="fr-FR"/>
        </w:rPr>
        <w:t xml:space="preserve">Les déflateurs spatial et temporel présents dans la base (</w:t>
      </w:r>
      <w:r>
        <w:rPr>
          <w:rStyle w:val="VerbatimChar"/>
          <w:lang w:val="fr-FR"/>
        </w:rPr>
        <w:t xml:space="preserve">def_spa</w:t>
      </w:r>
      <w:r>
        <w:rPr>
          <w:lang w:val="fr-FR"/>
        </w:rPr>
        <w:t xml:space="preserve">,</w:t>
      </w:r>
      <w:r>
        <w:rPr>
          <w:lang w:val="fr-FR"/>
        </w:rPr>
        <w:t xml:space="preserve"> </w:t>
      </w:r>
      <w:r>
        <w:rPr>
          <w:rStyle w:val="VerbatimChar"/>
          <w:lang w:val="fr-FR"/>
        </w:rPr>
        <w:t xml:space="preserve">def_temp</w:t>
      </w:r>
      <w:r>
        <w:rPr>
          <w:lang w:val="fr-FR"/>
        </w:rPr>
        <w:t xml:space="preserve">) ne sont</w:t>
      </w:r>
      <w:r>
        <w:rPr>
          <w:lang w:val="fr-FR"/>
        </w:rPr>
        <w:t xml:space="preserve"> </w:t>
      </w:r>
      <w:r>
        <w:rPr>
          <w:lang w:val="fr-FR"/>
        </w:rPr>
        <w:t xml:space="preserve">pas en cause : quelle que soit la façon de les appliquer, le taux reste entre 30,3 et 30,9 %.</w:t>
      </w:r>
    </w:p>
    <w:p>
      <w:pPr>
        <w:pStyle w:val="BlockText"/>
      </w:pPr>
      <w:r>
        <w:rPr>
          <w:b/>
          <w:bCs/>
          <w:lang w:val="fr-FR"/>
        </w:rPr>
        <w:t xml:space="preserve">À retenir</w:t>
      </w:r>
      <w:r>
        <w:rPr>
          <w:lang w:val="fr-FR"/>
        </w:rPr>
        <w:t xml:space="preserve"> </w:t>
      </w:r>
      <w:r>
        <w:rPr>
          <w:lang w:val="fr-FR"/>
        </w:rPr>
        <w:t xml:space="preserve">: le taux de recouvrement de 86,1 % est publiable, les quatre cases du tableau</w:t>
      </w:r>
      <w:r>
        <w:rPr>
          <w:lang w:val="fr-FR"/>
        </w:rPr>
        <w:t xml:space="preserve"> </w:t>
      </w:r>
      <w:r>
        <w:rPr>
          <w:lang w:val="fr-FR"/>
        </w:rPr>
        <w:t xml:space="preserve">ne le sont pas avant que la méthode officielle de calcul du taux monétaire ait été reprise.</w:t>
      </w:r>
    </w:p>
    <w:bookmarkEnd w:id="17"/>
    <w:bookmarkEnd w:id="18"/>
    <w:bookmarkStart w:id="21" w:name="Xdd4b30311edade8e7306437db51dceb7f15ffcc"/>
    <w:p>
      <w:pPr>
        <w:pStyle w:val="Heading1"/>
      </w:pPr>
      <w:r>
        <w:rPr>
          <w:lang w:val="fr-FR"/>
        </w:rPr>
        <w:t xml:space="preserve">Ce que l’IPM EHCVM ne peut pas faire pour le PND</w:t>
      </w:r>
    </w:p>
    <w:bookmarkStart w:id="19" w:name="le-ciblage-territorial-du-pilier-5"/>
    <w:p>
      <w:pPr>
        <w:pStyle w:val="Heading2"/>
      </w:pPr>
      <w:r>
        <w:rPr>
          <w:lang w:val="fr-FR"/>
        </w:rPr>
        <w:t xml:space="preserve">Le ciblage territorial du Pilier 5</w:t>
      </w:r>
    </w:p>
    <w:p>
      <w:pPr>
        <w:pStyle w:val="FirstParagraph"/>
      </w:pPr>
      <w:r>
        <w:rPr>
          <w:lang w:val="fr-FR"/>
        </w:rPr>
        <w:t xml:space="preserve">Le Pilier 5 repose sur une « planification spatiale des investissements, fondée sur une</w:t>
      </w:r>
      <w:r>
        <w:rPr>
          <w:lang w:val="fr-FR"/>
        </w:rPr>
        <w:t xml:space="preserve"> </w:t>
      </w:r>
      <w:r>
        <w:rPr>
          <w:lang w:val="fr-FR"/>
        </w:rPr>
        <w:t xml:space="preserve">cartographie fine des potentialités économiques régionales », sur des Pôles Économiques Compétitifs</w:t>
      </w:r>
      <w:r>
        <w:rPr>
          <w:lang w:val="fr-FR"/>
        </w:rPr>
        <w:t xml:space="preserve"> </w:t>
      </w:r>
      <w:r>
        <w:rPr>
          <w:lang w:val="fr-FR"/>
        </w:rPr>
        <w:t xml:space="preserve">et sur le développement des villes secondaires. Le Pilier 6 prévoit un « registre social unifié</w:t>
      </w:r>
      <w:r>
        <w:rPr>
          <w:lang w:val="fr-FR"/>
        </w:rPr>
        <w:t xml:space="preserve"> </w:t>
      </w:r>
      <w:r>
        <w:rPr>
          <w:lang w:val="fr-FR"/>
        </w:rPr>
        <w:t xml:space="preserve">visant à renforcer l’inclusion et le ciblage des politiques publiques ». Le Pilier 4 fixe un</w:t>
      </w:r>
      <w:r>
        <w:rPr>
          <w:lang w:val="fr-FR"/>
        </w:rPr>
        <w:t xml:space="preserve"> </w:t>
      </w:r>
      <w:r>
        <w:rPr>
          <w:lang w:val="fr-FR"/>
        </w:rPr>
        <w:t xml:space="preserve">objectif de 827 000 ménages bénéficiaires de transferts monétaires.</w:t>
      </w:r>
    </w:p>
    <w:p>
      <w:pPr>
        <w:pStyle w:val="BodyText"/>
      </w:pPr>
      <w:r>
        <w:rPr>
          <w:lang w:val="fr-FR"/>
        </w:rPr>
        <w:t xml:space="preserve">Ces trois orientations demandent une information à la maille du territoire et, pour la dernière, à</w:t>
      </w:r>
      <w:r>
        <w:rPr>
          <w:lang w:val="fr-FR"/>
        </w:rPr>
        <w:t xml:space="preserve"> </w:t>
      </w:r>
      <w:r>
        <w:rPr>
          <w:lang w:val="fr-FR"/>
        </w:rPr>
        <w:t xml:space="preserve">la maille du ménage. L’EHCVM est un échantillon de 12 965 ménages : elle ne peut satisfaire ni</w:t>
      </w:r>
      <w:r>
        <w:rPr>
          <w:lang w:val="fr-FR"/>
        </w:rPr>
        <w:t xml:space="preserve"> </w:t>
      </w:r>
      <w:r>
        <w:rPr>
          <w:lang w:val="fr-FR"/>
        </w:rPr>
        <w:t xml:space="preserve">l’une ni l’autre.</w:t>
      </w:r>
    </w:p>
    <w:p>
      <w:pPr>
        <w:pStyle w:val="BlockText"/>
      </w:pPr>
      <w:r>
        <w:rPr>
          <w:b/>
          <w:bCs/>
          <w:lang w:val="fr-FR"/>
        </w:rPr>
        <w:t xml:space="preserve">Attention — La moitié de la population hors de portée d’un chiffre publiable</w:t>
      </w:r>
    </w:p>
    <w:p>
      <w:pPr>
        <w:pStyle w:val="BlockText"/>
      </w:pPr>
      <w:r>
        <w:rPr>
          <w:lang w:val="fr-FR"/>
        </w:rPr>
        <w:t xml:space="preserve">Sur les 442 sous-préfectures et communes que l’EHCVM permet de distinguer,</w:t>
      </w:r>
      <w:r>
        <w:rPr>
          <w:lang w:val="fr-FR"/>
        </w:rPr>
        <w:t xml:space="preserve"> </w:t>
      </w:r>
      <w:r>
        <w:rPr>
          <w:b/>
          <w:bCs/>
          <w:lang w:val="fr-FR"/>
        </w:rPr>
        <w:t xml:space="preserve">92 — soit</w:t>
      </w:r>
      <w:r>
        <w:rPr>
          <w:b/>
          <w:bCs/>
          <w:lang w:val="fr-FR"/>
        </w:rPr>
        <w:t xml:space="preserve"> </w:t>
      </w:r>
      <w:r>
        <w:rPr>
          <w:b/>
          <w:bCs/>
          <w:lang w:val="fr-FR"/>
        </w:rPr>
        <w:t xml:space="preserve">47,9 % de la population</w:t>
      </w:r>
      <w:r>
        <w:rPr>
          <w:lang w:val="fr-FR"/>
        </w:rPr>
        <w:t xml:space="preserve"> </w:t>
      </w:r>
      <w:r>
        <w:rPr>
          <w:lang w:val="fr-FR"/>
        </w:rPr>
        <w:t xml:space="preserve">— ont un IPM dont le coefficient de variation dépasse 20 % : le</w:t>
      </w:r>
      <w:r>
        <w:rPr>
          <w:lang w:val="fr-FR"/>
        </w:rPr>
        <w:t xml:space="preserve"> </w:t>
      </w:r>
      <w:r>
        <w:rPr>
          <w:lang w:val="fr-FR"/>
        </w:rPr>
        <w:t xml:space="preserve">chiffre existe, mais il n’est pas publiable.</w:t>
      </w:r>
    </w:p>
    <w:p>
      <w:pPr>
        <w:pStyle w:val="BlockText"/>
      </w:pPr>
      <w:r>
        <w:rPr>
          <w:lang w:val="fr-FR"/>
        </w:rPr>
        <w:t xml:space="preserve">À la maille du département, 15 des 108 sont dans ce cas, couvrant 7,1 % de la population.</w:t>
      </w:r>
    </w:p>
    <w:p>
      <w:pPr>
        <w:pStyle w:val="BlockText"/>
      </w:pPr>
      <w:r>
        <w:rPr>
          <w:lang w:val="fr-FR"/>
        </w:rPr>
        <w:t xml:space="preserve">Autrement dit : l’EHCVM donne un IPM solide pour le pays, pour les deux milieux et pour les 33</w:t>
      </w:r>
      <w:r>
        <w:rPr>
          <w:lang w:val="fr-FR"/>
        </w:rPr>
        <w:t xml:space="preserve"> </w:t>
      </w:r>
      <w:r>
        <w:rPr>
          <w:lang w:val="fr-FR"/>
        </w:rPr>
        <w:t xml:space="preserve">régions, mais elle ne peut pas fonder une allocation d’investissements à la maille où le Pilier 5</w:t>
      </w:r>
      <w:r>
        <w:rPr>
          <w:lang w:val="fr-FR"/>
        </w:rPr>
        <w:t xml:space="preserve"> </w:t>
      </w:r>
      <w:r>
        <w:rPr>
          <w:lang w:val="fr-FR"/>
        </w:rPr>
        <w:t xml:space="preserve">entend la conduire.</w:t>
      </w:r>
    </w:p>
    <w:bookmarkEnd w:id="19"/>
    <w:bookmarkStart w:id="20" w:name="les-cibles-hors-champ"/>
    <w:p>
      <w:pPr>
        <w:pStyle w:val="Heading2"/>
      </w:pPr>
      <w:r>
        <w:rPr>
          <w:lang w:val="fr-FR"/>
        </w:rPr>
        <w:t xml:space="preserve">Les cibles hors champ</w:t>
      </w:r>
    </w:p>
    <w:p>
      <w:pPr>
        <w:pStyle w:val="FirstParagraph"/>
      </w:pPr>
      <w:r>
        <w:rPr>
          <w:lang w:val="fr-FR"/>
        </w:rPr>
        <w:t xml:space="preserve">Six cibles du PND restent sans prise : l’espérance de vie, le taux net de scolarisation au</w:t>
      </w:r>
      <w:r>
        <w:rPr>
          <w:lang w:val="fr-FR"/>
        </w:rPr>
        <w:t xml:space="preserve"> </w:t>
      </w:r>
      <w:r>
        <w:rPr>
          <w:lang w:val="fr-FR"/>
        </w:rPr>
        <w:t xml:space="preserve">préscolaire, la part de l’EFTP dans le secondaire, l’indice de parité filles/garçons dans le</w:t>
      </w:r>
      <w:r>
        <w:rPr>
          <w:lang w:val="fr-FR"/>
        </w:rPr>
        <w:t xml:space="preserve"> </w:t>
      </w:r>
      <w:r>
        <w:rPr>
          <w:lang w:val="fr-FR"/>
        </w:rPr>
        <w:t xml:space="preserve">primaire, le NNI et le registre social unifié. Les quatre premières relèvent de statistiques</w:t>
      </w:r>
      <w:r>
        <w:rPr>
          <w:lang w:val="fr-FR"/>
        </w:rPr>
        <w:t xml:space="preserve"> </w:t>
      </w:r>
      <w:r>
        <w:rPr>
          <w:lang w:val="fr-FR"/>
        </w:rPr>
        <w:t xml:space="preserve">sectorielles ; les deux dernières, d’un système d’information administratif.</w:t>
      </w:r>
    </w:p>
    <w:bookmarkEnd w:id="20"/>
    <w:bookmarkEnd w:id="21"/>
    <w:bookmarkStart w:id="24" w:name="lusage-auquel-lipm-ehcvm-se-prête"/>
    <w:p>
      <w:pPr>
        <w:pStyle w:val="Heading1"/>
      </w:pPr>
      <w:r>
        <w:rPr>
          <w:lang w:val="fr-FR"/>
        </w:rPr>
        <w:t xml:space="preserve">L’usage auquel l’IPM EHCVM se prête</w:t>
      </w:r>
    </w:p>
    <w:bookmarkStart w:id="22" w:name="le-tableau-de-bord-du-cadre-de-résultats"/>
    <w:p>
      <w:pPr>
        <w:pStyle w:val="Heading2"/>
      </w:pPr>
      <w:r>
        <w:rPr>
          <w:lang w:val="fr-FR"/>
        </w:rPr>
        <w:t xml:space="preserve">Le tableau de bord du cadre de résultats</w:t>
      </w:r>
    </w:p>
    <w:p>
      <w:pPr>
        <w:pStyle w:val="FirstParagraph"/>
      </w:pPr>
      <w:r>
        <w:rPr>
          <w:lang w:val="fr-FR"/>
        </w:rPr>
        <w:t xml:space="preserve">C’est son emploi naturel. Onze cibles du PND, réparties sur quatre piliers, peuvent être suivies</w:t>
      </w:r>
      <w:r>
        <w:rPr>
          <w:lang w:val="fr-FR"/>
        </w:rPr>
        <w:t xml:space="preserve"> </w:t>
      </w:r>
      <w:r>
        <w:rPr>
          <w:lang w:val="fr-FR"/>
        </w:rPr>
        <w:t xml:space="preserve">sur un indicateur unique, décomposable, dont la contribution de chaque dimension est explicite.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lang w:val="fr-FR"/>
              </w:rPr>
              <w:t xml:space="preserve">Dimension</w:t>
            </w:r>
          </w:p>
        </w:tc>
        <w:tc>
          <w:tcPr/>
          <w:p>
            <w:pPr>
              <w:pStyle w:val="Compact"/>
              <w:jc w:val="right"/>
            </w:pPr>
            <w:r>
              <w:rPr>
                <w:b/>
                <w:bCs/>
                <w:lang w:val="fr-FR"/>
              </w:rPr>
              <w:t xml:space="preserve">Poids nominal</w:t>
            </w:r>
          </w:p>
        </w:tc>
        <w:tc>
          <w:tcPr/>
          <w:p>
            <w:pPr>
              <w:pStyle w:val="Compact"/>
              <w:jc w:val="right"/>
            </w:pPr>
            <w:r>
              <w:rPr>
                <w:b/>
                <w:bCs/>
                <w:lang w:val="fr-FR"/>
              </w:rPr>
              <w:t xml:space="preserve">Contribution à</w:t>
            </w:r>
            <w:r>
              <w:rPr>
                <w:b/>
                <w:bCs/>
                <w:lang w:val="fr-FR"/>
              </w:rPr>
              <w:t xml:space="preserve"> </w:t>
            </w:r>
            <m:oMath>
              <m:sSub>
                <m:e>
                  <m:r>
                    <m:t>M</m:t>
                  </m:r>
                </m:e>
                <m:sub>
                  <m:r>
                    <m:t>0</m:t>
                  </m:r>
                </m:sub>
              </m:sSub>
            </m:oMath>
          </w:p>
        </w:tc>
      </w:tr>
      <w:tr>
        <w:tc>
          <w:tcPr/>
          <w:p>
            <w:pPr>
              <w:pStyle w:val="Compact"/>
              <w:jc w:val="left"/>
            </w:pPr>
            <w:r>
              <w:rPr>
                <w:lang w:val="fr-FR"/>
              </w:rPr>
              <w:t xml:space="preserve">Éducation</w:t>
            </w:r>
          </w:p>
        </w:tc>
        <w:tc>
          <w:tcPr/>
          <w:p>
            <w:pPr>
              <w:pStyle w:val="Compact"/>
              <w:jc w:val="right"/>
            </w:pPr>
            <w:r>
              <w:rPr>
                <w:lang w:val="fr-FR"/>
              </w:rPr>
              <w:t xml:space="preserve">25 %</w:t>
            </w:r>
          </w:p>
        </w:tc>
        <w:tc>
          <w:tcPr/>
          <w:p>
            <w:pPr>
              <w:pStyle w:val="Compact"/>
              <w:jc w:val="right"/>
            </w:pPr>
            <w:r>
              <w:rPr>
                <w:lang w:val="fr-FR"/>
              </w:rPr>
              <w:t xml:space="preserve">32,3 %</w:t>
            </w:r>
          </w:p>
        </w:tc>
      </w:tr>
      <w:tr>
        <w:tc>
          <w:tcPr/>
          <w:p>
            <w:pPr>
              <w:pStyle w:val="Compact"/>
              <w:jc w:val="left"/>
            </w:pPr>
            <w:r>
              <w:rPr>
                <w:lang w:val="fr-FR"/>
              </w:rPr>
              <w:t xml:space="preserve">Santé</w:t>
            </w:r>
          </w:p>
        </w:tc>
        <w:tc>
          <w:tcPr/>
          <w:p>
            <w:pPr>
              <w:pStyle w:val="Compact"/>
              <w:jc w:val="right"/>
            </w:pPr>
            <w:r>
              <w:rPr>
                <w:lang w:val="fr-FR"/>
              </w:rPr>
              <w:t xml:space="preserve">25 %</w:t>
            </w:r>
          </w:p>
        </w:tc>
        <w:tc>
          <w:tcPr/>
          <w:p>
            <w:pPr>
              <w:pStyle w:val="Compact"/>
              <w:jc w:val="right"/>
            </w:pPr>
            <w:r>
              <w:rPr>
                <w:lang w:val="fr-FR"/>
              </w:rPr>
              <w:t xml:space="preserve">27,9 %</w:t>
            </w:r>
          </w:p>
        </w:tc>
      </w:tr>
      <w:tr>
        <w:tc>
          <w:tcPr/>
          <w:p>
            <w:pPr>
              <w:pStyle w:val="Compact"/>
              <w:jc w:val="left"/>
            </w:pPr>
            <w:r>
              <w:rPr>
                <w:lang w:val="fr-FR"/>
              </w:rPr>
              <w:t xml:space="preserve">Conditions de vie</w:t>
            </w:r>
          </w:p>
        </w:tc>
        <w:tc>
          <w:tcPr/>
          <w:p>
            <w:pPr>
              <w:pStyle w:val="Compact"/>
              <w:jc w:val="right"/>
            </w:pPr>
            <w:r>
              <w:rPr>
                <w:lang w:val="fr-FR"/>
              </w:rPr>
              <w:t xml:space="preserve">25 %</w:t>
            </w:r>
          </w:p>
        </w:tc>
        <w:tc>
          <w:tcPr/>
          <w:p>
            <w:pPr>
              <w:pStyle w:val="Compact"/>
              <w:jc w:val="right"/>
            </w:pPr>
            <w:r>
              <w:rPr>
                <w:lang w:val="fr-FR"/>
              </w:rPr>
              <w:t xml:space="preserve">21,3 %</w:t>
            </w:r>
          </w:p>
        </w:tc>
      </w:tr>
      <w:tr>
        <w:tc>
          <w:tcPr/>
          <w:p>
            <w:pPr>
              <w:pStyle w:val="Compact"/>
              <w:jc w:val="left"/>
            </w:pPr>
            <w:r>
              <w:rPr>
                <w:lang w:val="fr-FR"/>
              </w:rPr>
              <w:t xml:space="preserve">Emploi</w:t>
            </w:r>
          </w:p>
        </w:tc>
        <w:tc>
          <w:tcPr/>
          <w:p>
            <w:pPr>
              <w:pStyle w:val="Compact"/>
              <w:jc w:val="right"/>
            </w:pPr>
            <w:r>
              <w:rPr>
                <w:lang w:val="fr-FR"/>
              </w:rPr>
              <w:t xml:space="preserve">25 %</w:t>
            </w:r>
          </w:p>
        </w:tc>
        <w:tc>
          <w:tcPr/>
          <w:p>
            <w:pPr>
              <w:pStyle w:val="Compact"/>
              <w:jc w:val="right"/>
            </w:pPr>
            <w:r>
              <w:rPr>
                <w:lang w:val="fr-FR"/>
              </w:rPr>
              <w:t xml:space="preserve">18,5 %</w:t>
            </w:r>
          </w:p>
        </w:tc>
      </w:tr>
    </w:tbl>
    <w:p>
      <w:pPr>
        <w:pStyle w:val="BodyText"/>
      </w:pPr>
      <w:r>
        <w:rPr>
          <w:lang w:val="fr-FR"/>
        </w:rPr>
        <w:t xml:space="preserve">Un gouvernement qui veut savoir quel levier déplacerait le plus l’indice dispose là de la</w:t>
      </w:r>
      <w:r>
        <w:rPr>
          <w:lang w:val="fr-FR"/>
        </w:rPr>
        <w:t xml:space="preserve"> </w:t>
      </w:r>
      <w:r>
        <w:rPr>
          <w:lang w:val="fr-FR"/>
        </w:rPr>
        <w:t xml:space="preserve">réponse, et elle est directement transposable en priorités de pilier.</w:t>
      </w:r>
    </w:p>
    <w:bookmarkEnd w:id="22"/>
    <w:bookmarkStart w:id="23" w:name="le-suivi-dans-le-temps"/>
    <w:p>
      <w:pPr>
        <w:pStyle w:val="Heading2"/>
      </w:pPr>
      <w:r>
        <w:rPr>
          <w:lang w:val="fr-FR"/>
        </w:rPr>
        <w:t xml:space="preserve">Le suivi dans le temps</w:t>
      </w:r>
    </w:p>
    <w:p>
      <w:pPr>
        <w:pStyle w:val="FirstParagraph"/>
      </w:pPr>
      <w:r>
        <w:rPr>
          <w:lang w:val="fr-FR"/>
        </w:rPr>
        <w:t xml:space="preserve">Le PND court sur cinq ans et prévoit un cadre de gouvernance chargé d’en mesurer les progrès. Or</w:t>
      </w:r>
      <w:r>
        <w:rPr>
          <w:lang w:val="fr-FR"/>
        </w:rPr>
        <w:t xml:space="preserve"> </w:t>
      </w:r>
      <w:r>
        <w:rPr>
          <w:lang w:val="fr-FR"/>
        </w:rPr>
        <w:t xml:space="preserve">l’EHCVM est une</w:t>
      </w:r>
      <w:r>
        <w:rPr>
          <w:lang w:val="fr-FR"/>
        </w:rPr>
        <w:t xml:space="preserve"> </w:t>
      </w:r>
      <w:r>
        <w:rPr>
          <w:b/>
          <w:bCs/>
          <w:lang w:val="fr-FR"/>
        </w:rPr>
        <w:t xml:space="preserve">enquête répétée</w:t>
      </w:r>
      <w:r>
        <w:rPr>
          <w:lang w:val="fr-FR"/>
        </w:rPr>
        <w:t xml:space="preserve"> </w:t>
      </w:r>
      <w:r>
        <w:rPr>
          <w:lang w:val="fr-FR"/>
        </w:rPr>
        <w:t xml:space="preserve">: elle existe pour 2018 et pour 2021.</w:t>
      </w:r>
    </w:p>
    <w:p>
      <w:pPr>
        <w:pStyle w:val="BlockText"/>
      </w:pPr>
      <w:r>
        <w:rPr>
          <w:b/>
          <w:bCs/>
          <w:lang w:val="fr-FR"/>
        </w:rPr>
        <w:t xml:space="preserve">Attention — Ce qui est établi, et ce qui ne l’est pas</w:t>
      </w:r>
    </w:p>
    <w:p>
      <w:pPr>
        <w:pStyle w:val="BlockText"/>
      </w:pPr>
      <w:r>
        <w:rPr>
          <w:lang w:val="fr-FR"/>
        </w:rPr>
        <w:t xml:space="preserve">Ce qui est certain : le RGPH est</w:t>
      </w:r>
      <w:r>
        <w:rPr>
          <w:lang w:val="fr-FR"/>
        </w:rPr>
        <w:t xml:space="preserve"> </w:t>
      </w:r>
      <w:r>
        <w:rPr>
          <w:b/>
          <w:bCs/>
          <w:lang w:val="fr-FR"/>
        </w:rPr>
        <w:t xml:space="preserve">décennal</w:t>
      </w:r>
      <w:r>
        <w:rPr>
          <w:lang w:val="fr-FR"/>
        </w:rPr>
        <w:t xml:space="preserve">, le prochain n’interviendra pas avant la fin du</w:t>
      </w:r>
      <w:r>
        <w:rPr>
          <w:lang w:val="fr-FR"/>
        </w:rPr>
        <w:t xml:space="preserve"> </w:t>
      </w:r>
      <w:r>
        <w:rPr>
          <w:lang w:val="fr-FR"/>
        </w:rPr>
        <w:t xml:space="preserve">plan, et le recensement ne pourra donc mesurer aucun progrès du PND.</w:t>
      </w:r>
    </w:p>
    <w:p>
      <w:pPr>
        <w:pStyle w:val="BlockText"/>
      </w:pPr>
      <w:r>
        <w:rPr>
          <w:lang w:val="fr-FR"/>
        </w:rPr>
        <w:t xml:space="preserve">Ce qui ne l’est pas : le calendrier de la prochaine vague d’EHCVM. Le rythme passé (2018, puis</w:t>
      </w:r>
      <w:r>
        <w:rPr>
          <w:lang w:val="fr-FR"/>
        </w:rPr>
        <w:t xml:space="preserve"> </w:t>
      </w:r>
      <w:r>
        <w:rPr>
          <w:lang w:val="fr-FR"/>
        </w:rPr>
        <w:t xml:space="preserve">2021) le laisse attendre dans l’intervalle du plan, mais</w:t>
      </w:r>
      <w:r>
        <w:rPr>
          <w:lang w:val="fr-FR"/>
        </w:rPr>
        <w:t xml:space="preserve"> </w:t>
      </w:r>
      <w:r>
        <w:rPr>
          <w:b/>
          <w:bCs/>
          <w:lang w:val="fr-FR"/>
        </w:rPr>
        <w:t xml:space="preserve">aucune programmation n’a été</w:t>
      </w:r>
      <w:r>
        <w:rPr>
          <w:b/>
          <w:bCs/>
          <w:lang w:val="fr-FR"/>
        </w:rPr>
        <w:t xml:space="preserve"> </w:t>
      </w:r>
      <w:r>
        <w:rPr>
          <w:b/>
          <w:bCs/>
          <w:lang w:val="fr-FR"/>
        </w:rPr>
        <w:t xml:space="preserve">vérifiée ici</w:t>
      </w:r>
      <w:r>
        <w:rPr>
          <w:lang w:val="fr-FR"/>
        </w:rPr>
        <w:t xml:space="preserve">. L’argument « l’EHCVM permettra le suivi » suppose cette vague ; il est à confirmer</w:t>
      </w:r>
      <w:r>
        <w:rPr>
          <w:lang w:val="fr-FR"/>
        </w:rPr>
        <w:t xml:space="preserve"> </w:t>
      </w:r>
      <w:r>
        <w:rPr>
          <w:lang w:val="fr-FR"/>
        </w:rPr>
        <w:t xml:space="preserve">auprès de l’INS avant d’être avancé devant une instance de décision.</w:t>
      </w:r>
    </w:p>
    <w:p>
      <w:pPr>
        <w:pStyle w:val="BlockText"/>
      </w:pPr>
      <w:r>
        <w:rPr>
          <w:b/>
          <w:bCs/>
          <w:lang w:val="fr-FR"/>
        </w:rPr>
        <w:t xml:space="preserve">Trois emplois immédiats</w:t>
      </w:r>
    </w:p>
    <w:p>
      <w:pPr>
        <w:pStyle w:val="BlockText"/>
        <w:numPr>
          <w:ilvl w:val="0"/>
          <w:numId w:val="1002"/>
        </w:numPr>
      </w:pPr>
      <w:r>
        <w:rPr>
          <w:b/>
          <w:bCs/>
          <w:lang w:val="fr-FR"/>
        </w:rPr>
        <w:t xml:space="preserve">Poser la cible manquante.</w:t>
      </w:r>
      <w:r>
        <w:rPr>
          <w:lang w:val="fr-FR"/>
        </w:rPr>
        <w:t xml:space="preserve"> </w:t>
      </w:r>
      <w:r>
        <w:rPr>
          <w:lang w:val="fr-FR"/>
        </w:rPr>
        <w:t xml:space="preserve">L’objectif « baisser significativement le taux de</w:t>
      </w:r>
      <w:r>
        <w:rPr>
          <w:lang w:val="fr-FR"/>
        </w:rPr>
        <w:t xml:space="preserve"> </w:t>
      </w:r>
      <w:r>
        <w:rPr>
          <w:lang w:val="fr-FR"/>
        </w:rPr>
        <w:t xml:space="preserve">pauvreté » peut être chiffré sur</w:t>
      </w:r>
      <w:r>
        <w:rPr>
          <w:lang w:val="fr-FR"/>
        </w:rPr>
        <w:t xml:space="preserve"> </w:t>
      </w:r>
      <m:oMath>
        <m:sSub>
          <m:e>
            <m:r>
              <m:t>M</m:t>
            </m:r>
          </m:e>
          <m:sub>
            <m:r>
              <m:t>0</m:t>
            </m:r>
          </m:sub>
        </m:sSub>
      </m:oMath>
      <w:r>
        <w:rPr>
          <w:lang w:val="fr-FR"/>
        </w:rPr>
        <w:t xml:space="preserve"> </w:t>
      </w:r>
      <w:r>
        <w:rPr>
          <w:lang w:val="fr-FR"/>
        </w:rPr>
        <w:t xml:space="preserve">= 0,2863 (2021), avec une valeur 2030 explicite.</w:t>
      </w:r>
    </w:p>
    <w:p>
      <w:pPr>
        <w:pStyle w:val="BlockText"/>
        <w:numPr>
          <w:ilvl w:val="0"/>
          <w:numId w:val="1002"/>
        </w:numPr>
      </w:pPr>
      <w:r>
        <w:rPr>
          <w:b/>
          <w:bCs/>
          <w:lang w:val="fr-FR"/>
        </w:rPr>
        <w:t xml:space="preserve">Alimenter le cadre de résultats</w:t>
      </w:r>
      <w:r>
        <w:rPr>
          <w:lang w:val="fr-FR"/>
        </w:rPr>
        <w:t xml:space="preserve"> </w:t>
      </w:r>
      <w:r>
        <w:rPr>
          <w:lang w:val="fr-FR"/>
        </w:rPr>
        <w:t xml:space="preserve">sur les onze cibles à prise directe, en une seule</w:t>
      </w:r>
      <w:r>
        <w:rPr>
          <w:lang w:val="fr-FR"/>
        </w:rPr>
        <w:t xml:space="preserve"> </w:t>
      </w:r>
      <w:r>
        <w:rPr>
          <w:lang w:val="fr-FR"/>
        </w:rPr>
        <w:t xml:space="preserve">série cohérente plutôt qu’en onze statistiques sectorielles.</w:t>
      </w:r>
    </w:p>
    <w:p>
      <w:pPr>
        <w:pStyle w:val="BlockText"/>
        <w:numPr>
          <w:ilvl w:val="0"/>
          <w:numId w:val="1002"/>
        </w:numPr>
      </w:pPr>
      <w:r>
        <w:rPr>
          <w:b/>
          <w:bCs/>
          <w:lang w:val="fr-FR"/>
        </w:rPr>
        <w:t xml:space="preserve">Arbitrer entre piliers</w:t>
      </w:r>
      <w:r>
        <w:rPr>
          <w:lang w:val="fr-FR"/>
        </w:rPr>
        <w:t xml:space="preserve"> </w:t>
      </w:r>
      <w:r>
        <w:rPr>
          <w:lang w:val="fr-FR"/>
        </w:rPr>
        <w:t xml:space="preserve">au vu des contributions : la dimension Santé pèse 28,4 %</w:t>
      </w:r>
      <w:r>
        <w:rPr>
          <w:lang w:val="fr-FR"/>
        </w:rPr>
        <w:t xml:space="preserve"> </w:t>
      </w:r>
      <w:r>
        <w:rPr>
          <w:lang w:val="fr-FR"/>
        </w:rPr>
        <w:t xml:space="preserve">de l’indice, la dimension Emploi 18,2 %.</w:t>
      </w:r>
    </w:p>
    <w:bookmarkEnd w:id="23"/>
    <w:bookmarkEnd w:id="24"/>
    <w:bookmarkStart w:id="25" w:name="limites-de-cette-analyse"/>
    <w:p>
      <w:pPr>
        <w:pStyle w:val="Heading1"/>
      </w:pPr>
      <w:r>
        <w:rPr>
          <w:lang w:val="fr-FR"/>
        </w:rPr>
        <w:t xml:space="preserve">Limites de cette analyse</w:t>
      </w:r>
    </w:p>
    <w:p>
      <w:pPr>
        <w:numPr>
          <w:ilvl w:val="0"/>
          <w:numId w:val="1003"/>
        </w:numPr>
      </w:pPr>
      <w:r>
        <w:rPr>
          <w:b/>
          <w:bCs/>
          <w:lang w:val="fr-FR"/>
        </w:rPr>
        <w:t xml:space="preserve">Les correspondances ne sont pas des identités.</w:t>
      </w:r>
      <w:r>
        <w:rPr>
          <w:lang w:val="fr-FR"/>
        </w:rPr>
        <w:t xml:space="preserve"> </w:t>
      </w:r>
      <w:r>
        <w:rPr>
          <w:lang w:val="fr-FR"/>
        </w:rPr>
        <w:t xml:space="preserve">« Alphabétisation » au sens de</w:t>
      </w:r>
      <w:r>
        <w:rPr>
          <w:lang w:val="fr-FR"/>
        </w:rPr>
        <w:t xml:space="preserve"> </w:t>
      </w:r>
      <w:r>
        <w:rPr>
          <w:lang w:val="fr-FR"/>
        </w:rPr>
        <w:t xml:space="preserve">l’IPM est un indicateur de ménage — un membre de 17-49 ans ne sait pas lire ou écrire le</w:t>
      </w:r>
      <w:r>
        <w:rPr>
          <w:lang w:val="fr-FR"/>
        </w:rPr>
        <w:t xml:space="preserve"> </w:t>
      </w:r>
      <w:r>
        <w:rPr>
          <w:lang w:val="fr-FR"/>
        </w:rPr>
        <w:t xml:space="preserve">français — tandis que la cible PND porte sur un taux individuel. Les deux évoluent dans</w:t>
      </w:r>
      <w:r>
        <w:rPr>
          <w:lang w:val="fr-FR"/>
        </w:rPr>
        <w:t xml:space="preserve"> </w:t>
      </w:r>
      <w:r>
        <w:rPr>
          <w:lang w:val="fr-FR"/>
        </w:rPr>
        <w:t xml:space="preserve">le même sens sans être le même nombre.</w:t>
      </w:r>
    </w:p>
    <w:p>
      <w:pPr>
        <w:numPr>
          <w:ilvl w:val="0"/>
          <w:numId w:val="1003"/>
        </w:numPr>
      </w:pPr>
      <w:r>
        <w:rPr>
          <w:b/>
          <w:bCs/>
          <w:lang w:val="fr-FR"/>
        </w:rPr>
        <w:t xml:space="preserve">La dimension Santé de l’IPM EHCVM est portée à 93,4 % des ménages par l’assurance</w:t>
      </w:r>
      <w:r>
        <w:rPr>
          <w:b/>
          <w:bCs/>
          <w:lang w:val="fr-FR"/>
        </w:rPr>
        <w:t xml:space="preserve"> </w:t>
      </w:r>
      <w:r>
        <w:rPr>
          <w:b/>
          <w:bCs/>
          <w:lang w:val="fr-FR"/>
        </w:rPr>
        <w:t xml:space="preserve">maladie</w:t>
      </w:r>
      <w:r>
        <w:rPr>
          <w:lang w:val="fr-FR"/>
        </w:rPr>
        <w:t xml:space="preserve">, ce qui en fait un indicateur peu discriminant (voir la</w:t>
      </w:r>
      <w:r>
        <w:rPr>
          <w:lang w:val="fr-FR"/>
        </w:rPr>
        <w:t xml:space="preserve"> </w:t>
      </w:r>
      <w:r>
        <w:rPr>
          <w:i/>
          <w:iCs/>
          <w:lang w:val="fr-FR"/>
        </w:rPr>
        <w:t xml:space="preserve">Note sur la</w:t>
      </w:r>
      <w:r>
        <w:rPr>
          <w:i/>
          <w:iCs/>
          <w:lang w:val="fr-FR"/>
        </w:rPr>
        <w:t xml:space="preserve"> </w:t>
      </w:r>
      <w:r>
        <w:rPr>
          <w:i/>
          <w:iCs/>
          <w:lang w:val="fr-FR"/>
        </w:rPr>
        <w:t xml:space="preserve">dimension santé</w:t>
      </w:r>
      <w:r>
        <w:rPr>
          <w:lang w:val="fr-FR"/>
        </w:rPr>
        <w:t xml:space="preserve">). Son poids dans l’indice doit être lu avec cette réserve.</w:t>
      </w:r>
    </w:p>
    <w:p>
      <w:pPr>
        <w:numPr>
          <w:ilvl w:val="0"/>
          <w:numId w:val="1003"/>
        </w:numPr>
      </w:pPr>
      <w:r>
        <w:rPr>
          <w:b/>
          <w:bCs/>
          <w:lang w:val="fr-FR"/>
        </w:rPr>
        <w:t xml:space="preserve">Le croisement monétaire / multidimensionnel ne reproduit pas le taux de pauvreté</w:t>
      </w:r>
      <w:r>
        <w:rPr>
          <w:b/>
          <w:bCs/>
          <w:lang w:val="fr-FR"/>
        </w:rPr>
        <w:t xml:space="preserve"> </w:t>
      </w:r>
      <w:r>
        <w:rPr>
          <w:b/>
          <w:bCs/>
          <w:lang w:val="fr-FR"/>
        </w:rPr>
        <w:t xml:space="preserve">publié</w:t>
      </w:r>
      <w:r>
        <w:rPr>
          <w:lang w:val="fr-FR"/>
        </w:rPr>
        <w:t xml:space="preserve">, parce que l’indicateur de bien-être manque pour un quart des ménages et que ce</w:t>
      </w:r>
      <w:r>
        <w:rPr>
          <w:lang w:val="fr-FR"/>
        </w:rPr>
        <w:t xml:space="preserve"> </w:t>
      </w:r>
      <w:r>
        <w:rPr>
          <w:lang w:val="fr-FR"/>
        </w:rPr>
        <w:t xml:space="preserve">quart n’est pas tiré au hasard. Seul le taux de recouvrement entre les deux pauvretés</w:t>
      </w:r>
      <w:r>
        <w:rPr>
          <w:lang w:val="fr-FR"/>
        </w:rPr>
        <w:t xml:space="preserve"> </w:t>
      </w:r>
      <w:r>
        <w:rPr>
          <w:lang w:val="fr-FR"/>
        </w:rPr>
        <w:t xml:space="preserve">(86,1 %) est robuste à ce défaut.</w:t>
      </w:r>
    </w:p>
    <w:p>
      <w:pPr>
        <w:numPr>
          <w:ilvl w:val="0"/>
          <w:numId w:val="1003"/>
        </w:numPr>
      </w:pPr>
      <w:r>
        <w:rPr>
          <w:b/>
          <w:bCs/>
          <w:lang w:val="fr-FR"/>
        </w:rPr>
        <w:t xml:space="preserve">Le décompte des cibles favorise la source la mieux dotée en indicateurs</w:t>
      </w:r>
      <w:r>
        <w:rPr>
          <w:lang w:val="fr-FR"/>
        </w:rPr>
        <w:t xml:space="preserve">, et</w:t>
      </w:r>
      <w:r>
        <w:rPr>
          <w:lang w:val="fr-FR"/>
        </w:rPr>
        <w:t xml:space="preserve"> </w:t>
      </w:r>
      <w:r>
        <w:rPr>
          <w:lang w:val="fr-FR"/>
        </w:rPr>
        <w:t xml:space="preserve">compte plusieurs fois un même indicateur quand plusieurs cibles s’y rapportent. L’écart réel</w:t>
      </w:r>
      <w:r>
        <w:rPr>
          <w:lang w:val="fr-FR"/>
        </w:rPr>
        <w:t xml:space="preserve"> </w:t>
      </w:r>
      <w:r>
        <w:rPr>
          <w:lang w:val="fr-FR"/>
        </w:rPr>
        <w:t xml:space="preserve">entre les deux sources porte sur trois indicateurs distincts, dont deux de santé.</w:t>
      </w:r>
    </w:p>
    <w:p>
      <w:pPr>
        <w:numPr>
          <w:ilvl w:val="0"/>
          <w:numId w:val="1003"/>
        </w:numPr>
      </w:pPr>
      <w:r>
        <w:rPr>
          <w:b/>
          <w:bCs/>
          <w:lang w:val="fr-FR"/>
        </w:rPr>
        <w:t xml:space="preserve">Le PND ne contient pas de cible d’IPM.</w:t>
      </w:r>
      <w:r>
        <w:rPr>
          <w:lang w:val="fr-FR"/>
        </w:rPr>
        <w:t xml:space="preserve"> </w:t>
      </w:r>
      <w:r>
        <w:rPr>
          <w:lang w:val="fr-FR"/>
        </w:rPr>
        <w:t xml:space="preserve">L’alignement établi ici est un alignement</w:t>
      </w:r>
      <w:r>
        <w:rPr>
          <w:lang w:val="fr-FR"/>
        </w:rPr>
        <w:t xml:space="preserve"> </w:t>
      </w:r>
      <w:r>
        <w:rPr>
          <w:lang w:val="fr-FR"/>
        </w:rPr>
        <w:t xml:space="preserve">de</w:t>
      </w:r>
      <w:r>
        <w:rPr>
          <w:lang w:val="fr-FR"/>
        </w:rPr>
        <w:t xml:space="preserve"> </w:t>
      </w:r>
      <w:r>
        <w:rPr>
          <w:i/>
          <w:iCs/>
          <w:lang w:val="fr-FR"/>
        </w:rPr>
        <w:t xml:space="preserve">contenu</w:t>
      </w:r>
      <w:r>
        <w:rPr>
          <w:lang w:val="fr-FR"/>
        </w:rPr>
        <w:t xml:space="preserve">, pas une correspondance institutionnelle : il resterait à faire adopter</w:t>
      </w:r>
      <w:r>
        <w:rPr>
          <w:lang w:val="fr-FR"/>
        </w:rPr>
        <w:t xml:space="preserve"> </w:t>
      </w:r>
      <w:r>
        <w:rPr>
          <w:lang w:val="fr-FR"/>
        </w:rPr>
        <w:t xml:space="preserve">l’indice dans le cadre de gouvernance du plan.</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L’IPM calculé sur l’EHCVM 2021 au service du PND 2026-2030 Analyse d’alignement</dc:title>
  <dc:creator>Pipeline PythonIPM</dc:creator>
  <cp:keywords/>
  <dcterms:created xsi:type="dcterms:W3CDTF">2026-09-11T16:14:19Z</dcterms:created>
  <dcterms:modified xsi:type="dcterms:W3CDTF">2026-09-11T16:14:19Z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document confronte l’indice de pauvreté multidimensionnelle calculé sur l’EHCVM 2021 au Plan National de Développement 2026-2030. Il ne juge ni le plan ni l’indice : il établit, cible par cible, ce que l’un permet de mesurer de l’autre, ce qu’il ne permet pas, et l’usage auquel il se prête le mieux dans le dispositif de suivi du PND. Un document jumeau traite de l’IPM calculé sur le RGPH 2021 ; un troisième les compare et conclut.</vt:lpwstr>
  </property>
  <property fmtid="{D5CDD505-2E9C-101B-9397-08002B2CF9AE}" pid="3" name="date">
    <vt:lpwstr>Septembre 2026</vt:lpwstr>
  </property>
</Properties>
</file>