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5.png" ContentType="image/png"/>
  <Override PartName="/word/media/rId44.png" ContentType="image/png"/>
  <Override PartName="/word/media/rId47.png" ContentType="image/png"/>
  <Override PartName="/word/media/rId50.png" ContentType="image/png"/>
  <Override PartName="/word/media/rId53.png" ContentType="image/png"/>
  <Override PartName="/word/media/rId56.png" ContentType="image/png"/>
  <Override PartName="/word/media/rId59.png" ContentType="image/png"/>
  <Override PartName="/word/media/rId62.png" ContentType="image/png"/>
  <Override PartName="/word/media/image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re"/>
      </w:pPr>
      <w:r>
        <w:t xml:space="preserve">Microsimulation fiscale CEQ — Côte d’Ivoire (EHCVM 2021)</w:t>
      </w:r>
    </w:p>
    <w:p>
      <w:pPr>
        <w:pStyle w:val="Sous-titre"/>
      </w:pPr>
      <w:r>
        <w:t xml:space="preserve">Document de travail : méthodologie, pipeline R et résultats — TVA, matrice entrées-sorties et impôts directs</w:t>
      </w:r>
    </w:p>
    <w:p>
      <w:pPr>
        <w:pStyle w:val="Author"/>
      </w:pPr>
      <w:r>
        <w:t xml:space="preserve">Cellule d’Analyses Économiques — ANStat</w:t>
      </w:r>
    </w:p>
    <w:p>
      <w:pPr>
        <w:pStyle w:val="Date"/>
      </w:pPr>
      <w:r>
        <w:t xml:space="preserve">Juillet 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résumé-exécutif"/>
    <w:p>
      <w:pPr>
        <w:pStyle w:val="Titre1"/>
      </w:pPr>
      <w:r>
        <w:rPr>
          <w:rStyle w:val="SectionNumber"/>
        </w:rPr>
        <w:t xml:space="preserve">1</w:t>
      </w:r>
      <w:r>
        <w:tab/>
      </w:r>
      <w:r>
        <w:t xml:space="preserve">Résumé exécutif</w:t>
      </w:r>
    </w:p>
    <w:p>
      <w:pPr>
        <w:pStyle w:val="FirstParagraph"/>
      </w:pPr>
      <w:r>
        <w:t xml:space="preserve">Ce document de travail présente la méthodologie complète et les résultats du modèle de</w:t>
      </w:r>
      <w:r>
        <w:t xml:space="preserve"> </w:t>
      </w:r>
      <w:r>
        <w:t xml:space="preserve">microsimulation fiscale de type</w:t>
      </w:r>
      <w:r>
        <w:t xml:space="preserve"> </w:t>
      </w:r>
      <w:r>
        <w:rPr>
          <w:i/>
          <w:iCs/>
        </w:rPr>
        <w:t xml:space="preserve">Commitment to Equity</w:t>
      </w:r>
      <w:r>
        <w:t xml:space="preserve"> </w:t>
      </w:r>
      <w:r>
        <w:t xml:space="preserve">(CEQ) construit pour la Côte</w:t>
      </w:r>
      <w:r>
        <w:t xml:space="preserve"> </w:t>
      </w:r>
      <w:r>
        <w:t xml:space="preserve">d’Ivoire à partir de l’Enquête Harmonisée sur les Conditions de Vie des Ménages</w:t>
      </w:r>
      <w:r>
        <w:t xml:space="preserve"> </w:t>
      </w:r>
      <w:r>
        <w:t xml:space="preserve">(EHCVM 2021). Le modèle est implémenté sous la forme d’un pipeline R reproductible de</w:t>
      </w:r>
      <w:r>
        <w:t xml:space="preserve"> </w:t>
      </w:r>
      <w:r>
        <w:t xml:space="preserve">16 étapes (branche</w:t>
      </w:r>
      <w:r>
        <w:t xml:space="preserve"> </w:t>
      </w:r>
      <w:r>
        <w:rPr>
          <w:rStyle w:val="VerbatimChar"/>
        </w:rPr>
        <w:t xml:space="preserve">rewrite-r</w:t>
      </w:r>
      <w:r>
        <w:t xml:space="preserve">), réécriture complète du pipeline Stata original.</w:t>
      </w:r>
    </w:p>
    <w:p>
      <w:pPr>
        <w:pStyle w:val="BodyText"/>
      </w:pPr>
      <w:r>
        <w:t xml:space="preserve">Principaux résultats 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La TVA simulée représente environ 1 502 milliards de FCFA</w:t>
      </w:r>
      <w:r>
        <w:t xml:space="preserve"> </w:t>
      </w:r>
      <w:r>
        <w:t xml:space="preserve">de charge annuelle pour</w:t>
      </w:r>
      <w:r>
        <w:t xml:space="preserve"> </w:t>
      </w:r>
      <w:r>
        <w:t xml:space="preserve">les ménages, soit un taux effectif moyen d’environ 12 % de la consommation marchande —</w:t>
      </w:r>
      <w:r>
        <w:t xml:space="preserve"> </w:t>
      </w:r>
      <w:r>
        <w:t xml:space="preserve">nettement en dessous du taux légal de 18 %, du fait des exonérations et du taux réduit.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La progressivité de la TVA dépend de l’hypothèse d’informalité.</w:t>
      </w:r>
      <w:r>
        <w:t xml:space="preserve"> </w:t>
      </w:r>
      <w:r>
        <w:t xml:space="preserve">Sous pass-through</w:t>
      </w:r>
      <w:r>
        <w:t xml:space="preserve"> </w:t>
      </w:r>
      <w:r>
        <w:t xml:space="preserve">complet (α = 1), la TVA est légèrement régressive (Kakwani = −0,006, IC bootstrap à</w:t>
      </w:r>
      <w:r>
        <w:t xml:space="preserve"> </w:t>
      </w:r>
      <w:r>
        <w:t xml:space="preserve">95 % : [−0,009 ; −0,003]). Dès que l’on tient compte de la courbe d’Engel de</w:t>
      </w:r>
      <w:r>
        <w:t xml:space="preserve"> </w:t>
      </w:r>
      <w:r>
        <w:t xml:space="preserve">l’informalité (Bachas, Gadenne &amp; Jensen 2024), elle devient progressive</w:t>
      </w:r>
      <w:r>
        <w:t xml:space="preserve"> </w:t>
      </w:r>
      <w:r>
        <w:t xml:space="preserve">(Kakwani = +0,031 à +0,064).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La TVA accroît fortement la pauvreté monétaire mesurée</w:t>
      </w:r>
      <w:r>
        <w:t xml:space="preserve"> </w:t>
      </w:r>
      <w:r>
        <w:t xml:space="preserve">: le taux de pauvreté (P0)</w:t>
      </w:r>
      <w:r>
        <w:t xml:space="preserve"> </w:t>
      </w:r>
      <w:r>
        <w:t xml:space="preserve">passe de 37,5 % avant TVA à 44,5 % après TVA directe (scénario strict), et jusqu’à</w:t>
      </w:r>
      <w:r>
        <w:t xml:space="preserve"> </w:t>
      </w:r>
      <w:r>
        <w:rPr>
          <w:b/>
          <w:bCs/>
        </w:rPr>
        <w:t xml:space="preserve">53,7 %</w:t>
      </w:r>
      <w:r>
        <w:t xml:space="preserve"> </w:t>
      </w:r>
      <w:r>
        <w:t xml:space="preserve">lorsque la TVA enchâssée dans les consommations intermédiaires est mesurée</w:t>
      </w:r>
      <w:r>
        <w:t xml:space="preserve"> </w:t>
      </w:r>
      <w:r>
        <w:t xml:space="preserve">avec la matrice entrées-sorties locale (TRE 2023).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La matrice I/O locale double la TVA enchâssée estimée</w:t>
      </w:r>
      <w:r>
        <w:t xml:space="preserve"> </w:t>
      </w:r>
      <w:r>
        <w:t xml:space="preserve">par rapport à la matrice</w:t>
      </w:r>
      <w:r>
        <w:t xml:space="preserve"> </w:t>
      </w:r>
      <w:r>
        <w:t xml:space="preserve">OCDE ICIO : 255 956 FCFA/ménage/an contre 128 997 FCFA.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Une réforme portant les produits exonérés à 9 %</w:t>
      </w:r>
      <w:r>
        <w:t xml:space="preserve"> </w:t>
      </w:r>
      <w:r>
        <w:t xml:space="preserve">ferait basculer environ 80 000</w:t>
      </w:r>
      <w:r>
        <w:t xml:space="preserve"> </w:t>
      </w:r>
      <w:r>
        <w:t xml:space="preserve">personnes sous le seuil de pauvreté (+1,45 point de P0) dans le scénario le plus large.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Nouveau — impôts directs (étape 16)</w:t>
      </w:r>
      <w:r>
        <w:t xml:space="preserve"> </w:t>
      </w:r>
      <w:r>
        <w:t xml:space="preserve">: l’IRPP (IS + CN + IGR) et les cotisations</w:t>
      </w:r>
      <w:r>
        <w:t xml:space="preserve"> </w:t>
      </w:r>
      <w:r>
        <w:t xml:space="preserve">CNPS/CMU simulés sur les salariés formels représentent respectivement 290 et 163</w:t>
      </w:r>
      <w:r>
        <w:t xml:space="preserve"> </w:t>
      </w:r>
      <w:r>
        <w:t xml:space="preserve">milliards de FCFA. Ils sont fortement progressifs (Kakwani = +0,37 et +0,33) : le</w:t>
      </w:r>
      <w:r>
        <w:t xml:space="preserve"> </w:t>
      </w:r>
      <w:r>
        <w:t xml:space="preserve">décile supérieur acquitte 61,6 % de la masse IRPP. Leur effet redistributif global</w:t>
      </w:r>
      <w:r>
        <w:t xml:space="preserve"> </w:t>
      </w:r>
      <w:r>
        <w:t xml:space="preserve">reste modeste (Reynolds-Smolensky = −0,007) car seuls 25 % des salariés — moins de</w:t>
      </w:r>
      <w:r>
        <w:t xml:space="preserve"> </w:t>
      </w:r>
      <w:r>
        <w:t xml:space="preserve">10 % des ménages — sont dans l’emploi formel.</w:t>
      </w:r>
    </w:p>
    <w:p>
      <w:r>
        <w:pict>
          <v:rect style="width:0;height:1.5pt" o:hralign="center" o:hrstd="t" o:hr="t"/>
        </w:pict>
      </w:r>
    </w:p>
    <w:bookmarkEnd w:id="20"/>
    <w:bookmarkStart w:id="23" w:name="contexte-et-objectifs"/>
    <w:p>
      <w:pPr>
        <w:pStyle w:val="Titre1"/>
      </w:pPr>
      <w:r>
        <w:rPr>
          <w:rStyle w:val="SectionNumber"/>
        </w:rPr>
        <w:t xml:space="preserve">2</w:t>
      </w:r>
      <w:r>
        <w:tab/>
      </w:r>
      <w:r>
        <w:t xml:space="preserve">Contexte et objectifs</w:t>
      </w:r>
    </w:p>
    <w:bookmarkStart w:id="21" w:name="le-cadre-commitment-to-equity"/>
    <w:p>
      <w:pPr>
        <w:pStyle w:val="Titre2"/>
      </w:pPr>
      <w:r>
        <w:rPr>
          <w:rStyle w:val="SectionNumber"/>
        </w:rPr>
        <w:t xml:space="preserve">2.1</w:t>
      </w:r>
      <w:r>
        <w:tab/>
      </w:r>
      <w:r>
        <w:t xml:space="preserve">Le cadre Commitment to Equity</w:t>
      </w:r>
    </w:p>
    <w:p>
      <w:pPr>
        <w:pStyle w:val="FirstParagraph"/>
      </w:pPr>
      <w:r>
        <w:t xml:space="preserve">Le cadre CEQ (Lustig et al., CEQ Handbook) mesure l’incidence des impôts et des</w:t>
      </w:r>
      <w:r>
        <w:t xml:space="preserve"> </w:t>
      </w:r>
      <w:r>
        <w:t xml:space="preserve">dépenses publiques sur la distribution des revenus et la pauvreté. Il repose sur la</w:t>
      </w:r>
      <w:r>
        <w:t xml:space="preserve"> </w:t>
      </w:r>
      <w:r>
        <w:t xml:space="preserve">construction en cascade de sept concepts de revenu :</w:t>
      </w:r>
    </w:p>
    <w:p>
      <w:pPr>
        <w:pStyle w:val="SourceCode"/>
      </w:pPr>
      <w:r>
        <w:rPr>
          <w:rStyle w:val="VerbatimChar"/>
        </w:rPr>
        <w:t xml:space="preserve">Y_M   Market Income        = revenu de marché (ici : proxy consommation)</w:t>
      </w:r>
      <w:r>
        <w:br/>
      </w:r>
      <w:r>
        <w:rPr>
          <w:rStyle w:val="VerbatimChar"/>
        </w:rPr>
        <w:t xml:space="preserve">Y_NM  Net Market Income    = Y_M − impôts directs − cotisations        ← étape 16 ✅</w:t>
      </w:r>
      <w:r>
        <w:br/>
      </w:r>
      <w:r>
        <w:rPr>
          <w:rStyle w:val="VerbatimChar"/>
        </w:rPr>
        <w:t xml:space="preserve">Y_G   Gross Income         = Y_NM + pensions contributives              [à venir]</w:t>
      </w:r>
      <w:r>
        <w:br/>
      </w:r>
      <w:r>
        <w:rPr>
          <w:rStyle w:val="VerbatimChar"/>
        </w:rPr>
        <w:t xml:space="preserve">Y_T   Taxable Income       = Y_G                                        [à venir]</w:t>
      </w:r>
      <w:r>
        <w:br/>
      </w:r>
      <w:r>
        <w:rPr>
          <w:rStyle w:val="VerbatimChar"/>
        </w:rPr>
        <w:t xml:space="preserve">Y_D   Disposable Income    = Y_T + transferts non contributifs          [à venir]</w:t>
      </w:r>
      <w:r>
        <w:br/>
      </w:r>
      <w:r>
        <w:rPr>
          <w:rStyle w:val="VerbatimChar"/>
        </w:rPr>
        <w:t xml:space="preserve">Y_C   Consumable Income    = Y_D − TVA − accises − douanes + subsides   ← TVA couverte ✅</w:t>
      </w:r>
      <w:r>
        <w:br/>
      </w:r>
      <w:r>
        <w:rPr>
          <w:rStyle w:val="VerbatimChar"/>
        </w:rPr>
        <w:t xml:space="preserve">Y_F   Final Income         = Y_C + éducation + santé (en nature)        [à venir]</w:t>
      </w:r>
    </w:p>
    <w:p>
      <w:pPr>
        <w:pStyle w:val="FirstParagraph"/>
      </w:pPr>
      <w:r>
        <w:t xml:space="preserve">Conformément à la pratique CEQ pour les pays où le revenu est difficilement mesurable</w:t>
      </w:r>
      <w:r>
        <w:t xml:space="preserve"> </w:t>
      </w:r>
      <w:r>
        <w:t xml:space="preserve">(CEQ Handbook, ch. 6 ; Hill et al. 2017 pour l’Éthiopie), le revenu de marché est</w:t>
      </w:r>
      <w:r>
        <w:t xml:space="preserve"> </w:t>
      </w:r>
      <w:r>
        <w:t xml:space="preserve">proxié par la</w:t>
      </w:r>
      <w:r>
        <w:t xml:space="preserve"> </w:t>
      </w:r>
      <w:r>
        <w:rPr>
          <w:b/>
          <w:bCs/>
        </w:rPr>
        <w:t xml:space="preserve">consommation totale winsorisée</w:t>
      </w:r>
      <w:r>
        <w:t xml:space="preserve"> </w:t>
      </w:r>
      <w:r>
        <w:t xml:space="preserve">(</w:t>
      </w:r>
      <w:r>
        <w:rPr>
          <w:rStyle w:val="VerbatimChar"/>
        </w:rPr>
        <w:t xml:space="preserve">conso_w</w:t>
      </w:r>
      <w:r>
        <w:t xml:space="preserve">). La seule étude CEQ</w:t>
      </w:r>
      <w:r>
        <w:t xml:space="preserve"> </w:t>
      </w:r>
      <w:r>
        <w:t xml:space="preserve">publiée sur la Côte d’Ivoire (Akim, Ben Jelloul, Czajka &amp; Robilliard, AFD 2020, sur</w:t>
      </w:r>
      <w:r>
        <w:t xml:space="preserve"> </w:t>
      </w:r>
      <w:r>
        <w:t xml:space="preserve">l’ENV 2014) sert de point de comparaison.</w:t>
      </w:r>
    </w:p>
    <w:bookmarkEnd w:id="21"/>
    <w:bookmarkStart w:id="22" w:name="objectifs-du-modèle"/>
    <w:p>
      <w:pPr>
        <w:pStyle w:val="Titre2"/>
      </w:pPr>
      <w:r>
        <w:rPr>
          <w:rStyle w:val="SectionNumber"/>
        </w:rPr>
        <w:t xml:space="preserve">2.2</w:t>
      </w:r>
      <w:r>
        <w:tab/>
      </w:r>
      <w:r>
        <w:t xml:space="preserve">Objectifs du modèle</w:t>
      </w:r>
    </w:p>
    <w:p>
      <w:pPr>
        <w:pStyle w:val="Compact"/>
        <w:numPr>
          <w:ilvl w:val="0"/>
          <w:numId w:val="1002"/>
        </w:numPr>
      </w:pPr>
      <w:r>
        <w:t xml:space="preserve">Mesurer l’incidence distributive de la TVA ivoirienne (taux effectifs par décile,</w:t>
      </w:r>
      <w:r>
        <w:t xml:space="preserve"> </w:t>
      </w:r>
      <w:r>
        <w:t xml:space="preserve">progressivité, sensibilité à l’informalité).</w:t>
      </w:r>
    </w:p>
    <w:p>
      <w:pPr>
        <w:pStyle w:val="Compact"/>
        <w:numPr>
          <w:ilvl w:val="0"/>
          <w:numId w:val="1002"/>
        </w:numPr>
      </w:pPr>
      <w:r>
        <w:t xml:space="preserve">Quantifier l’impact de la TVA — directe et enchâssée — sur la pauvreté (FGT).</w:t>
      </w:r>
    </w:p>
    <w:p>
      <w:pPr>
        <w:pStyle w:val="Compact"/>
        <w:numPr>
          <w:ilvl w:val="0"/>
          <w:numId w:val="1002"/>
        </w:numPr>
      </w:pPr>
      <w:r>
        <w:t xml:space="preserve">Simuler des réformes fiscales (TVA intrants avicoles, extension du taux de 9 %).</w:t>
      </w:r>
    </w:p>
    <w:p>
      <w:pPr>
        <w:pStyle w:val="Compact"/>
        <w:numPr>
          <w:ilvl w:val="0"/>
          <w:numId w:val="1002"/>
        </w:numPr>
      </w:pPr>
      <w:r>
        <w:t xml:space="preserve">Étendre progressivement le modèle vers un CEQ complet (impôts directs — fait —,</w:t>
      </w:r>
      <w:r>
        <w:t xml:space="preserve"> </w:t>
      </w:r>
      <w:r>
        <w:t xml:space="preserve">accises, transferts, dépenses en nature).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données"/>
    <w:p>
      <w:pPr>
        <w:pStyle w:val="Titre1"/>
      </w:pPr>
      <w:r>
        <w:rPr>
          <w:rStyle w:val="SectionNumber"/>
        </w:rPr>
        <w:t xml:space="preserve">3</w:t>
      </w:r>
      <w:r>
        <w:tab/>
      </w:r>
      <w:r>
        <w:t xml:space="preserve">Données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Fichier</w:t>
            </w:r>
          </w:p>
        </w:tc>
        <w:tc>
          <w:tcPr/>
          <w:p>
            <w:pPr>
              <w:pStyle w:val="Compact"/>
            </w:pPr>
            <w:r>
              <w:t xml:space="preserve">Usage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EHCVM 2021 — consommation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ehcvm_conso_CIV2021.dta</w:t>
            </w:r>
          </w:p>
        </w:tc>
        <w:tc>
          <w:tcPr/>
          <w:p>
            <w:pPr>
              <w:pStyle w:val="Compact"/>
            </w:pPr>
            <w:r>
              <w:t xml:space="preserve">787 410 lignes de dépenses (hhid × produit × mode d’acquisition)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EHCVM 2021 — bien-être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ehcvm_welfare_2b_CIV2021.dta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pcexp</w:t>
            </w:r>
            <w:r>
              <w:t xml:space="preserve"> </w:t>
            </w:r>
            <w:r>
              <w:t xml:space="preserve">(dépense par tête officielle),</w:t>
            </w:r>
            <w:r>
              <w:t xml:space="preserve"> </w:t>
            </w:r>
            <w:r>
              <w:rPr>
                <w:rStyle w:val="VerbatimChar"/>
              </w:rPr>
              <w:t xml:space="preserve">zref</w:t>
            </w:r>
            <w:r>
              <w:t xml:space="preserve"> </w:t>
            </w:r>
            <w:r>
              <w:t xml:space="preserve">(seuil de pauvreté),</w:t>
            </w:r>
            <w:r>
              <w:t xml:space="preserve"> </w:t>
            </w:r>
            <w:r>
              <w:rPr>
                <w:rStyle w:val="VerbatimChar"/>
              </w:rPr>
              <w:t xml:space="preserve">hhsize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EHCVM 2021 — individus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ehcvm_individu_CIV2021.dta</w:t>
            </w:r>
          </w:p>
        </w:tc>
        <w:tc>
          <w:tcPr/>
          <w:p>
            <w:pPr>
              <w:pStyle w:val="Compact"/>
            </w:pPr>
            <w:r>
              <w:t xml:space="preserve">64 491 individus : salaires annuels harmonisés, état civil, âge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EHCVM 2021 — module emploi (s04)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s04_me_CIV2021.dta</w:t>
            </w:r>
          </w:p>
        </w:tc>
        <w:tc>
          <w:tcPr/>
          <w:p>
            <w:pPr>
              <w:pStyle w:val="Compact"/>
            </w:pPr>
            <w:r>
              <w:t xml:space="preserve">Flags de formalité : bulletin de paie (s04q42), cotisation CGRAE/CNPS (s04q38)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Mapping TVA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COPR_EHCVM_TVA_renseigne.xlsx</w:t>
            </w:r>
          </w:p>
        </w:tc>
        <w:tc>
          <w:tcPr/>
          <w:p>
            <w:pPr>
              <w:pStyle w:val="Compact"/>
            </w:pPr>
            <w:r>
              <w:t xml:space="preserve">Taux de TVA statutaire par produit</w:t>
            </w:r>
            <w:r>
              <w:t xml:space="preserve"> </w:t>
            </w:r>
            <w:r>
              <w:rPr>
                <w:rStyle w:val="VerbatimChar"/>
              </w:rPr>
              <w:t xml:space="preserve">codpr</w:t>
            </w:r>
            <w:r>
              <w:t xml:space="preserve"> </w:t>
            </w:r>
            <w:r>
              <w:t xml:space="preserve">(18 % / 9 % / 0 %)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Matrice I/O internationale</w:t>
            </w:r>
          </w:p>
        </w:tc>
        <w:tc>
          <w:tcPr/>
          <w:p>
            <w:pPr>
              <w:pStyle w:val="Compact"/>
            </w:pPr>
            <w:r>
              <w:t xml:space="preserve">OCDE ICIO 2023 (CIV 2020), 45 secteurs ISIC Rev.4</w:t>
            </w:r>
          </w:p>
        </w:tc>
        <w:tc>
          <w:tcPr/>
          <w:p>
            <w:pPr>
              <w:pStyle w:val="Compact"/>
            </w:pPr>
            <w:r>
              <w:t xml:space="preserve">TVA enchâssée (étape 13)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Matrice I/O locale</w:t>
            </w:r>
          </w:p>
        </w:tc>
        <w:tc>
          <w:tcPr/>
          <w:p>
            <w:pPr>
              <w:pStyle w:val="Compact"/>
            </w:pPr>
            <w:r>
              <w:t xml:space="preserve">TRE 2023 Côte d’Ivoire (+ TRE constant, scénario de robustesse)</w:t>
            </w:r>
          </w:p>
        </w:tc>
        <w:tc>
          <w:tcPr/>
          <w:p>
            <w:pPr>
              <w:pStyle w:val="Compact"/>
            </w:pPr>
            <w:r>
              <w:t xml:space="preserve">TVA enchâssée locale (étape 13b)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Barèmes fiscaux 2021</w:t>
            </w:r>
          </w:p>
        </w:tc>
        <w:tc>
          <w:tcPr/>
          <w:p>
            <w:pPr>
              <w:pStyle w:val="Compact"/>
            </w:pPr>
            <w:r>
              <w:t xml:space="preserve">CGI (IS, CN, IGR), CNPS, CMU</w:t>
            </w:r>
          </w:p>
        </w:tc>
        <w:tc>
          <w:tcPr/>
          <w:p>
            <w:pPr>
              <w:pStyle w:val="Compact"/>
            </w:pPr>
            <w:r>
              <w:t xml:space="preserve">Impôts directs (étape 16)</w:t>
            </w:r>
          </w:p>
        </w:tc>
      </w:tr>
    </w:tbl>
    <w:p>
      <w:pPr>
        <w:pStyle w:val="BodyText"/>
      </w:pPr>
      <w:r>
        <w:t xml:space="preserve">L’échantillon d’analyse compte</w:t>
      </w:r>
      <w:r>
        <w:t xml:space="preserve"> </w:t>
      </w:r>
      <w:r>
        <w:rPr>
          <w:b/>
          <w:bCs/>
        </w:rPr>
        <w:t xml:space="preserve">12 965 ménages</w:t>
      </w:r>
      <w:r>
        <w:t xml:space="preserve">. Traitements amont : restriction aux</w:t>
      </w:r>
      <w:r>
        <w:t xml:space="preserve"> </w:t>
      </w:r>
      <w:r>
        <w:t xml:space="preserve">transactions marchandes (</w:t>
      </w:r>
      <w:r>
        <w:rPr>
          <w:rStyle w:val="VerbatimChar"/>
        </w:rPr>
        <w:t xml:space="preserve">modep == 1</w:t>
      </w:r>
      <w:r>
        <w:t xml:space="preserve">, la TVA ne portant ni sur l’autoconsommation ni</w:t>
      </w:r>
      <w:r>
        <w:t xml:space="preserve"> </w:t>
      </w:r>
      <w:r>
        <w:t xml:space="preserve">sur les dons), winsorisation des dépenses au 99e percentile, validation des</w:t>
      </w:r>
      <w:r>
        <w:t xml:space="preserve"> </w:t>
      </w:r>
      <w:r>
        <w:t xml:space="preserve">identifiants et des schémas de colonnes à chaque lecture.</w:t>
      </w:r>
    </w:p>
    <w:p>
      <w:r>
        <w:pict>
          <v:rect style="width:0;height:1.5pt" o:hralign="center" o:hrstd="t" o:hr="t"/>
        </w:pict>
      </w:r>
    </w:p>
    <w:bookmarkEnd w:id="24"/>
    <w:bookmarkStart w:id="25" w:name="architecture-du-pipeline-r"/>
    <w:p>
      <w:pPr>
        <w:pStyle w:val="Titre1"/>
      </w:pPr>
      <w:r>
        <w:rPr>
          <w:rStyle w:val="SectionNumber"/>
        </w:rPr>
        <w:t xml:space="preserve">4</w:t>
      </w:r>
      <w:r>
        <w:tab/>
      </w:r>
      <w:r>
        <w:t xml:space="preserve">Architecture du pipeline R</w:t>
      </w:r>
    </w:p>
    <w:p>
      <w:pPr>
        <w:pStyle w:val="FirstParagraph"/>
      </w:pPr>
      <w:r>
        <w:t xml:space="preserve">Le pipeline (dossier</w:t>
      </w:r>
      <w:r>
        <w:t xml:space="preserve"> </w:t>
      </w:r>
      <w:r>
        <w:rPr>
          <w:rStyle w:val="VerbatimChar"/>
        </w:rPr>
        <w:t xml:space="preserve">05_scripts_R/</w:t>
      </w:r>
      <w:r>
        <w:t xml:space="preserve">) suit une architecture en couches type</w:t>
      </w:r>
      <w:r>
        <w:t xml:space="preserve"> </w:t>
      </w:r>
      <w:r>
        <w:t xml:space="preserve">« medallion » orchestrée à la manière du modèle INES (INSEE) :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00_setup.R</w:t>
      </w:r>
      <w:r>
        <w:t xml:space="preserve"> </w:t>
      </w:r>
      <w:r>
        <w:t xml:space="preserve">— chemins (</w:t>
      </w:r>
      <w:r>
        <w:rPr>
          <w:rStyle w:val="VerbatimChar"/>
        </w:rPr>
        <w:t xml:space="preserve">DATA</w:t>
      </w:r>
      <w:r>
        <w:t xml:space="preserve">,</w:t>
      </w:r>
      <w:r>
        <w:t xml:space="preserve"> </w:t>
      </w:r>
      <w:r>
        <w:rPr>
          <w:rStyle w:val="VerbatimChar"/>
        </w:rPr>
        <w:t xml:space="preserve">SILVER</w:t>
      </w:r>
      <w:r>
        <w:t xml:space="preserve">,</w:t>
      </w:r>
      <w:r>
        <w:t xml:space="preserve"> </w:t>
      </w:r>
      <w:r>
        <w:rPr>
          <w:rStyle w:val="VerbatimChar"/>
        </w:rPr>
        <w:t xml:space="preserve">GOLD</w:t>
      </w:r>
      <w:r>
        <w:t xml:space="preserve">,</w:t>
      </w:r>
      <w:r>
        <w:t xml:space="preserve"> </w:t>
      </w:r>
      <w:r>
        <w:rPr>
          <w:rStyle w:val="VerbatimChar"/>
        </w:rPr>
        <w:t xml:space="preserve">TABLES</w:t>
      </w:r>
      <w:r>
        <w:t xml:space="preserve">,</w:t>
      </w:r>
      <w:r>
        <w:t xml:space="preserve"> </w:t>
      </w:r>
      <w:r>
        <w:rPr>
          <w:rStyle w:val="VerbatimChar"/>
        </w:rPr>
        <w:t xml:space="preserve">FIGS</w:t>
      </w:r>
      <w:r>
        <w:t xml:space="preserve">), packages,</w:t>
      </w:r>
      <w:r>
        <w:t xml:space="preserve"> </w:t>
      </w:r>
      <w:r>
        <w:t xml:space="preserve">utilitaires ;</w:t>
      </w:r>
      <w:r>
        <w:t xml:space="preserve"> </w:t>
      </w:r>
      <w:r>
        <w:rPr>
          <w:rStyle w:val="VerbatimChar"/>
        </w:rPr>
        <w:t xml:space="preserve">00_master.R</w:t>
      </w:r>
      <w:r>
        <w:t xml:space="preserve"> </w:t>
      </w:r>
      <w:r>
        <w:t xml:space="preserve">— table d’enchaînement des 17 étapes et orchestrateur</w:t>
      </w:r>
      <w:r>
        <w:t xml:space="preserve"> </w:t>
      </w:r>
      <w:r>
        <w:rPr>
          <w:rStyle w:val="VerbatimChar"/>
        </w:rPr>
        <w:t xml:space="preserve">lance_pipeline(première, dernière)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utils/io.R</w:t>
      </w:r>
      <w:r>
        <w:t xml:space="preserve"> </w:t>
      </w:r>
      <w:r>
        <w:t xml:space="preserve">— couche I/O commune :</w:t>
      </w:r>
      <w:r>
        <w:t xml:space="preserve"> </w:t>
      </w:r>
      <w:r>
        <w:rPr>
          <w:rStyle w:val="VerbatimChar"/>
        </w:rPr>
        <w:t xml:space="preserve">load_raw_dta()</w:t>
      </w:r>
      <w:r>
        <w:t xml:space="preserve"> </w:t>
      </w:r>
      <w:r>
        <w:t xml:space="preserve">(locale ou MinIO),</w:t>
      </w:r>
      <w:r>
        <w:t xml:space="preserve"> </w:t>
      </w:r>
      <w:r>
        <w:rPr>
          <w:rStyle w:val="VerbatimChar"/>
        </w:rPr>
        <w:t xml:space="preserve">save_parquet()</w:t>
      </w:r>
      <w:r>
        <w:t xml:space="preserve">,</w:t>
      </w:r>
      <w:r>
        <w:t xml:space="preserve"> </w:t>
      </w:r>
      <w:r>
        <w:rPr>
          <w:rStyle w:val="VerbatimChar"/>
        </w:rPr>
        <w:t xml:space="preserve">export_excel()</w:t>
      </w:r>
      <w:r>
        <w:t xml:space="preserve">,</w:t>
      </w:r>
      <w:r>
        <w:t xml:space="preserve"> </w:t>
      </w:r>
      <w:r>
        <w:rPr>
          <w:rStyle w:val="VerbatimChar"/>
        </w:rPr>
        <w:t xml:space="preserve">export_fig()</w:t>
      </w:r>
      <w:r>
        <w:t xml:space="preserve">, validations</w:t>
      </w:r>
      <w:r>
        <w:t xml:space="preserve"> </w:t>
      </w:r>
      <w:r>
        <w:t xml:space="preserve">(</w:t>
      </w:r>
      <w:r>
        <w:rPr>
          <w:rStyle w:val="VerbatimChar"/>
        </w:rPr>
        <w:t xml:space="preserve">assert_required_columns</w:t>
      </w:r>
      <w:r>
        <w:t xml:space="preserve">,</w:t>
      </w:r>
      <w:r>
        <w:t xml:space="preserve"> </w:t>
      </w:r>
      <w:r>
        <w:rPr>
          <w:rStyle w:val="VerbatimChar"/>
        </w:rPr>
        <w:t xml:space="preserve">assert_local_file_exists</w:t>
      </w:r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utils/distributive.R</w:t>
      </w:r>
      <w:r>
        <w:t xml:space="preserve"> </w:t>
      </w:r>
      <w:r>
        <w:t xml:space="preserve">— indices pondérés cohérents avec</w:t>
      </w:r>
      <w:r>
        <w:t xml:space="preserve"> </w:t>
      </w:r>
      <w:r>
        <w:rPr>
          <w:rStyle w:val="VerbatimChar"/>
        </w:rPr>
        <w:t xml:space="preserve">conindex</w:t>
      </w:r>
      <w:r>
        <w:t xml:space="preserve"> </w:t>
      </w:r>
      <w:r>
        <w:t xml:space="preserve">de Stata :</w:t>
      </w:r>
      <w:r>
        <w:t xml:space="preserve"> </w:t>
      </w:r>
      <w:r>
        <w:t xml:space="preserve">Gini, indice de concentration, Kakwani, Reynolds-Smolensky,</w:t>
      </w:r>
      <w:r>
        <w:t xml:space="preserve"> </w:t>
      </w:r>
      <w:r>
        <w:rPr>
          <w:rStyle w:val="VerbatimChar"/>
        </w:rPr>
        <w:t xml:space="preserve">weighted_ntile</w:t>
      </w:r>
      <w:r>
        <w:t xml:space="preserve">,</w:t>
      </w:r>
      <w:r>
        <w:t xml:space="preserve"> </w:t>
      </w:r>
      <w:r>
        <w:t xml:space="preserve">bootstrap de Kakwani (500 réplications).</w:t>
      </w:r>
    </w:p>
    <w:p>
      <w:pPr>
        <w:pStyle w:val="Compact"/>
        <w:numPr>
          <w:ilvl w:val="0"/>
          <w:numId w:val="1003"/>
        </w:numPr>
      </w:pPr>
      <w:r>
        <w:t xml:space="preserve">Chaque étape lit ses entrées en parquet (couche SILVER</w:t>
      </w:r>
      <w:r>
        <w:t xml:space="preserve"> </w:t>
      </w:r>
      <w:r>
        <w:rPr>
          <w:rStyle w:val="VerbatimChar"/>
        </w:rPr>
        <w:t xml:space="preserve">02_data_intermediate/NN/</w:t>
      </w:r>
      <w:r>
        <w:t xml:space="preserve">),</w:t>
      </w:r>
      <w:r>
        <w:t xml:space="preserve"> </w:t>
      </w:r>
      <w:r>
        <w:t xml:space="preserve">écrit ses tables en Excel (</w:t>
      </w:r>
      <w:r>
        <w:rPr>
          <w:rStyle w:val="VerbatimChar"/>
        </w:rPr>
        <w:t xml:space="preserve">07_reports/tables/NN/</w:t>
      </w:r>
      <w:r>
        <w:t xml:space="preserve">) et ses figures en PNG</w:t>
      </w:r>
      <w:r>
        <w:t xml:space="preserve"> </w:t>
      </w:r>
      <w:r>
        <w:t xml:space="preserve">(</w:t>
      </w:r>
      <w:r>
        <w:rPr>
          <w:rStyle w:val="VerbatimChar"/>
        </w:rPr>
        <w:t xml:space="preserve">07_reports/figures/</w:t>
      </w:r>
      <w:r>
        <w:t xml:space="preserve">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Bloc</w:t>
            </w:r>
          </w:p>
        </w:tc>
        <w:tc>
          <w:tcPr/>
          <w:p>
            <w:pPr>
              <w:pStyle w:val="Compact"/>
            </w:pPr>
            <w:r>
              <w:t xml:space="preserve">Étapes</w:t>
            </w:r>
          </w:p>
        </w:tc>
        <w:tc>
          <w:tcPr/>
          <w:p>
            <w:pPr>
              <w:pStyle w:val="Compact"/>
            </w:pPr>
            <w:r>
              <w:t xml:space="preserve">Contenu</w:t>
            </w:r>
          </w:p>
        </w:tc>
      </w:tr>
      <w:tr>
        <w:tc>
          <w:tcPr/>
          <w:p>
            <w:pPr>
              <w:pStyle w:val="Compact"/>
            </w:pPr>
            <w:r>
              <w:t xml:space="preserve">0 — Fondations</w:t>
            </w:r>
          </w:p>
        </w:tc>
        <w:tc>
          <w:tcPr/>
          <w:p>
            <w:pPr>
              <w:pStyle w:val="Compact"/>
            </w:pPr>
            <w:r>
              <w:t xml:space="preserve">01–03</w:t>
            </w:r>
          </w:p>
        </w:tc>
        <w:tc>
          <w:tcPr/>
          <w:p>
            <w:pPr>
              <w:pStyle w:val="Compact"/>
            </w:pPr>
            <w:r>
              <w:t xml:space="preserve">Nettoyage, mapping TVA, incidence ménage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 — Analyse TVA</w:t>
            </w:r>
          </w:p>
        </w:tc>
        <w:tc>
          <w:tcPr/>
          <w:p>
            <w:pPr>
              <w:pStyle w:val="Compact"/>
            </w:pPr>
            <w:r>
              <w:t xml:space="preserve">04–09</w:t>
            </w:r>
          </w:p>
        </w:tc>
        <w:tc>
          <w:tcPr/>
          <w:p>
            <w:pPr>
              <w:pStyle w:val="Compact"/>
            </w:pPr>
            <w:r>
              <w:t xml:space="preserve">Distribution, progressivité, sensibilité, déterminants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 — Réformes TVA</w:t>
            </w:r>
          </w:p>
        </w:tc>
        <w:tc>
          <w:tcPr/>
          <w:p>
            <w:pPr>
              <w:pStyle w:val="Compact"/>
            </w:pPr>
            <w:r>
              <w:t xml:space="preserve">10–15</w:t>
            </w:r>
          </w:p>
        </w:tc>
        <w:tc>
          <w:tcPr/>
          <w:p>
            <w:pPr>
              <w:pStyle w:val="Compact"/>
            </w:pPr>
            <w:r>
              <w:t xml:space="preserve">Réforme avicole, Leontief I/O, réforme 0 %→9 %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A — Impôts directs</w:t>
            </w:r>
          </w:p>
        </w:tc>
        <w:tc>
          <w:tcPr/>
          <w:p>
            <w:pPr>
              <w:pStyle w:val="Compact"/>
            </w:pPr>
            <w:r>
              <w:t xml:space="preserve">16 (fait), 17</w:t>
            </w:r>
          </w:p>
        </w:tc>
        <w:tc>
          <w:tcPr/>
          <w:p>
            <w:pPr>
              <w:pStyle w:val="Compact"/>
            </w:pPr>
            <w:r>
              <w:t xml:space="preserve">IRPP + cotisations ; accises/douanes à venir</w:t>
            </w:r>
          </w:p>
        </w:tc>
      </w:tr>
      <w:tr>
        <w:tc>
          <w:tcPr/>
          <w:p>
            <w:pPr>
              <w:pStyle w:val="Compact"/>
            </w:pPr>
            <w:r>
              <w:t xml:space="preserve">B–E</w:t>
            </w:r>
          </w:p>
        </w:tc>
        <w:tc>
          <w:tcPr/>
          <w:p>
            <w:pPr>
              <w:pStyle w:val="Compact"/>
            </w:pPr>
            <w:r>
              <w:t xml:space="preserve">18–25</w:t>
            </w:r>
          </w:p>
        </w:tc>
        <w:tc>
          <w:tcPr/>
          <w:p>
            <w:pPr>
              <w:pStyle w:val="Compact"/>
            </w:pPr>
            <w:r>
              <w:t xml:space="preserve">Transferts, subsides, en nature, synthèse CEQ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Start w:id="43" w:name="méthodologie-et-résultats-par-étape"/>
    <w:p>
      <w:pPr>
        <w:pStyle w:val="Titre1"/>
      </w:pPr>
      <w:r>
        <w:rPr>
          <w:rStyle w:val="SectionNumber"/>
        </w:rPr>
        <w:t xml:space="preserve">5</w:t>
      </w:r>
      <w:r>
        <w:tab/>
      </w:r>
      <w:r>
        <w:t xml:space="preserve">Méthodologie et résultats par étape</w:t>
      </w:r>
    </w:p>
    <w:bookmarkStart w:id="26" w:name="X98b97091d0017bf16dbd021faf964c5060ae27e"/>
    <w:p>
      <w:pPr>
        <w:pStyle w:val="Titre2"/>
      </w:pPr>
      <w:r>
        <w:rPr>
          <w:rStyle w:val="SectionNumber"/>
        </w:rPr>
        <w:t xml:space="preserve">5.1</w:t>
      </w:r>
      <w:r>
        <w:tab/>
      </w:r>
      <w:r>
        <w:t xml:space="preserve">Étape 01 — Préparation des données (</w:t>
      </w:r>
      <w:r>
        <w:rPr>
          <w:rStyle w:val="VerbatimChar"/>
        </w:rPr>
        <w:t xml:space="preserve">01_prepare_data.R</w:t>
      </w:r>
      <w:r>
        <w:t xml:space="preserve">)</w:t>
      </w:r>
    </w:p>
    <w:p>
      <w:pPr>
        <w:pStyle w:val="FirstParagraph"/>
      </w:pPr>
      <w:r>
        <w:t xml:space="preserve">Chargement de la consommation brute, restriction aux achats marchands, winsorisation</w:t>
      </w:r>
      <w:r>
        <w:t xml:space="preserve"> </w:t>
      </w:r>
      <w:r>
        <w:t xml:space="preserve">de</w:t>
      </w:r>
      <w:r>
        <w:t xml:space="preserve"> </w:t>
      </w:r>
      <w:r>
        <w:rPr>
          <w:rStyle w:val="VerbatimChar"/>
        </w:rPr>
        <w:t xml:space="preserve">depan</w:t>
      </w:r>
      <w:r>
        <w:t xml:space="preserve"> </w:t>
      </w:r>
      <w:r>
        <w:t xml:space="preserve">au P99 (le maximum brut atteint 25 millions de FCFA pour une médiane de</w:t>
      </w:r>
      <w:r>
        <w:t xml:space="preserve"> </w:t>
      </w:r>
      <w:r>
        <w:t xml:space="preserve">15 643 FCFA, skewness 45,5), diagnostics exportés. Sortie :</w:t>
      </w:r>
      <w:r>
        <w:t xml:space="preserve"> </w:t>
      </w:r>
      <w:r>
        <w:rPr>
          <w:rStyle w:val="VerbatimChar"/>
        </w:rPr>
        <w:t xml:space="preserve">SILVER/01/conso_clean.parquet</w:t>
      </w:r>
      <w:r>
        <w:t xml:space="preserve"> </w:t>
      </w:r>
      <w:r>
        <w:t xml:space="preserve">(niveau ménage × produit, avec taux TVA et poids).</w:t>
      </w:r>
    </w:p>
    <w:bookmarkEnd w:id="26"/>
    <w:bookmarkStart w:id="27" w:name="étape-02-mapping-tva-02_mapping_tax.r"/>
    <w:p>
      <w:pPr>
        <w:pStyle w:val="Titre2"/>
      </w:pPr>
      <w:r>
        <w:rPr>
          <w:rStyle w:val="SectionNumber"/>
        </w:rPr>
        <w:t xml:space="preserve">5.2</w:t>
      </w:r>
      <w:r>
        <w:tab/>
      </w:r>
      <w:r>
        <w:t xml:space="preserve">Étape 02 — Mapping TVA (</w:t>
      </w:r>
      <w:r>
        <w:rPr>
          <w:rStyle w:val="VerbatimChar"/>
        </w:rPr>
        <w:t xml:space="preserve">02_mapping_tax.R</w:t>
      </w:r>
      <w:r>
        <w:t xml:space="preserve">)</w:t>
      </w:r>
    </w:p>
    <w:p>
      <w:pPr>
        <w:pStyle w:val="FirstParagraph"/>
      </w:pPr>
      <w:r>
        <w:t xml:space="preserve">Affectation à chaque produit</w:t>
      </w:r>
      <w:r>
        <w:t xml:space="preserve"> </w:t>
      </w:r>
      <w:r>
        <w:rPr>
          <w:rStyle w:val="VerbatimChar"/>
        </w:rPr>
        <w:t xml:space="preserve">codpr</w:t>
      </w:r>
      <w:r>
        <w:t xml:space="preserve"> </w:t>
      </w:r>
      <w:r>
        <w:t xml:space="preserve">de son taux de TVA statutaire (18 % taux normal,</w:t>
      </w:r>
      <w:r>
        <w:t xml:space="preserve"> </w:t>
      </w:r>
      <w:r>
        <w:t xml:space="preserve">9 % taux réduit — lait, pâtes, matériels solaires… —, 0 % exonérations : produits</w:t>
      </w:r>
      <w:r>
        <w:t xml:space="preserve"> </w:t>
      </w:r>
      <w:r>
        <w:t xml:space="preserve">alimentaires de base, santé, éducation) depuis le classeur officiel</w:t>
      </w:r>
      <w:r>
        <w:t xml:space="preserve"> </w:t>
      </w:r>
      <w:r>
        <w:rPr>
          <w:rStyle w:val="VerbatimChar"/>
        </w:rPr>
        <w:t xml:space="preserve">COPR_EHCVM_TVA_renseigne.xlsx</w:t>
      </w:r>
      <w:r>
        <w:t xml:space="preserve">.</w:t>
      </w:r>
    </w:p>
    <w:bookmarkEnd w:id="27"/>
    <w:bookmarkStart w:id="28" w:name="Xd9012a9fd8822aa35ef9a62889d45cad01cca16"/>
    <w:p>
      <w:pPr>
        <w:pStyle w:val="Titre2"/>
      </w:pPr>
      <w:r>
        <w:rPr>
          <w:rStyle w:val="SectionNumber"/>
        </w:rPr>
        <w:t xml:space="preserve">5.3</w:t>
      </w:r>
      <w:r>
        <w:tab/>
      </w:r>
      <w:r>
        <w:t xml:space="preserve">Étape 03 — Incidence TVA ménage (</w:t>
      </w:r>
      <w:r>
        <w:rPr>
          <w:rStyle w:val="VerbatimChar"/>
        </w:rPr>
        <w:t xml:space="preserve">03_compute_taxes.R</w:t>
      </w:r>
      <w:r>
        <w:t xml:space="preserve">)</w:t>
      </w:r>
    </w:p>
    <w:p>
      <w:pPr>
        <w:pStyle w:val="FirstParagraph"/>
      </w:pPr>
      <w:r>
        <w:t xml:space="preserve">Hypothèse d’incidence statique avec transfert complet sur les consommateurs :</w:t>
      </w:r>
      <w:r>
        <w:t xml:space="preserve"> </w:t>
      </w:r>
      <w:r>
        <w:rPr>
          <w:rStyle w:val="VerbatimChar"/>
        </w:rPr>
        <w:t xml:space="preserve">vat_item = depan_w × r_vat_official</w:t>
      </w:r>
      <w:r>
        <w:t xml:space="preserve">, agrégé par ménage. Concepts :</w:t>
      </w:r>
      <w:r>
        <w:t xml:space="preserve"> </w:t>
      </w:r>
      <w:r>
        <w:rPr>
          <w:rStyle w:val="VerbatimChar"/>
        </w:rPr>
        <w:t xml:space="preserve">market_income = conso_w</w:t>
      </w:r>
      <w:r>
        <w:t xml:space="preserve"> </w:t>
      </w:r>
      <w:r>
        <w:t xml:space="preserve">;</w:t>
      </w:r>
      <w:r>
        <w:t xml:space="preserve"> </w:t>
      </w:r>
      <w:r>
        <w:rPr>
          <w:rStyle w:val="VerbatimChar"/>
        </w:rPr>
        <w:t xml:space="preserve">consumable_income = conso_w − vat_w</w:t>
      </w:r>
      <w:r>
        <w:t xml:space="preserve">.</w:t>
      </w:r>
    </w:p>
    <w:bookmarkEnd w:id="28"/>
    <w:bookmarkStart w:id="29" w:name="Xce11ed99175bd1e13b118cbf09bbba222425fd3"/>
    <w:p>
      <w:pPr>
        <w:pStyle w:val="Titre2"/>
      </w:pPr>
      <w:r>
        <w:rPr>
          <w:rStyle w:val="SectionNumber"/>
        </w:rPr>
        <w:t xml:space="preserve">5.4</w:t>
      </w:r>
      <w:r>
        <w:tab/>
      </w:r>
      <w:r>
        <w:t xml:space="preserve">Étape 04 — Analyse distributive (</w:t>
      </w:r>
      <w:r>
        <w:rPr>
          <w:rStyle w:val="VerbatimChar"/>
        </w:rPr>
        <w:t xml:space="preserve">04_analysis.R</w:t>
      </w:r>
      <w:r>
        <w:t xml:space="preserve">)</w:t>
      </w:r>
    </w:p>
    <w:p>
      <w:pPr>
        <w:pStyle w:val="FirstParagraph"/>
      </w:pPr>
      <w:r>
        <w:t xml:space="preserve">Classement des ménages en déciles/quintiles pondérés de</w:t>
      </w:r>
      <w:r>
        <w:t xml:space="preserve"> </w:t>
      </w:r>
      <w:r>
        <w:rPr>
          <w:rStyle w:val="VerbatimChar"/>
        </w:rPr>
        <w:t xml:space="preserve">conso_w</w:t>
      </w:r>
      <w:r>
        <w:t xml:space="preserve"> </w:t>
      </w:r>
      <w:r>
        <w:t xml:space="preserve">(</w:t>
      </w:r>
      <w:r>
        <w:rPr>
          <w:rStyle w:val="VerbatimChar"/>
        </w:rPr>
        <w:t xml:space="preserve">weighted_ntile</w:t>
      </w:r>
      <w:r>
        <w:t xml:space="preserve">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2112"/>
        <w:gridCol w:w="2112"/>
        <w:gridCol w:w="211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Décile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Conso. moyenne (FCFA)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TVA moyenne (FCFA)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Part de la TVA totale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 (plus pauvre)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422 435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54 111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2,3 %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1 477 399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178 785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7,7 %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 (plus riche)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4 852 597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577 190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24,8 %</w:t>
            </w:r>
          </w:p>
        </w:tc>
      </w:tr>
    </w:tbl>
    <w:p>
      <w:pPr>
        <w:pStyle w:val="BodyText"/>
      </w:pPr>
      <w:r>
        <w:t xml:space="preserve">Le quintile supérieur acquitte 41,6 % de la TVA totale ; l’urbain 68,7 % (contre</w:t>
      </w:r>
      <w:r>
        <w:t xml:space="preserve"> </w:t>
      </w:r>
      <w:r>
        <w:t xml:space="preserve">31,3 % pour le rural). Masse totale simulée :</w:t>
      </w:r>
      <w:r>
        <w:t xml:space="preserve"> </w:t>
      </w:r>
      <w:r>
        <w:rPr>
          <w:b/>
          <w:bCs/>
        </w:rPr>
        <w:t xml:space="preserve">≈ 1 502 milliards de FCFA</w:t>
      </w:r>
      <w:r>
        <w:t xml:space="preserve">.</w:t>
      </w:r>
    </w:p>
    <w:bookmarkEnd w:id="29"/>
    <w:bookmarkStart w:id="30" w:name="X3e9124ede1e6664abfbfb4e24a90172965e1ed9"/>
    <w:p>
      <w:pPr>
        <w:pStyle w:val="Titre2"/>
      </w:pPr>
      <w:r>
        <w:rPr>
          <w:rStyle w:val="SectionNumber"/>
        </w:rPr>
        <w:t xml:space="preserve">5.5</w:t>
      </w:r>
      <w:r>
        <w:tab/>
      </w:r>
      <w:r>
        <w:t xml:space="preserve">Étape 05 — Progressivité (</w:t>
      </w:r>
      <w:r>
        <w:rPr>
          <w:rStyle w:val="VerbatimChar"/>
        </w:rPr>
        <w:t xml:space="preserve">05_progressivity.R</w:t>
      </w:r>
      <w:r>
        <w:t xml:space="preserve">)</w:t>
      </w:r>
    </w:p>
    <w:p>
      <w:pPr>
        <w:pStyle w:val="FirstParagraph"/>
      </w:pPr>
      <w:r>
        <w:t xml:space="preserve">Indices pondérés au rang fractionnaire (règle du point médian, équivalent</w:t>
      </w:r>
      <w:r>
        <w:t xml:space="preserve"> </w:t>
      </w:r>
      <w:r>
        <w:rPr>
          <w:rStyle w:val="VerbatimChar"/>
        </w:rPr>
        <w:t xml:space="preserve">conindex</w:t>
      </w:r>
      <w:r>
        <w:t xml:space="preserve">) : Gini de la consommation 0,356 ; indice de concentration de la TVA</w:t>
      </w:r>
      <w:r>
        <w:t xml:space="preserve"> </w:t>
      </w:r>
      <w:r>
        <w:t xml:space="preserve">0,350 ;</w:t>
      </w:r>
      <w:r>
        <w:t xml:space="preserve"> </w:t>
      </w:r>
      <w:r>
        <w:rPr>
          <w:b/>
          <w:bCs/>
        </w:rPr>
        <w:t xml:space="preserve">Kakwani = −0,006</w:t>
      </w:r>
      <w:r>
        <w:t xml:space="preserve"> </w:t>
      </w:r>
      <w:r>
        <w:t xml:space="preserve">; Reynolds-Smolensky = +0,001. Sous pass-through</w:t>
      </w:r>
      <w:r>
        <w:t xml:space="preserve"> </w:t>
      </w:r>
      <w:r>
        <w:t xml:space="preserve">complet, la TVA ivoirienne est donc</w:t>
      </w:r>
      <w:r>
        <w:t xml:space="preserve"> </w:t>
      </w:r>
      <w:r>
        <w:rPr>
          <w:b/>
          <w:bCs/>
        </w:rPr>
        <w:t xml:space="preserve">quasi proportionnelle, très légèrement</w:t>
      </w:r>
      <w:r>
        <w:rPr>
          <w:b/>
          <w:bCs/>
        </w:rPr>
        <w:t xml:space="preserve"> </w:t>
      </w:r>
      <w:r>
        <w:rPr>
          <w:b/>
          <w:bCs/>
        </w:rPr>
        <w:t xml:space="preserve">régressive</w:t>
      </w:r>
      <w:r>
        <w:t xml:space="preserve">.</w:t>
      </w:r>
    </w:p>
    <w:bookmarkEnd w:id="30"/>
    <w:bookmarkStart w:id="31" w:name="étape-06-sensibilité-06_01-06_02"/>
    <w:p>
      <w:pPr>
        <w:pStyle w:val="Titre2"/>
      </w:pPr>
      <w:r>
        <w:rPr>
          <w:rStyle w:val="SectionNumber"/>
        </w:rPr>
        <w:t xml:space="preserve">5.6</w:t>
      </w:r>
      <w:r>
        <w:tab/>
      </w:r>
      <w:r>
        <w:t xml:space="preserve">Étape 06 — Sensibilité (</w:t>
      </w:r>
      <w:r>
        <w:rPr>
          <w:rStyle w:val="VerbatimChar"/>
        </w:rPr>
        <w:t xml:space="preserve">06_01</w:t>
      </w:r>
      <w:r>
        <w:t xml:space="preserve">,</w:t>
      </w:r>
      <w:r>
        <w:t xml:space="preserve"> </w:t>
      </w:r>
      <w:r>
        <w:rPr>
          <w:rStyle w:val="VerbatimChar"/>
        </w:rPr>
        <w:t xml:space="preserve">06_02</w:t>
      </w:r>
      <w:r>
        <w:t xml:space="preserve">)</w:t>
      </w:r>
    </w:p>
    <w:p>
      <w:pPr>
        <w:pStyle w:val="FirstParagraph"/>
      </w:pPr>
      <w:r>
        <w:rPr>
          <w:b/>
          <w:bCs/>
        </w:rPr>
        <w:t xml:space="preserve">06_01 — Scénarios d’informalité.</w:t>
      </w:r>
      <w:r>
        <w:t xml:space="preserve"> </w:t>
      </w:r>
      <w:r>
        <w:t xml:space="preserve">Le scénario strict (α = 1) suppose que tout achat</w:t>
      </w:r>
      <w:r>
        <w:t xml:space="preserve"> </w:t>
      </w:r>
      <w:r>
        <w:t xml:space="preserve">supporte la TVA. Deux scénarios alternatifs pondèrent le pass-through par la</w:t>
      </w:r>
      <w:r>
        <w:t xml:space="preserve"> </w:t>
      </w:r>
      <w:r>
        <w:t xml:space="preserve">probabilité d’achat formel, suivant la courbe d’Engel de l’informalité (IEC) de</w:t>
      </w:r>
      <w:r>
        <w:t xml:space="preserve"> </w:t>
      </w:r>
      <w:r>
        <w:t xml:space="preserve">Bachas, Gadenne &amp; Jensen (2024, REStud) : S2 (α par COICOP × milieu urbain/rural) et</w:t>
      </w:r>
      <w:r>
        <w:t xml:space="preserve"> </w:t>
      </w:r>
      <w:r>
        <w:t xml:space="preserve">S3 (α linéaire selon le décile, par COICOP).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Scénario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Kakwani</w:t>
            </w:r>
          </w:p>
        </w:tc>
        <w:tc>
          <w:tcPr/>
          <w:p>
            <w:pPr>
              <w:pStyle w:val="Compact"/>
            </w:pPr>
            <w:r>
              <w:t xml:space="preserve">IC bootstrap 95 %</w:t>
            </w:r>
          </w:p>
        </w:tc>
        <w:tc>
          <w:tcPr/>
          <w:p>
            <w:pPr>
              <w:pStyle w:val="Compact"/>
            </w:pPr>
            <w:r>
              <w:t xml:space="preserve">Lecture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Strict (α = 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−0,006</w:t>
            </w:r>
          </w:p>
        </w:tc>
        <w:tc>
          <w:tcPr/>
          <w:p>
            <w:pPr>
              <w:pStyle w:val="Compact"/>
            </w:pPr>
            <w:r>
              <w:t xml:space="preserve">[−0,009 ; −0,003]</w:t>
            </w:r>
          </w:p>
        </w:tc>
        <w:tc>
          <w:tcPr/>
          <w:p>
            <w:pPr>
              <w:pStyle w:val="Compact"/>
            </w:pPr>
            <w:r>
              <w:t xml:space="preserve">Légèrement régressive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S2 — CEI × milieu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+0,031</w:t>
            </w:r>
          </w:p>
        </w:tc>
        <w:tc>
          <w:tcPr/>
          <w:p>
            <w:pPr>
              <w:pStyle w:val="Compact"/>
            </w:pPr>
            <w:r>
              <w:t xml:space="preserve">[+0,027 ; +0,036]</w:t>
            </w:r>
          </w:p>
        </w:tc>
        <w:tc>
          <w:tcPr/>
          <w:p>
            <w:pPr>
              <w:pStyle w:val="Compact"/>
            </w:pPr>
            <w:r>
              <w:t xml:space="preserve">Progressive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S3 — IEC × décile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+0,064</w:t>
            </w:r>
          </w:p>
        </w:tc>
        <w:tc>
          <w:tcPr/>
          <w:p>
            <w:pPr>
              <w:pStyle w:val="Compact"/>
            </w:pPr>
            <w:r>
              <w:t xml:space="preserve">[+0,060 ; +0,067]</w:t>
            </w:r>
          </w:p>
        </w:tc>
        <w:tc>
          <w:tcPr/>
          <w:p>
            <w:pPr>
              <w:pStyle w:val="Compact"/>
            </w:pPr>
            <w:r>
              <w:t xml:space="preserve">Progressive</w:t>
            </w:r>
          </w:p>
        </w:tc>
      </w:tr>
    </w:tbl>
    <w:p>
      <w:pPr>
        <w:pStyle w:val="BodyText"/>
      </w:pPr>
      <w:r>
        <w:rPr>
          <w:b/>
          <w:bCs/>
        </w:rPr>
        <w:t xml:space="preserve">Le signe de la progressivité de la TVA n’est pas robuste à l’hypothèse</w:t>
      </w:r>
      <w:r>
        <w:rPr>
          <w:b/>
          <w:bCs/>
        </w:rPr>
        <w:t xml:space="preserve"> </w:t>
      </w:r>
      <w:r>
        <w:rPr>
          <w:b/>
          <w:bCs/>
        </w:rPr>
        <w:t xml:space="preserve">d’informalité</w:t>
      </w:r>
      <w:r>
        <w:t xml:space="preserve"> </w:t>
      </w:r>
      <w:r>
        <w:t xml:space="preserve">: les ménages pauvres achetant davantage dans des circuits informels</w:t>
      </w:r>
      <w:r>
        <w:t xml:space="preserve"> </w:t>
      </w:r>
      <w:r>
        <w:t xml:space="preserve">échappent de fait à une partie de la TVA.</w:t>
      </w:r>
    </w:p>
    <w:p>
      <w:pPr>
        <w:pStyle w:val="BodyText"/>
      </w:pPr>
      <w:r>
        <w:rPr>
          <w:b/>
          <w:bCs/>
        </w:rPr>
        <w:t xml:space="preserve">06_02 — Sensibilité aux classements.</w:t>
      </w:r>
      <w:r>
        <w:t xml:space="preserve"> </w:t>
      </w:r>
      <w:r>
        <w:t xml:space="preserve">En classant les ménages par consommation par</w:t>
      </w:r>
      <w:r>
        <w:t xml:space="preserve"> </w:t>
      </w:r>
      <w:r>
        <w:t xml:space="preserve">tête ou par adulte-équivalent (AE1, AE2) plutôt que par consommation totale, la TVA</w:t>
      </w:r>
      <w:r>
        <w:t xml:space="preserve"> </w:t>
      </w:r>
      <w:r>
        <w:t xml:space="preserve">devient progressive même dans le scénario strict (Kakwani = +0,019 à +0,029). Le</w:t>
      </w:r>
      <w:r>
        <w:t xml:space="preserve"> </w:t>
      </w:r>
      <w:r>
        <w:t xml:space="preserve">choix du classement de bien-être importe donc autant que l’hypothèse de taxation.</w:t>
      </w:r>
    </w:p>
    <w:bookmarkEnd w:id="31"/>
    <w:bookmarkStart w:id="32" w:name="étape-0708-tableaux-annexes-et-figures"/>
    <w:p>
      <w:pPr>
        <w:pStyle w:val="Titre2"/>
      </w:pPr>
      <w:r>
        <w:rPr>
          <w:rStyle w:val="SectionNumber"/>
        </w:rPr>
        <w:t xml:space="preserve">5.7</w:t>
      </w:r>
      <w:r>
        <w:tab/>
      </w:r>
      <w:r>
        <w:t xml:space="preserve">Étape 07–08 — Tableaux annexes et figures</w:t>
      </w:r>
    </w:p>
    <w:p>
      <w:pPr>
        <w:pStyle w:val="FirstParagraph"/>
      </w:pPr>
      <w:r>
        <w:t xml:space="preserve">Tables détaillées par décile/quintile/milieu/région et par fonction COICOP ; figures</w:t>
      </w:r>
      <w:r>
        <w:t xml:space="preserve"> </w:t>
      </w:r>
      <w:r>
        <w:t xml:space="preserve">fig1–fig4 (taux effectifs par scénario, courbes de concentration, TVA par COICOP,</w:t>
      </w:r>
      <w:r>
        <w:t xml:space="preserve"> </w:t>
      </w:r>
      <w:r>
        <w:t xml:space="preserve">profils α de l’IEC).</w:t>
      </w:r>
    </w:p>
    <w:bookmarkEnd w:id="32"/>
    <w:bookmarkStart w:id="33" w:name="X0c90203d3c9f1337411600fbebd741addb38783"/>
    <w:p>
      <w:pPr>
        <w:pStyle w:val="Titre2"/>
      </w:pPr>
      <w:r>
        <w:rPr>
          <w:rStyle w:val="SectionNumber"/>
        </w:rPr>
        <w:t xml:space="preserve">5.8</w:t>
      </w:r>
      <w:r>
        <w:tab/>
      </w:r>
      <w:r>
        <w:t xml:space="preserve">Étape 09 — Déterminants de la TVA effective (</w:t>
      </w:r>
      <w:r>
        <w:rPr>
          <w:rStyle w:val="VerbatimChar"/>
        </w:rPr>
        <w:t xml:space="preserve">09_vat_determinants.R</w:t>
      </w:r>
      <w:r>
        <w:t xml:space="preserve">)</w:t>
      </w:r>
    </w:p>
    <w:p>
      <w:pPr>
        <w:pStyle w:val="FirstParagraph"/>
      </w:pPr>
      <w:r>
        <w:t xml:space="preserve">Régressions OLS du taux de TVA effectif, erreurs-types clusterisées par grappe. Dans</w:t>
      </w:r>
      <w:r>
        <w:t xml:space="preserve"> </w:t>
      </w:r>
      <w:r>
        <w:t xml:space="preserve">le scénario strict, le taux effectif décroît avec la consommation (élasticité</w:t>
      </w:r>
      <w:r>
        <w:t xml:space="preserve"> </w:t>
      </w:r>
      <w:r>
        <w:t xml:space="preserve">négative), la taille du ménage et le chef de ménage féminin, et croît en milieu</w:t>
      </w:r>
      <w:r>
        <w:t xml:space="preserve"> </w:t>
      </w:r>
      <w:r>
        <w:t xml:space="preserve">urbain. Dans S3 (informalité par décile), le gradient de consommation s’inverse</w:t>
      </w:r>
      <w:r>
        <w:t xml:space="preserve"> </w:t>
      </w:r>
      <w:r>
        <w:t xml:space="preserve">(+0,008, significatif) : la TVA effective devient croissante avec le niveau de vie.</w:t>
      </w:r>
    </w:p>
    <w:bookmarkEnd w:id="33"/>
    <w:bookmarkStart w:id="34" w:name="étape-1011-réforme-des-intrants-avicoles"/>
    <w:p>
      <w:pPr>
        <w:pStyle w:val="Titre2"/>
      </w:pPr>
      <w:r>
        <w:rPr>
          <w:rStyle w:val="SectionNumber"/>
        </w:rPr>
        <w:t xml:space="preserve">5.9</w:t>
      </w:r>
      <w:r>
        <w:tab/>
      </w:r>
      <w:r>
        <w:t xml:space="preserve">Étape 10–11 — Réforme des intrants avicoles</w:t>
      </w:r>
    </w:p>
    <w:p>
      <w:pPr>
        <w:pStyle w:val="FirstParagraph"/>
      </w:pPr>
      <w:r>
        <w:t xml:space="preserve">Simulation de la suppression de l’exonération de TVA sur les intrants avicoles</w:t>
      </w:r>
      <w:r>
        <w:t xml:space="preserve"> </w:t>
      </w:r>
      <w:r>
        <w:t xml:space="preserve">(provende, poussins…), avec transmission partielle aux prix du poulet (paramètres</w:t>
      </w:r>
      <w:r>
        <w:t xml:space="preserve"> </w:t>
      </w:r>
      <w:r>
        <w:t xml:space="preserve">α × s). La part budgétaire du poulet croît avec le niveau de vie (0,06 % de la</w:t>
      </w:r>
      <w:r>
        <w:t xml:space="preserve"> </w:t>
      </w:r>
      <w:r>
        <w:t xml:space="preserve">consommation en D1, 0,93 % en D10) : la mesure est</w:t>
      </w:r>
      <w:r>
        <w:t xml:space="preserve"> </w:t>
      </w:r>
      <w:r>
        <w:rPr>
          <w:b/>
          <w:bCs/>
        </w:rPr>
        <w:t xml:space="preserve">progressive</w:t>
      </w:r>
      <w:r>
        <w:t xml:space="preserve"> </w:t>
      </w:r>
      <w:r>
        <w:t xml:space="preserve">(Kakwani = +0,24) et son impact pauvreté est négligeable (+0,01 point de P0,</w:t>
      </w:r>
      <w:r>
        <w:t xml:space="preserve"> </w:t>
      </w:r>
      <w:r>
        <w:t xml:space="preserve">≈ 280–480 nouveaux pauvres selon le scénario). Le décile 10 supporterait 45 % de la</w:t>
      </w:r>
      <w:r>
        <w:t xml:space="preserve"> </w:t>
      </w:r>
      <w:r>
        <w:t xml:space="preserve">charge additionnelle.</w:t>
      </w:r>
    </w:p>
    <w:bookmarkEnd w:id="34"/>
    <w:bookmarkStart w:id="35" w:name="X52849f50645929dfdf18270d02b2002d710e48f"/>
    <w:p>
      <w:pPr>
        <w:pStyle w:val="Titre2"/>
      </w:pPr>
      <w:r>
        <w:rPr>
          <w:rStyle w:val="SectionNumber"/>
        </w:rPr>
        <w:t xml:space="preserve">5.10</w:t>
      </w:r>
      <w:r>
        <w:tab/>
      </w:r>
      <w:r>
        <w:t xml:space="preserve">Étape 12 — Incidence de la TVA sur la pauvreté (</w:t>
      </w:r>
      <w:r>
        <w:rPr>
          <w:rStyle w:val="VerbatimChar"/>
        </w:rPr>
        <w:t xml:space="preserve">12_poverty_incidence.R</w:t>
      </w:r>
      <w:r>
        <w:t xml:space="preserve">)</w:t>
      </w:r>
    </w:p>
    <w:p>
      <w:pPr>
        <w:pStyle w:val="FirstParagraph"/>
      </w:pPr>
      <w:r>
        <w:t xml:space="preserve">Indices FGT (P0, P1, P2) calculés sur</w:t>
      </w:r>
      <w:r>
        <w:t xml:space="preserve"> </w:t>
      </w:r>
      <w:r>
        <w:rPr>
          <w:rStyle w:val="VerbatimChar"/>
        </w:rPr>
        <w:t xml:space="preserve">pcexp_après = pcexp − vat/hhsize</w:t>
      </w:r>
      <w:r>
        <w:t xml:space="preserve">, seuil</w:t>
      </w:r>
      <w:r>
        <w:t xml:space="preserve"> </w:t>
      </w:r>
      <w:r>
        <w:t xml:space="preserve">ménage-spécifique</w:t>
      </w:r>
      <w:r>
        <w:t xml:space="preserve"> </w:t>
      </w:r>
      <w:r>
        <w:rPr>
          <w:rStyle w:val="VerbatimChar"/>
        </w:rPr>
        <w:t xml:space="preserve">zref</w:t>
      </w:r>
      <w:r>
        <w:t xml:space="preserve">, poids population</w:t>
      </w:r>
      <w:r>
        <w:t xml:space="preserve"> </w:t>
      </w:r>
      <w:r>
        <w:rPr>
          <w:rStyle w:val="VerbatimChar"/>
        </w:rPr>
        <w:t xml:space="preserve">hhweight × hhsize</w:t>
      </w:r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Concept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P2</w:t>
            </w:r>
          </w:p>
        </w:tc>
      </w:tr>
      <w:tr>
        <w:tc>
          <w:tcPr/>
          <w:p>
            <w:pPr>
              <w:pStyle w:val="Compact"/>
            </w:pPr>
            <w:r>
              <w:t xml:space="preserve">Avant TVA (pcexp officiel)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37,5 %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10,4 %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4,1 %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Après TVA — Strict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44,5 %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13,0 %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5,3 %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Après TVA — S2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40,8 %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11,5 %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4,5 %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Après TVA — S3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40,5 %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11,4 %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4,5 %</w:t>
            </w:r>
          </w:p>
        </w:tc>
      </w:tr>
    </w:tbl>
    <w:p>
      <w:pPr>
        <w:pStyle w:val="BodyText"/>
      </w:pPr>
      <w:r>
        <w:t xml:space="preserve">La TVA directe ajoute donc</w:t>
      </w:r>
      <w:r>
        <w:t xml:space="preserve"> </w:t>
      </w:r>
      <w:r>
        <w:rPr>
          <w:b/>
          <w:bCs/>
        </w:rPr>
        <w:t xml:space="preserve">+3,0 à +7,1 points de pauvreté</w:t>
      </w:r>
      <w:r>
        <w:t xml:space="preserve"> </w:t>
      </w:r>
      <w:r>
        <w:t xml:space="preserve">selon l’hypothèse</w:t>
      </w:r>
      <w:r>
        <w:t xml:space="preserve"> </w:t>
      </w:r>
      <w:r>
        <w:t xml:space="preserve">d’informalité. L’effet est plus marqué en milieu rural (P0 : 54,5 % → 61,8 % en</w:t>
      </w:r>
      <w:r>
        <w:t xml:space="preserve"> </w:t>
      </w:r>
      <w:r>
        <w:t xml:space="preserve">strict) qu’urbain (22,2 % → 29,0 %). Les basculements sous le seuil se concentrent</w:t>
      </w:r>
      <w:r>
        <w:t xml:space="preserve"> </w:t>
      </w:r>
      <w:r>
        <w:t xml:space="preserve">dans les déciles 4 à 8 (jusqu’à 58 000 ménages pondérés par décile).</w:t>
      </w:r>
    </w:p>
    <w:bookmarkEnd w:id="35"/>
    <w:bookmarkStart w:id="36" w:name="Xd16c6e48e250841fb6102744718b20ba8cd957a"/>
    <w:p>
      <w:pPr>
        <w:pStyle w:val="Titre2"/>
      </w:pPr>
      <w:r>
        <w:rPr>
          <w:rStyle w:val="SectionNumber"/>
        </w:rPr>
        <w:t xml:space="preserve">5.11</w:t>
      </w:r>
      <w:r>
        <w:tab/>
      </w:r>
      <w:r>
        <w:t xml:space="preserve">Étape 13 — TVA enchâssée : modèle de prix de Leontief (</w:t>
      </w:r>
      <w:r>
        <w:rPr>
          <w:rStyle w:val="VerbatimChar"/>
        </w:rPr>
        <w:t xml:space="preserve">13_leontief_io.R</w:t>
      </w:r>
      <w:r>
        <w:t xml:space="preserve">)</w:t>
      </w:r>
    </w:p>
    <w:p>
      <w:pPr>
        <w:pStyle w:val="FirstParagraph"/>
      </w:pPr>
      <w:r>
        <w:t xml:space="preserve">Les exonérations de TVA ne suppriment pas la TVA payée sur les intrants : celle-ci</w:t>
      </w:r>
      <w:r>
        <w:t xml:space="preserve"> </w:t>
      </w:r>
      <w:r>
        <w:t xml:space="preserve">reste « enchâssée » dans les prix. Le modèle de prix de Leontief la mesure :</w:t>
      </w:r>
      <w:r>
        <w:t xml:space="preserve"> </w:t>
      </w:r>
      <w:r>
        <w:rPr>
          <w:rStyle w:val="VerbatimChar"/>
        </w:rPr>
        <w:t xml:space="preserve">Δp = (I − A')⁻¹ · t</w:t>
      </w:r>
      <w:r>
        <w:t xml:space="preserve">, où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est la matrice des coefficients techniques (OCDE ICIO</w:t>
      </w:r>
      <w:r>
        <w:t xml:space="preserve"> </w:t>
      </w:r>
      <w:r>
        <w:t xml:space="preserve">2023, 45 secteurs, condition de Hawkins-Simon vérifiée) et</w:t>
      </w:r>
      <w:r>
        <w:t xml:space="preserve"> </w:t>
      </w:r>
      <w:r>
        <w:rPr>
          <w:rStyle w:val="VerbatimChar"/>
        </w:rPr>
        <w:t xml:space="preserve">t</w:t>
      </w:r>
      <w:r>
        <w:t xml:space="preserve"> </w:t>
      </w:r>
      <w:r>
        <w:t xml:space="preserve">le vecteur de taux de</w:t>
      </w:r>
      <w:r>
        <w:t xml:space="preserve"> </w:t>
      </w:r>
      <w:r>
        <w:t xml:space="preserve">TVA effectifs par secteur (agrégés depuis le mapping</w:t>
      </w:r>
      <w:r>
        <w:t xml:space="preserve"> </w:t>
      </w:r>
      <w:r>
        <w:rPr>
          <w:rStyle w:val="VerbatimChar"/>
        </w:rPr>
        <w:t xml:space="preserve">codpr</w:t>
      </w:r>
      <w:r>
        <w:t xml:space="preserve"> </w:t>
      </w:r>
      <w:r>
        <w:t xml:space="preserve">via une concordance</w:t>
      </w:r>
      <w:r>
        <w:t xml:space="preserve"> </w:t>
      </w:r>
      <w:r>
        <w:t xml:space="preserve">codpr → ICIO). La TVA enchâssée par ménage vaut la hausse de prix appliquée à son</w:t>
      </w:r>
      <w:r>
        <w:t xml:space="preserve"> </w:t>
      </w:r>
      <w:r>
        <w:t xml:space="preserve">panier hors TVA directe.</w:t>
      </w:r>
    </w:p>
    <w:bookmarkEnd w:id="36"/>
    <w:bookmarkStart w:id="37" w:name="X97829133660d446a9fdd18a745ed101cf6f4c0a"/>
    <w:p>
      <w:pPr>
        <w:pStyle w:val="Titre2"/>
      </w:pPr>
      <w:r>
        <w:rPr>
          <w:rStyle w:val="SectionNumber"/>
        </w:rPr>
        <w:t xml:space="preserve">5.12</w:t>
      </w:r>
      <w:r>
        <w:tab/>
      </w:r>
      <w:r>
        <w:t xml:space="preserve">Étape 14 — Pauvreté avec TVA enchâssée (</w:t>
      </w:r>
      <w:r>
        <w:rPr>
          <w:rStyle w:val="VerbatimChar"/>
        </w:rPr>
        <w:t xml:space="preserve">14_leontief_poverty.R</w:t>
      </w:r>
      <w: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Concept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Δ 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Avant TVA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37,5 %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TVA directe (strict)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44,5 %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+7,1 pts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TVA directe + enchâssée I/O (strict)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48,8 %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+11,3 pts</w:t>
            </w:r>
          </w:p>
        </w:tc>
      </w:tr>
    </w:tbl>
    <w:p>
      <w:pPr>
        <w:pStyle w:val="BodyText"/>
      </w:pPr>
      <w:r>
        <w:t xml:space="preserve">Avec la matrice OCDE, la TVA enchâssée ajoute environ 4 points de pauvreté</w:t>
      </w:r>
      <w:r>
        <w:t xml:space="preserve"> </w:t>
      </w:r>
      <w:r>
        <w:t xml:space="preserve">supplémentaires :</w:t>
      </w:r>
      <w:r>
        <w:t xml:space="preserve"> </w:t>
      </w:r>
      <w:r>
        <w:rPr>
          <w:b/>
          <w:bCs/>
        </w:rPr>
        <w:t xml:space="preserve">l’exonération ne protège que partiellement les ménages pauvres.</w:t>
      </w:r>
    </w:p>
    <w:bookmarkEnd w:id="37"/>
    <w:bookmarkStart w:id="38" w:name="étape-13b14b-matrice-io-locale-tre-2023"/>
    <w:p>
      <w:pPr>
        <w:pStyle w:val="Titre2"/>
      </w:pPr>
      <w:r>
        <w:rPr>
          <w:rStyle w:val="SectionNumber"/>
        </w:rPr>
        <w:t xml:space="preserve">5.13</w:t>
      </w:r>
      <w:r>
        <w:tab/>
      </w:r>
      <w:r>
        <w:t xml:space="preserve">Étape 13b/14b — Matrice I/O locale (TRE 2023)</w:t>
      </w:r>
    </w:p>
    <w:p>
      <w:pPr>
        <w:pStyle w:val="FirstParagraph"/>
      </w:pPr>
      <w:r>
        <w:t xml:space="preserve">L’utilisation des Tableaux des Ressources et des Emplois ivoiriens de 2023 en</w:t>
      </w:r>
      <w:r>
        <w:t xml:space="preserve"> </w:t>
      </w:r>
      <w:r>
        <w:t xml:space="preserve">remplacement de la matrice OCDE change substantiellement le diagnostic 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Indicateur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OCDE ICIO (13/14)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TRE local 2023 (13b/14b)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TVA enchâssée moyenne (FCFA/ménage/an)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128 997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255 956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Masse TVA enchâssée (FCFA/an)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831 mds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1 650 mds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P0 total (directe + enchâssée)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48,8 %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53,7 %</w:t>
            </w:r>
          </w:p>
        </w:tc>
      </w:tr>
    </w:tbl>
    <w:p>
      <w:pPr>
        <w:pStyle w:val="BodyText"/>
      </w:pPr>
      <w:r>
        <w:t xml:space="preserve">La structure productive locale incorpore bien plus de taxes indirectes dans les prix</w:t>
      </w:r>
      <w:r>
        <w:t xml:space="preserve"> </w:t>
      </w:r>
      <w:r>
        <w:t xml:space="preserve">finaux que ne le suggère la matrice internationale. La charge totale (directe +</w:t>
      </w:r>
      <w:r>
        <w:t xml:space="preserve"> </w:t>
      </w:r>
      <w:r>
        <w:t xml:space="preserve">enchâssée) est quasi proportionnelle : 17,3 % du revenu en Q1 contre 20,2 % en Q5,</w:t>
      </w:r>
      <w:r>
        <w:t xml:space="preserve"> </w:t>
      </w:r>
      <w:r>
        <w:t xml:space="preserve">la composante enchâssée pesant même légèrement plus lourd, en proportion, vers le</w:t>
      </w:r>
      <w:r>
        <w:t xml:space="preserve"> </w:t>
      </w:r>
      <w:r>
        <w:t xml:space="preserve">milieu de la distribution. Le TRE constant 2023 (scénario de robustesse) donne des</w:t>
      </w:r>
      <w:r>
        <w:t xml:space="preserve"> </w:t>
      </w:r>
      <w:r>
        <w:t xml:space="preserve">résultats très proches (P0 total 54,2 %).</w:t>
      </w:r>
    </w:p>
    <w:bookmarkEnd w:id="38"/>
    <w:bookmarkStart w:id="39" w:name="X371a1ad46be664e75938cc68faadc57ac94792f"/>
    <w:p>
      <w:pPr>
        <w:pStyle w:val="Titre2"/>
      </w:pPr>
      <w:r>
        <w:rPr>
          <w:rStyle w:val="SectionNumber"/>
        </w:rPr>
        <w:t xml:space="preserve">5.14</w:t>
      </w:r>
      <w:r>
        <w:tab/>
      </w:r>
      <w:r>
        <w:t xml:space="preserve">Étape 15 — Réforme TVA : passage des produits exonérés à 9 % (</w:t>
      </w:r>
      <w:r>
        <w:rPr>
          <w:rStyle w:val="VerbatimChar"/>
        </w:rPr>
        <w:t xml:space="preserve">15_reform_vat_simulation.R</w:t>
      </w:r>
      <w:r>
        <w:t xml:space="preserve">)</w:t>
      </w:r>
    </w:p>
    <w:p>
      <w:pPr>
        <w:pStyle w:val="FirstParagraph"/>
      </w:pPr>
      <w:r>
        <w:t xml:space="preserve">Simulation d’un taux de 9 % appliqué aux produits actuellement à 0 % :</w:t>
      </w:r>
      <w:r>
        <w:t xml:space="preserve"> </w:t>
      </w:r>
      <w:r>
        <w:t xml:space="preserve">S_agri (produits agricoles bruts, 60 produits), S_all (tous les exonérés hors</w:t>
      </w:r>
      <w:r>
        <w:t xml:space="preserve"> </w:t>
      </w:r>
      <w:r>
        <w:t xml:space="preserve">services publics, 91 produits).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Scénario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Δ P0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Nouveaux pauvres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dont Q1+Q2</w:t>
            </w:r>
          </w:p>
        </w:tc>
      </w:tr>
      <w:tr>
        <w:tc>
          <w:tcPr/>
          <w:p>
            <w:pPr>
              <w:pStyle w:val="Compact"/>
            </w:pPr>
            <w:r>
              <w:t xml:space="preserve">S_agri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+0,84 pt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46 107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33,5 %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S_all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+1,45 pt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80 211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33,1 %</w:t>
            </w:r>
          </w:p>
        </w:tc>
      </w:tr>
    </w:tbl>
    <w:p>
      <w:pPr>
        <w:pStyle w:val="BodyText"/>
      </w:pPr>
      <w:r>
        <w:t xml:space="preserve">La charge relative maximale porte sur le 4e quintile (1,94 % du revenu en S_all) :</w:t>
      </w:r>
      <w:r>
        <w:t xml:space="preserve"> </w:t>
      </w:r>
      <w:r>
        <w:t xml:space="preserve">la mesure serait quasi proportionnelle sur le haut de la distribution mais ferait</w:t>
      </w:r>
      <w:r>
        <w:t xml:space="preserve"> </w:t>
      </w:r>
      <w:r>
        <w:t xml:space="preserve">basculer un nombre substantiel de ménages modestes sous le seuil de pauvreté.</w:t>
      </w:r>
    </w:p>
    <w:bookmarkEnd w:id="39"/>
    <w:bookmarkStart w:id="42" w:name="X862c71180b8173159f07c2a3252f0afb67e97ba"/>
    <w:p>
      <w:pPr>
        <w:pStyle w:val="Titre2"/>
      </w:pPr>
      <w:r>
        <w:rPr>
          <w:rStyle w:val="SectionNumber"/>
        </w:rPr>
        <w:t xml:space="preserve">5.15</w:t>
      </w:r>
      <w:r>
        <w:tab/>
      </w:r>
      <w:r>
        <w:t xml:space="preserve">Étape 16 — Impôts directs et cotisations sociales (</w:t>
      </w:r>
      <w:r>
        <w:rPr>
          <w:rStyle w:val="VerbatimChar"/>
        </w:rPr>
        <w:t xml:space="preserve">16_direct_taxes.R</w:t>
      </w:r>
      <w:r>
        <w:t xml:space="preserve">) —</w:t>
      </w:r>
      <w:r>
        <w:t xml:space="preserve"> </w:t>
      </w:r>
      <w:r>
        <w:rPr>
          <w:b/>
          <w:bCs/>
        </w:rPr>
        <w:t xml:space="preserve">nouveau</w:t>
      </w:r>
    </w:p>
    <w:bookmarkStart w:id="40" w:name="méthode"/>
    <w:p>
      <w:pPr>
        <w:pStyle w:val="Titre3"/>
      </w:pPr>
      <w:r>
        <w:rPr>
          <w:rStyle w:val="SectionNumber"/>
        </w:rPr>
        <w:t xml:space="preserve">5.15.1</w:t>
      </w:r>
      <w:r>
        <w:tab/>
      </w:r>
      <w:r>
        <w:t xml:space="preserve">Méthode</w:t>
      </w:r>
    </w:p>
    <w:p>
      <w:pPr>
        <w:pStyle w:val="FirstParagraph"/>
      </w:pPr>
      <w:r>
        <w:t xml:space="preserve">Construction du</w:t>
      </w:r>
      <w:r>
        <w:t xml:space="preserve"> </w:t>
      </w:r>
      <w:r>
        <w:rPr>
          <w:b/>
          <w:bCs/>
        </w:rPr>
        <w:t xml:space="preserve">Net Market Income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market_income − irpp − cotisations</w:t>
      </w:r>
      <w:r>
        <w:t xml:space="preserve">.</w:t>
      </w:r>
      <w:r>
        <w:t xml:space="preserve"> </w:t>
      </w:r>
      <w:r>
        <w:t xml:space="preserve">Barèmes CGI 2021 (documentés dans</w:t>
      </w:r>
      <w:r>
        <w:t xml:space="preserve"> </w:t>
      </w:r>
      <w:r>
        <w:rPr>
          <w:rStyle w:val="VerbatimChar"/>
        </w:rPr>
        <w:t xml:space="preserve">00_documentation/methodologie/MEMOIRE_FISCAL_CIV2021.md</w:t>
      </w:r>
      <w:r>
        <w:t xml:space="preserve">),</w:t>
      </w:r>
      <w:r>
        <w:t xml:space="preserve"> </w:t>
      </w:r>
      <w:r>
        <w:t xml:space="preserve">appliqués mensuellement puis annualisés 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Impôt sur les Salaires (IS)</w:t>
      </w:r>
      <w:r>
        <w:t xml:space="preserve"> </w:t>
      </w:r>
      <w:r>
        <w:t xml:space="preserve">: 1,5 % de la base imposable BI = 0,8 × SBI,</w:t>
      </w:r>
      <w:r>
        <w:t xml:space="preserve"> </w:t>
      </w:r>
      <w:r>
        <w:t xml:space="preserve">soit 1,2 % du salaire brut imposable.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Contribution Nationale (CN)</w:t>
      </w:r>
      <w:r>
        <w:t xml:space="preserve"> </w:t>
      </w:r>
      <w:r>
        <w:t xml:space="preserve">: barème par tranches mensuelles sur BI —</w:t>
      </w:r>
      <w:r>
        <w:t xml:space="preserve"> </w:t>
      </w:r>
      <w:r>
        <w:t xml:space="preserve">0 % jusqu’à 50 000 FCFA ; 1,5 % de 50 à 130 000 ; 5 % de 130 à 200 000 ;</w:t>
      </w:r>
      <w:r>
        <w:t xml:space="preserve"> </w:t>
      </w:r>
      <w:r>
        <w:t xml:space="preserve">10 % au-delà.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Impôt Général sur le Revenu (IGR)</w:t>
      </w:r>
      <w:r>
        <w:t xml:space="preserve"> </w:t>
      </w:r>
      <w:r>
        <w:t xml:space="preserve">: base R = 0,8 × (SBI − IS − CN) ;</w:t>
      </w:r>
      <w:r>
        <w:t xml:space="preserve"> </w:t>
      </w:r>
      <w:r>
        <w:t xml:space="preserve">quotient familial N (célibataire 1 part, marié 2, veuf 1,5, +0,5 par enfant de</w:t>
      </w:r>
      <w:r>
        <w:t xml:space="preserve"> </w:t>
      </w:r>
      <w:r>
        <w:t xml:space="preserve">moins de 18 ans, plafond 5 parts) ; barème mensuel en 10 tranches sur Q = R/N ;</w:t>
      </w:r>
      <w:r>
        <w:t xml:space="preserve"> </w:t>
      </w:r>
      <w:r>
        <w:t xml:space="preserve">réduction finale de 15 %.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CNPS (part salariée)</w:t>
      </w:r>
      <w:r>
        <w:t xml:space="preserve"> </w:t>
      </w:r>
      <w:r>
        <w:t xml:space="preserve">: retraite 6,3 % du SBI plafonné à 1 647 315 FCFA/mois.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CMU</w:t>
      </w:r>
      <w:r>
        <w:t xml:space="preserve"> </w:t>
      </w:r>
      <w:r>
        <w:t xml:space="preserve">: retenue salariale simulée de 500 FCFA/mois.</w:t>
      </w:r>
    </w:p>
    <w:p>
      <w:pPr>
        <w:pStyle w:val="FirstParagraph"/>
      </w:pPr>
      <w:r>
        <w:rPr>
          <w:b/>
          <w:bCs/>
        </w:rPr>
        <w:t xml:space="preserve">Assiette et assujettissement.</w:t>
      </w:r>
      <w:r>
        <w:t xml:space="preserve"> </w:t>
      </w:r>
      <w:r>
        <w:t xml:space="preserve">Le salaire annuel harmonisé de l’emploi principal</w:t>
      </w:r>
      <w:r>
        <w:t xml:space="preserve"> </w:t>
      </w:r>
      <w:r>
        <w:t xml:space="preserve">(</w:t>
      </w:r>
      <w:r>
        <w:rPr>
          <w:rStyle w:val="VerbatimChar"/>
        </w:rPr>
        <w:t xml:space="preserve">salaire</w:t>
      </w:r>
      <w:r>
        <w:t xml:space="preserve">, fichier individus) sert d’assiette ; seuls les salariés</w:t>
      </w:r>
      <w:r>
        <w:t xml:space="preserve"> </w:t>
      </w:r>
      <w:r>
        <w:rPr>
          <w:b/>
          <w:bCs/>
        </w:rPr>
        <w:t xml:space="preserve">formels</w:t>
      </w:r>
      <w:r>
        <w:rPr>
          <w:b/>
          <w:bCs/>
        </w:rPr>
        <w:t xml:space="preserve"> </w:t>
      </w:r>
      <w:r>
        <w:rPr>
          <w:b/>
          <w:bCs/>
        </w:rPr>
        <w:t xml:space="preserve">stricts</w:t>
      </w:r>
      <w:r>
        <w:t xml:space="preserve"> </w:t>
      </w:r>
      <w:r>
        <w:t xml:space="preserve">— bulletin de paie (s04q42 = 1)</w:t>
      </w:r>
      <w:r>
        <w:t xml:space="preserve"> </w:t>
      </w:r>
      <w:r>
        <w:rPr>
          <w:b/>
          <w:bCs/>
        </w:rPr>
        <w:t xml:space="preserve">et</w:t>
      </w:r>
      <w:r>
        <w:t xml:space="preserve"> </w:t>
      </w:r>
      <w:r>
        <w:t xml:space="preserve">cotisation CGRAE/CNPS (s04q38 = 1)</w:t>
      </w:r>
      <w:r>
        <w:t xml:space="preserve"> </w:t>
      </w:r>
      <w:r>
        <w:t xml:space="preserve">— sont assujettis (scénario central). Un scénario « élargi » (bulletin</w:t>
      </w:r>
      <w:r>
        <w:t xml:space="preserve"> </w:t>
      </w:r>
      <w:r>
        <w:rPr>
          <w:b/>
          <w:bCs/>
        </w:rPr>
        <w:t xml:space="preserve">ou</w:t>
      </w:r>
      <w:r>
        <w:t xml:space="preserve"> </w:t>
      </w:r>
      <w:r>
        <w:t xml:space="preserve">cotisation) borne la simulation par le haut. L’emploi secondaire est exclu</w:t>
      </w:r>
      <w:r>
        <w:t xml:space="preserve"> </w:t>
      </w:r>
      <w:r>
        <w:t xml:space="preserve">(formalité inobservée) : l’estimation est une borne basse. Les enfants à charge sont</w:t>
      </w:r>
      <w:r>
        <w:t xml:space="preserve"> </w:t>
      </w:r>
      <w:r>
        <w:t xml:space="preserve">attribués au salarié formel le mieux rémunéré du ménage.</w:t>
      </w:r>
    </w:p>
    <w:p>
      <w:pPr>
        <w:pStyle w:val="BodyText"/>
      </w:pPr>
      <w:r>
        <w:t xml:space="preserve">Le script Stata de référence de la Banque mondiale (</w:t>
      </w:r>
      <w:r>
        <w:rPr>
          <w:rStyle w:val="VerbatimChar"/>
        </w:rPr>
        <w:t xml:space="preserve">ressources_CEQ/02. CIV21WBN_dtx.do</w:t>
      </w:r>
      <w:r>
        <w:t xml:space="preserve">)</w:t>
      </w:r>
      <w:r>
        <w:t xml:space="preserve"> </w:t>
      </w:r>
      <w:r>
        <w:t xml:space="preserve">encode un barème IGR de</w:t>
      </w:r>
      <w:r>
        <w:t xml:space="preserve"> </w:t>
      </w:r>
      <w:r>
        <w:rPr>
          <w:i/>
          <w:iCs/>
        </w:rPr>
        <w:t xml:space="preserve">proposition de réforme</w:t>
      </w:r>
      <w:r>
        <w:t xml:space="preserve"> </w:t>
      </w:r>
      <w:r>
        <w:t xml:space="preserve">(0/16/21/24/28/32 %) et non le</w:t>
      </w:r>
      <w:r>
        <w:t xml:space="preserve"> </w:t>
      </w:r>
      <w:r>
        <w:t xml:space="preserve">barème CGI en vigueur en 2021 ; c’est pourquoi le barème par quotient de la mémoire</w:t>
      </w:r>
      <w:r>
        <w:t xml:space="preserve"> </w:t>
      </w:r>
      <w:r>
        <w:t xml:space="preserve">fiscale du projet a été retenu.</w:t>
      </w:r>
    </w:p>
    <w:bookmarkEnd w:id="40"/>
    <w:bookmarkStart w:id="41" w:name="résultats"/>
    <w:p>
      <w:pPr>
        <w:pStyle w:val="Titre3"/>
      </w:pPr>
      <w:r>
        <w:rPr>
          <w:rStyle w:val="SectionNumber"/>
        </w:rPr>
        <w:t xml:space="preserve">5.15.2</w:t>
      </w:r>
      <w:r>
        <w:tab/>
      </w:r>
      <w:r>
        <w:t xml:space="preserve">Résultats</w:t>
      </w:r>
    </w:p>
    <w:p>
      <w:pPr>
        <w:pStyle w:val="FirstParagraph"/>
      </w:pPr>
      <w:r>
        <w:rPr>
          <w:b/>
          <w:bCs/>
        </w:rPr>
        <w:t xml:space="preserve">Couverture.</w:t>
      </w:r>
      <w:r>
        <w:t xml:space="preserve"> </w:t>
      </w:r>
      <w:r>
        <w:t xml:space="preserve">4 564 salariés déclarent un salaire positif dans l’EHCVM ; 966</w:t>
      </w:r>
      <w:r>
        <w:t xml:space="preserve"> </w:t>
      </w:r>
      <w:r>
        <w:t xml:space="preserve">(21,2 % ; 25,0 % en pondéré) sont formels stricts. Seuls</w:t>
      </w:r>
      <w:r>
        <w:t xml:space="preserve"> </w:t>
      </w:r>
      <w:r>
        <w:rPr>
          <w:b/>
          <w:bCs/>
        </w:rPr>
        <w:t xml:space="preserve">9,8 % des ménages</w:t>
      </w:r>
      <w:r>
        <w:t xml:space="preserve"> </w:t>
      </w:r>
      <w:r>
        <w:t xml:space="preserve">comptent au moins un salarié formel — c’est la limite structurelle de l’impôt direct</w:t>
      </w:r>
      <w:r>
        <w:t xml:space="preserve"> </w:t>
      </w:r>
      <w:r>
        <w:t xml:space="preserve">en contexte de forte informalité (cf. Lustig 2017 ; SOUTHMOD 2021).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Indicateur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Valeur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Masse IRPP simulée (IS + CN + IGR)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290,3 mds FCFA/an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Masse cotisations simulées (CNPS + CMU)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162,7 mds FCFA/an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Masse IRPP — scénario élargi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326,7 mds FCFA/an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Kakwani IRPP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+0,373</w:t>
            </w:r>
          </w:p>
        </w:tc>
      </w:tr>
      <w:tr>
        <w:tc>
          <w:tcPr/>
          <w:p>
            <w:pPr>
              <w:pStyle w:val="Compact"/>
            </w:pPr>
            <w:r>
              <w:t xml:space="preserve">Kakwani cotisations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+0,329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Gini market income → net market income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0,356 → 0,349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Reynolds-Smolensky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−0,007</w:t>
            </w:r>
          </w:p>
        </w:tc>
      </w:tr>
    </w:tbl>
    <w:p>
      <w:pPr>
        <w:pStyle w:val="BodyText"/>
      </w:pPr>
      <w:r>
        <w:rPr>
          <w:b/>
          <w:bCs/>
        </w:rPr>
        <w:t xml:space="preserve">Incidence par décile.</w:t>
      </w:r>
      <w:r>
        <w:t xml:space="preserve"> </w:t>
      </w:r>
      <w:r>
        <w:t xml:space="preserve">Le profil est fortement progressif : le taux effectif</w:t>
      </w:r>
      <w:r>
        <w:t xml:space="preserve"> </w:t>
      </w:r>
      <w:r>
        <w:t xml:space="preserve">IRPP passe de 0,15 % de la consommation en D1 à 5,05 % en D10, et le décile</w:t>
      </w:r>
      <w:r>
        <w:t xml:space="preserve"> </w:t>
      </w:r>
      <w:r>
        <w:t xml:space="preserve">supérieur — où 39,2 % des ménages ont un salarié formel, contre 0,7 % en D1 —</w:t>
      </w:r>
      <w:r>
        <w:t xml:space="preserve"> </w:t>
      </w:r>
      <w:r>
        <w:t xml:space="preserve">acquitte</w:t>
      </w:r>
      <w:r>
        <w:t xml:space="preserve"> </w:t>
      </w:r>
      <w:r>
        <w:rPr>
          <w:b/>
          <w:bCs/>
        </w:rPr>
        <w:t xml:space="preserve">61,6 % de la masse IRPP</w:t>
      </w:r>
      <w:r>
        <w:t xml:space="preserve"> </w:t>
      </w:r>
      <w:r>
        <w:t xml:space="preserve">et 54,4 % des cotisations.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2112"/>
        <w:gridCol w:w="2112"/>
        <w:gridCol w:w="211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Décile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% ménages avec salarié formel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Taux effectif IRPP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Part masse IRPP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0,7 %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0,15 %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0,2 %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4,2 %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0,47 %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1,5 %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14,7 %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1,55 %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8,9 %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39,2 %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5,05 %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61,6 %</w:t>
            </w:r>
          </w:p>
        </w:tc>
      </w:tr>
    </w:tbl>
    <w:p>
      <w:pPr>
        <w:pStyle w:val="BodyText"/>
      </w:pPr>
      <w:r>
        <w:rPr>
          <w:b/>
          <w:bCs/>
        </w:rPr>
        <w:t xml:space="preserve">Lecture CEQ.</w:t>
      </w:r>
      <w:r>
        <w:t xml:space="preserve"> </w:t>
      </w:r>
      <w:r>
        <w:t xml:space="preserve">Les impôts directs ivoiriens sont très progressifs mais leur</w:t>
      </w:r>
      <w:r>
        <w:t xml:space="preserve"> </w:t>
      </w:r>
      <w:r>
        <w:t xml:space="preserve">capacité redistributive globale est bridée par leur assiette étroite : la baisse du</w:t>
      </w:r>
      <w:r>
        <w:t xml:space="preserve"> </w:t>
      </w:r>
      <w:r>
        <w:t xml:space="preserve">Gini n’est que de 0,7 point (RS = −0,007), conforme au constat de Lustig (2017)</w:t>
      </w:r>
      <w:r>
        <w:t xml:space="preserve"> </w:t>
      </w:r>
      <w:r>
        <w:t xml:space="preserve">selon lequel les impôts directs jouent un rôle redistributif marginal en Afrique</w:t>
      </w:r>
      <w:r>
        <w:t xml:space="preserve"> </w:t>
      </w:r>
      <w:r>
        <w:t xml:space="preserve">subsaharienne. Ordre de grandeur : la masse simulée (290 mds) est cohérente avec</w:t>
      </w:r>
      <w:r>
        <w:t xml:space="preserve"> </w:t>
      </w:r>
      <w:r>
        <w:t xml:space="preserve">les recettes d’impôts sur salaires de la DGI (≈ 300–350 mds FCFA en 2021), ce qui</w:t>
      </w:r>
      <w:r>
        <w:t xml:space="preserve"> </w:t>
      </w:r>
      <w:r>
        <w:t xml:space="preserve">valide l’hypothèse de couverture retenue.</w:t>
      </w:r>
    </w:p>
    <w:p>
      <w:pPr>
        <w:pStyle w:val="BodyText"/>
      </w:pPr>
      <w:r>
        <w:rPr>
          <w:i/>
          <w:iCs/>
        </w:rPr>
        <w:t xml:space="preserve">(Note technique : pour 19 ménages, salaire déclaré élevé et consommation modeste</w:t>
      </w:r>
      <w:r>
        <w:rPr>
          <w:i/>
          <w:iCs/>
        </w:rPr>
        <w:t xml:space="preserve"> </w:t>
      </w:r>
      <w:r>
        <w:rPr>
          <w:i/>
          <w:iCs/>
        </w:rPr>
        <w:t xml:space="preserve">rendent le net négatif ; le Gini du net est calculé après troncature à zéro,</w:t>
      </w:r>
      <w:r>
        <w:rPr>
          <w:i/>
          <w:iCs/>
        </w:rPr>
        <w:t xml:space="preserve"> </w:t>
      </w:r>
      <w:r>
        <w:rPr>
          <w:i/>
          <w:iCs/>
        </w:rPr>
        <w:t xml:space="preserve">pratique standard CEQ.)</w:t>
      </w:r>
    </w:p>
    <w:p>
      <w:r>
        <w:pict>
          <v:rect style="width:0;height:1.5pt" o:hralign="center" o:hrstd="t" o:hr="t"/>
        </w:pict>
      </w:r>
    </w:p>
    <w:bookmarkEnd w:id="41"/>
    <w:bookmarkEnd w:id="42"/>
    <w:bookmarkEnd w:id="43"/>
    <w:bookmarkStart w:id="68" w:name="figures-principales"/>
    <w:p>
      <w:pPr>
        <w:pStyle w:val="Titre1"/>
      </w:pPr>
      <w:r>
        <w:rPr>
          <w:rStyle w:val="SectionNumber"/>
        </w:rPr>
        <w:t xml:space="preserve">6</w:t>
      </w:r>
      <w:r>
        <w:tab/>
      </w:r>
      <w:r>
        <w:t xml:space="preserve">Figures principales</w:t>
      </w:r>
    </w:p>
    <w:p>
      <w:pPr>
        <w:pStyle w:val="CaptionedFigure"/>
      </w:pPr>
      <w:r>
        <w:drawing>
          <wp:inline>
            <wp:extent cx="5753100" cy="3835400"/>
            <wp:effectExtent b="0" l="0" r="0" t="0"/>
            <wp:docPr descr="Taux de TVA effectif par décile — trois scénarios d’informalité" title="" id="45" name="Picture"/>
            <a:graphic>
              <a:graphicData uri="http://schemas.openxmlformats.org/drawingml/2006/picture">
                <pic:pic>
                  <pic:nvPicPr>
                    <pic:cNvPr descr="07_reports/figures/fig1_eff_vat_three_scenarios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3835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Taux de TVA effectif par décile — trois scénarios d’informalité</w:t>
      </w:r>
    </w:p>
    <w:p>
      <w:pPr>
        <w:pStyle w:val="CaptionedFigure"/>
      </w:pPr>
      <w:r>
        <w:drawing>
          <wp:inline>
            <wp:extent cx="5753100" cy="3835400"/>
            <wp:effectExtent b="0" l="0" r="0" t="0"/>
            <wp:docPr descr="Courbes de concentration de la TVA" title="" id="48" name="Picture"/>
            <a:graphic>
              <a:graphicData uri="http://schemas.openxmlformats.org/drawingml/2006/picture">
                <pic:pic>
                  <pic:nvPicPr>
                    <pic:cNvPr descr="07_reports/figures/fig2_concentration_curves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3835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Courbes de concentration de la TVA</w:t>
      </w:r>
    </w:p>
    <w:p>
      <w:pPr>
        <w:pStyle w:val="CaptionedFigure"/>
      </w:pPr>
      <w:r>
        <w:drawing>
          <wp:inline>
            <wp:extent cx="5753100" cy="3835400"/>
            <wp:effectExtent b="0" l="0" r="0" t="0"/>
            <wp:docPr descr="TVA par fonction COICOP" title="" id="51" name="Picture"/>
            <a:graphic>
              <a:graphicData uri="http://schemas.openxmlformats.org/drawingml/2006/picture">
                <pic:pic>
                  <pic:nvPicPr>
                    <pic:cNvPr descr="07_reports/figures/fig3_vat_by_coicop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3835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TVA par fonction COICOP</w:t>
      </w:r>
    </w:p>
    <w:p>
      <w:pPr>
        <w:pStyle w:val="CaptionedFigure"/>
      </w:pPr>
      <w:r>
        <w:drawing>
          <wp:inline>
            <wp:extent cx="5753100" cy="3835400"/>
            <wp:effectExtent b="0" l="0" r="0" t="0"/>
            <wp:docPr descr="Impact de la TVA sur le taux de pauvreté par décile" title="" id="54" name="Picture"/>
            <a:graphic>
              <a:graphicData uri="http://schemas.openxmlformats.org/drawingml/2006/picture">
                <pic:pic>
                  <pic:nvPicPr>
                    <pic:cNvPr descr="07_reports/figures/fig_poverty_decile_impact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3835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Impact de la TVA sur le taux de pauvreté par décile</w:t>
      </w:r>
    </w:p>
    <w:p>
      <w:pPr>
        <w:pStyle w:val="CaptionedFigure"/>
      </w:pPr>
      <w:r>
        <w:drawing>
          <wp:inline>
            <wp:extent cx="5753100" cy="3835400"/>
            <wp:effectExtent b="0" l="0" r="0" t="0"/>
            <wp:docPr descr="Impact pauvreté — TVA directe vs TVA totale (I/O)" title="" id="57" name="Picture"/>
            <a:graphic>
              <a:graphicData uri="http://schemas.openxmlformats.org/drawingml/2006/picture">
                <pic:pic>
                  <pic:nvPicPr>
                    <pic:cNvPr descr="07_reports/figures/fig_poverty_io_impact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3835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Impact pauvreté — TVA directe vs TVA totale (I/O)</w:t>
      </w:r>
    </w:p>
    <w:p>
      <w:pPr>
        <w:pStyle w:val="CaptionedFigure"/>
      </w:pPr>
      <w:r>
        <w:drawing>
          <wp:inline>
            <wp:extent cx="5753100" cy="3835400"/>
            <wp:effectExtent b="0" l="0" r="0" t="0"/>
            <wp:docPr descr="Charge de la réforme TVA 9 % par quintile" title="" id="60" name="Picture"/>
            <a:graphic>
              <a:graphicData uri="http://schemas.openxmlformats.org/drawingml/2006/picture">
                <pic:pic>
                  <pic:nvPicPr>
                    <pic:cNvPr descr="07_reports/figures/fig_reform_burden_quintile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3835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Charge de la réforme TVA 9 % par quintile</w:t>
      </w:r>
    </w:p>
    <w:p>
      <w:pPr>
        <w:pStyle w:val="CaptionedFigure"/>
      </w:pPr>
      <w:r>
        <w:drawing>
          <wp:inline>
            <wp:extent cx="5753100" cy="3835400"/>
            <wp:effectExtent b="0" l="0" r="0" t="0"/>
            <wp:docPr descr="Impact FGT de la réforme TVA 9 %" title="" id="63" name="Picture"/>
            <a:graphic>
              <a:graphicData uri="http://schemas.openxmlformats.org/drawingml/2006/picture">
                <pic:pic>
                  <pic:nvPicPr>
                    <pic:cNvPr descr="07_reports/figures/fig_reform_fgt_impact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3835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Impact FGT de la réforme TVA 9 %</w:t>
      </w:r>
    </w:p>
    <w:p>
      <w:pPr>
        <w:pStyle w:val="CaptionedFigure"/>
      </w:pPr>
      <w:r>
        <w:drawing>
          <wp:inline>
            <wp:extent cx="5753100" cy="3835400"/>
            <wp:effectExtent b="0" l="0" r="0" t="0"/>
            <wp:docPr descr="Charge des impôts directs et cotisations par décile (étape 16)" title="" id="66" name="Picture"/>
            <a:graphic>
              <a:graphicData uri="http://schemas.openxmlformats.org/drawingml/2006/picture">
                <pic:pic>
                  <pic:nvPicPr>
                    <pic:cNvPr descr="07_reports/figures/fig16_direct_burden_decile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3835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Charge des impôts directs et cotisations par décile (étape 16)</w:t>
      </w:r>
    </w:p>
    <w:p>
      <w:r>
        <w:pict>
          <v:rect style="width:0;height:1.5pt" o:hralign="center" o:hrstd="t" o:hr="t"/>
        </w:pict>
      </w:r>
    </w:p>
    <w:bookmarkEnd w:id="68"/>
    <w:bookmarkStart w:id="69" w:name="limites-et-hypothèses"/>
    <w:p>
      <w:pPr>
        <w:pStyle w:val="Titre1"/>
      </w:pPr>
      <w:r>
        <w:rPr>
          <w:rStyle w:val="SectionNumber"/>
        </w:rPr>
        <w:t xml:space="preserve">7</w:t>
      </w:r>
      <w:r>
        <w:tab/>
      </w:r>
      <w:r>
        <w:t xml:space="preserve">Limites et hypothèses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Incidence statique, pass-through complet</w:t>
      </w:r>
      <w:r>
        <w:t xml:space="preserve"> </w:t>
      </w:r>
      <w:r>
        <w:t xml:space="preserve">(scénario central) : pas de réponse</w:t>
      </w:r>
      <w:r>
        <w:t xml:space="preserve"> </w:t>
      </w:r>
      <w:r>
        <w:t xml:space="preserve">comportementale des ménages ni des producteurs ; les scénarios S2/S3 encadrent</w:t>
      </w:r>
      <w:r>
        <w:t xml:space="preserve"> </w:t>
      </w:r>
      <w:r>
        <w:t xml:space="preserve">l’incertitude liée à l’informalité des achats.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Market Income proxié par la consommation</w:t>
      </w:r>
      <w:r>
        <w:t xml:space="preserve"> </w:t>
      </w:r>
      <w:r>
        <w:t xml:space="preserve">: approche standard (Hill et al.</w:t>
      </w:r>
    </w:p>
    <w:p>
      <w:pPr>
        <w:pStyle w:val="Compact"/>
        <w:numPr>
          <w:ilvl w:val="1"/>
          <w:numId w:val="1006"/>
        </w:numPr>
      </w:pPr>
      <w:r>
        <w:t xml:space="preserve">mais qui comprime l’épargne des ménages aisés ; la sensibilité aux</w:t>
      </w:r>
      <w:r>
        <w:t xml:space="preserve"> </w:t>
      </w:r>
      <w:r>
        <w:t xml:space="preserve">classements (06_02) montre que le signe de la progressivité de la TVA en dépend.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Couverture des impôts directs</w:t>
      </w:r>
      <w:r>
        <w:t xml:space="preserve"> </w:t>
      </w:r>
      <w:r>
        <w:t xml:space="preserve">: le salaire d’enquête est sous-déclaré et</w:t>
      </w:r>
      <w:r>
        <w:t xml:space="preserve"> </w:t>
      </w:r>
      <w:r>
        <w:t xml:space="preserve">l’emploi secondaire exclu (borne basse) ; les revenus non salariaux (BIC,</w:t>
      </w:r>
      <w:r>
        <w:t xml:space="preserve"> </w:t>
      </w:r>
      <w:r>
        <w:t xml:space="preserve">fonciers, capitaux) ne sont pas encore simulés — extension prévue avec les</w:t>
      </w:r>
      <w:r>
        <w:t xml:space="preserve"> </w:t>
      </w:r>
      <w:r>
        <w:t xml:space="preserve">modules s05/s10/s11.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Quotient familial approché</w:t>
      </w:r>
      <w:r>
        <w:t xml:space="preserve"> </w:t>
      </w:r>
      <w:r>
        <w:t xml:space="preserve">: enfants attribués au principal apporteur ;</w:t>
      </w:r>
      <w:r>
        <w:t xml:space="preserve"> </w:t>
      </w:r>
      <w:r>
        <w:t xml:space="preserve">situations d’infirmité (1 part) non observées.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Matrice I/O</w:t>
      </w:r>
      <w:r>
        <w:t xml:space="preserve"> </w:t>
      </w:r>
      <w:r>
        <w:t xml:space="preserve">: la concordance codpr → secteurs (ICIO et TRE) reste</w:t>
      </w:r>
      <w:r>
        <w:t xml:space="preserve"> </w:t>
      </w:r>
      <w:r>
        <w:t xml:space="preserve">perfectible pour certains secteurs clés (cacao, énergie) ; le TRE courant 2023</w:t>
      </w:r>
      <w:r>
        <w:t xml:space="preserve"> </w:t>
      </w:r>
      <w:r>
        <w:t xml:space="preserve">décrit la structure productive de 2023 appliquée à des consommations de 2021.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Réformes TVA post-2021</w:t>
      </w:r>
      <w:r>
        <w:t xml:space="preserve"> </w:t>
      </w:r>
      <w:r>
        <w:t xml:space="preserve">non couvertes (millésime EHCVM) — cf. FMI (2023).</w:t>
      </w:r>
    </w:p>
    <w:p>
      <w:r>
        <w:pict>
          <v:rect style="width:0;height:1.5pt" o:hralign="center" o:hrstd="t" o:hr="t"/>
        </w:pict>
      </w:r>
    </w:p>
    <w:bookmarkEnd w:id="69"/>
    <w:bookmarkStart w:id="70" w:name="feuille-de-route-étapes-1725"/>
    <w:p>
      <w:pPr>
        <w:pStyle w:val="Titre1"/>
      </w:pPr>
      <w:r>
        <w:rPr>
          <w:rStyle w:val="SectionNumber"/>
        </w:rPr>
        <w:t xml:space="preserve">8</w:t>
      </w:r>
      <w:r>
        <w:tab/>
      </w:r>
      <w:r>
        <w:t xml:space="preserve">Feuille de route (étapes 17–25)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Étape</w:t>
            </w:r>
          </w:p>
        </w:tc>
        <w:tc>
          <w:tcPr/>
          <w:p>
            <w:pPr>
              <w:pStyle w:val="Compact"/>
            </w:pPr>
            <w:r>
              <w:t xml:space="preserve">Contenu</w:t>
            </w:r>
          </w:p>
        </w:tc>
        <w:tc>
          <w:tcPr/>
          <w:p>
            <w:pPr>
              <w:pStyle w:val="Compact"/>
            </w:pPr>
            <w:r>
              <w:t xml:space="preserve">Statut / condition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Accises (tabac, alcool, carburant) + droits de douane TEC CEDEAO</w:t>
            </w:r>
          </w:p>
        </w:tc>
        <w:tc>
          <w:tcPr/>
          <w:p>
            <w:pPr>
              <w:pStyle w:val="Compact"/>
            </w:pPr>
            <w:r>
              <w:t xml:space="preserve">Concordance codpr → SH à construire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Transferts monétaires (pensions CNPS, PFISP) → Gross/Disposable Income</w:t>
            </w:r>
          </w:p>
        </w:tc>
        <w:tc>
          <w:tcPr/>
          <w:p>
            <w:pPr>
              <w:pStyle w:val="Compact"/>
            </w:pPr>
            <w:r>
              <w:t xml:space="preserve">Modules EHCVM transferts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t xml:space="preserve">Subventions énergie/eau (SODECI/CIE, carburant)</w:t>
            </w:r>
          </w:p>
        </w:tc>
        <w:tc>
          <w:tcPr/>
          <w:p>
            <w:pPr>
              <w:pStyle w:val="Compact"/>
            </w:pPr>
            <w:r>
              <w:t xml:space="preserve">Grilles tarifaires 2021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20–21</w:t>
            </w:r>
          </w:p>
        </w:tc>
        <w:tc>
          <w:tcPr/>
          <w:p>
            <w:pPr>
              <w:pStyle w:val="Compact"/>
            </w:pPr>
            <w:r>
              <w:t xml:space="preserve">Éducation et santé publiques en nature → Final Income</w:t>
            </w:r>
          </w:p>
        </w:tc>
        <w:tc>
          <w:tcPr/>
          <w:p>
            <w:pPr>
              <w:pStyle w:val="Compact"/>
            </w:pPr>
            <w:r>
              <w:t xml:space="preserve">Budgets MEN/MESRS, comptes de santé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t xml:space="preserve">Assemblage des 7 concepts, table CEQ maîtresse</w:t>
            </w:r>
          </w:p>
        </w:tc>
        <w:tc>
          <w:tcPr/>
          <w:p>
            <w:pPr>
              <w:pStyle w:val="Compact"/>
            </w:pPr>
            <w:r>
              <w:t xml:space="preserve">Étapes 16–21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t xml:space="preserve">Contribution marginale de chaque instrument (Kakwani, Shapley)</w:t>
            </w:r>
          </w:p>
        </w:tc>
        <w:tc>
          <w:tcPr/>
          <w:p>
            <w:pPr>
              <w:pStyle w:val="Compact"/>
            </w:pPr>
            <w:r>
              <w:t xml:space="preserve">Étape 22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Fiscal impoverishment / gains to the poor (Higgins &amp; Lustig 2016)</w:t>
            </w:r>
          </w:p>
        </w:tc>
        <w:tc>
          <w:tcPr/>
          <w:p>
            <w:pPr>
              <w:pStyle w:val="Compact"/>
            </w:pPr>
            <w:r>
              <w:t xml:space="preserve">Étape 22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Rapport CEQ standardisé (comparabilité internationale)</w:t>
            </w:r>
          </w:p>
        </w:tc>
        <w:tc>
          <w:tcPr/>
          <w:p>
            <w:pPr>
              <w:pStyle w:val="Compact"/>
            </w:pPr>
            <w:r>
              <w:t xml:space="preserve">Étapes 22–24</w:t>
            </w:r>
          </w:p>
        </w:tc>
      </w:tr>
    </w:tbl>
    <w:p>
      <w:pPr>
        <w:pStyle w:val="BodyText"/>
      </w:pPr>
      <w:r>
        <w:t xml:space="preserve">Lectures préparatoires (cf. </w:t>
      </w:r>
      <w:r>
        <w:rPr>
          <w:rStyle w:val="VerbatimChar"/>
        </w:rPr>
        <w:t xml:space="preserve">00_documentation/REVUE_A_LIRE.md</w:t>
      </w:r>
      <w:r>
        <w:t xml:space="preserve">) : CEQ Handbook</w:t>
      </w:r>
      <w:r>
        <w:t xml:space="preserve"> </w:t>
      </w:r>
      <w:r>
        <w:t xml:space="preserve">Vol. 1 (ch. 1 &amp; 6), Akim et al. (2020), Younger et al. (2016), SOUTHMOD (2021),</w:t>
      </w:r>
      <w:r>
        <w:t xml:space="preserve"> </w:t>
      </w:r>
      <w:r>
        <w:t xml:space="preserve">Hill et al. (2017), Lustig (2017).</w:t>
      </w:r>
    </w:p>
    <w:p>
      <w:r>
        <w:pict>
          <v:rect style="width:0;height:1.5pt" o:hralign="center" o:hrstd="t" o:hr="t"/>
        </w:pict>
      </w:r>
    </w:p>
    <w:bookmarkEnd w:id="70"/>
    <w:bookmarkStart w:id="71" w:name="bibliographie"/>
    <w:p>
      <w:pPr>
        <w:pStyle w:val="Titre1"/>
      </w:pPr>
      <w:r>
        <w:rPr>
          <w:rStyle w:val="SectionNumber"/>
        </w:rPr>
        <w:t xml:space="preserve">9</w:t>
      </w:r>
      <w:r>
        <w:tab/>
      </w:r>
      <w:r>
        <w:t xml:space="preserve">Bibliographie</w:t>
      </w:r>
    </w:p>
    <w:p>
      <w:pPr>
        <w:pStyle w:val="Compact"/>
        <w:numPr>
          <w:ilvl w:val="0"/>
          <w:numId w:val="1007"/>
        </w:numPr>
      </w:pPr>
      <w:r>
        <w:t xml:space="preserve">Akim, A., M. Ben Jelloul, L. Czajka &amp; A.-S. Robilliard (2020),</w:t>
      </w:r>
      <w:r>
        <w:t xml:space="preserve"> </w:t>
      </w:r>
      <w:r>
        <w:rPr>
          <w:i/>
          <w:iCs/>
        </w:rPr>
        <w:t xml:space="preserve">Collect More,</w:t>
      </w:r>
      <w:r>
        <w:rPr>
          <w:i/>
          <w:iCs/>
        </w:rPr>
        <w:t xml:space="preserve"> </w:t>
      </w:r>
      <w:r>
        <w:rPr>
          <w:i/>
          <w:iCs/>
        </w:rPr>
        <w:t xml:space="preserve">Spend Better? Assessing the Incidence of Fiscal Systems and Public Spending in</w:t>
      </w:r>
      <w:r>
        <w:rPr>
          <w:i/>
          <w:iCs/>
        </w:rPr>
        <w:t xml:space="preserve"> </w:t>
      </w:r>
      <w:r>
        <w:rPr>
          <w:i/>
          <w:iCs/>
        </w:rPr>
        <w:t xml:space="preserve">Three Francophone West African Countries</w:t>
      </w:r>
      <w:r>
        <w:t xml:space="preserve">, AFD Research Papers.</w:t>
      </w:r>
    </w:p>
    <w:p>
      <w:pPr>
        <w:pStyle w:val="Compact"/>
        <w:numPr>
          <w:ilvl w:val="0"/>
          <w:numId w:val="1007"/>
        </w:numPr>
      </w:pPr>
      <w:r>
        <w:t xml:space="preserve">Bachas, P., L. Gadenne &amp; A. Jensen (2024), « Informality, Consumption Taxes and</w:t>
      </w:r>
      <w:r>
        <w:t xml:space="preserve"> </w:t>
      </w:r>
      <w:r>
        <w:t xml:space="preserve">Redistribution »,</w:t>
      </w:r>
      <w:r>
        <w:t xml:space="preserve"> </w:t>
      </w:r>
      <w:r>
        <w:rPr>
          <w:i/>
          <w:iCs/>
        </w:rPr>
        <w:t xml:space="preserve">Review of Economic Studies</w:t>
      </w:r>
      <w:r>
        <w:t xml:space="preserve">, 91(5).</w:t>
      </w:r>
    </w:p>
    <w:p>
      <w:pPr>
        <w:pStyle w:val="Compact"/>
        <w:numPr>
          <w:ilvl w:val="0"/>
          <w:numId w:val="1007"/>
        </w:numPr>
      </w:pPr>
      <w:r>
        <w:t xml:space="preserve">Foster, J., J. Greer &amp; E. Thorbecke (1984), « A Class of Decomposable Poverty</w:t>
      </w:r>
      <w:r>
        <w:t xml:space="preserve"> </w:t>
      </w:r>
      <w:r>
        <w:t xml:space="preserve">Measures »,</w:t>
      </w:r>
      <w:r>
        <w:t xml:space="preserve"> </w:t>
      </w:r>
      <w:r>
        <w:rPr>
          <w:i/>
          <w:iCs/>
        </w:rPr>
        <w:t xml:space="preserve">Econometrica</w:t>
      </w:r>
      <w:r>
        <w:t xml:space="preserve">, 52(3).</w:t>
      </w:r>
    </w:p>
    <w:p>
      <w:pPr>
        <w:pStyle w:val="Compact"/>
        <w:numPr>
          <w:ilvl w:val="0"/>
          <w:numId w:val="1007"/>
        </w:numPr>
      </w:pPr>
      <w:r>
        <w:t xml:space="preserve">Higgins, S. &amp; N. Lustig (2016), « Can a poverty-reducing and progressive tax and</w:t>
      </w:r>
      <w:r>
        <w:t xml:space="preserve"> </w:t>
      </w:r>
      <w:r>
        <w:t xml:space="preserve">transfer system hurt the poor? »,</w:t>
      </w:r>
      <w:r>
        <w:t xml:space="preserve"> </w:t>
      </w:r>
      <w:r>
        <w:rPr>
          <w:i/>
          <w:iCs/>
        </w:rPr>
        <w:t xml:space="preserve">Journal of Development Economics</w:t>
      </w:r>
      <w:r>
        <w:t xml:space="preserve">, 122.</w:t>
      </w:r>
    </w:p>
    <w:p>
      <w:pPr>
        <w:pStyle w:val="Compact"/>
        <w:numPr>
          <w:ilvl w:val="0"/>
          <w:numId w:val="1007"/>
        </w:numPr>
      </w:pPr>
      <w:r>
        <w:t xml:space="preserve">Hill, R., G. Inchauste, N. Lustig, E. Tsehaye &amp; T. Woldehanna (2017),</w:t>
      </w:r>
      <w:r>
        <w:t xml:space="preserve"> </w:t>
      </w:r>
      <w:r>
        <w:rPr>
          <w:i/>
          <w:iCs/>
        </w:rPr>
        <w:t xml:space="preserve">A Fiscal</w:t>
      </w:r>
      <w:r>
        <w:rPr>
          <w:i/>
          <w:iCs/>
        </w:rPr>
        <w:t xml:space="preserve"> </w:t>
      </w:r>
      <w:r>
        <w:rPr>
          <w:i/>
          <w:iCs/>
        </w:rPr>
        <w:t xml:space="preserve">Incidence Analysis for Ethiopia</w:t>
      </w:r>
      <w:r>
        <w:t xml:space="preserve">, CEQ Working Paper 41.</w:t>
      </w:r>
    </w:p>
    <w:p>
      <w:pPr>
        <w:pStyle w:val="Compact"/>
        <w:numPr>
          <w:ilvl w:val="0"/>
          <w:numId w:val="1007"/>
        </w:numPr>
      </w:pPr>
      <w:r>
        <w:t xml:space="preserve">Kakwani, N. (1977), « Measurement of Tax Progressivity: An International</w:t>
      </w:r>
      <w:r>
        <w:t xml:space="preserve"> </w:t>
      </w:r>
      <w:r>
        <w:t xml:space="preserve">Comparison »,</w:t>
      </w:r>
      <w:r>
        <w:t xml:space="preserve"> </w:t>
      </w:r>
      <w:r>
        <w:rPr>
          <w:i/>
          <w:iCs/>
        </w:rPr>
        <w:t xml:space="preserve">Economic Journal</w:t>
      </w:r>
      <w:r>
        <w:t xml:space="preserve">, 87(345).</w:t>
      </w:r>
    </w:p>
    <w:p>
      <w:pPr>
        <w:pStyle w:val="Compact"/>
        <w:numPr>
          <w:ilvl w:val="0"/>
          <w:numId w:val="1007"/>
        </w:numPr>
      </w:pPr>
      <w:r>
        <w:t xml:space="preserve">Lustig, N. (dir.) (2018/2023),</w:t>
      </w:r>
      <w:r>
        <w:t xml:space="preserve"> </w:t>
      </w:r>
      <w:r>
        <w:rPr>
          <w:i/>
          <w:iCs/>
        </w:rPr>
        <w:t xml:space="preserve">Commitment to Equity Handbook</w:t>
      </w:r>
      <w:r>
        <w:t xml:space="preserve">, Vol. 1 &amp; 2,</w:t>
      </w:r>
      <w:r>
        <w:t xml:space="preserve"> </w:t>
      </w:r>
      <w:r>
        <w:t xml:space="preserve">Brookings / CEQ Institute.</w:t>
      </w:r>
    </w:p>
    <w:p>
      <w:pPr>
        <w:pStyle w:val="Compact"/>
        <w:numPr>
          <w:ilvl w:val="0"/>
          <w:numId w:val="1007"/>
        </w:numPr>
      </w:pPr>
      <w:r>
        <w:t xml:space="preserve">Lustig, N. (2017),</w:t>
      </w:r>
      <w:r>
        <w:t xml:space="preserve"> </w:t>
      </w:r>
      <w:r>
        <w:rPr>
          <w:i/>
          <w:iCs/>
        </w:rPr>
        <w:t xml:space="preserve">Fiscal Policy, Inequality and the Poor in the Developing</w:t>
      </w:r>
      <w:r>
        <w:rPr>
          <w:i/>
          <w:iCs/>
        </w:rPr>
        <w:t xml:space="preserve"> </w:t>
      </w:r>
      <w:r>
        <w:rPr>
          <w:i/>
          <w:iCs/>
        </w:rPr>
        <w:t xml:space="preserve">World</w:t>
      </w:r>
      <w:r>
        <w:t xml:space="preserve">, CEQ Working Paper 23.</w:t>
      </w:r>
    </w:p>
    <w:p>
      <w:pPr>
        <w:pStyle w:val="Compact"/>
        <w:numPr>
          <w:ilvl w:val="0"/>
          <w:numId w:val="1007"/>
        </w:numPr>
      </w:pPr>
      <w:r>
        <w:t xml:space="preserve">OCDE (2023),</w:t>
      </w:r>
      <w:r>
        <w:t xml:space="preserve"> </w:t>
      </w:r>
      <w:r>
        <w:rPr>
          <w:i/>
          <w:iCs/>
        </w:rPr>
        <w:t xml:space="preserve">Inter-Country Input-Output (ICIO) Tables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SOUTHMOD (2021), « Modelling tax-benefit systems in developing countries »,</w:t>
      </w:r>
      <w:r>
        <w:t xml:space="preserve"> </w:t>
      </w:r>
      <w:r>
        <w:rPr>
          <w:i/>
          <w:iCs/>
        </w:rPr>
        <w:t xml:space="preserve">International Journal of Microsimulation</w:t>
      </w:r>
      <w:r>
        <w:t xml:space="preserve"> </w:t>
      </w:r>
      <w:r>
        <w:t xml:space="preserve">(éditorial).</w:t>
      </w:r>
    </w:p>
    <w:p>
      <w:pPr>
        <w:pStyle w:val="Compact"/>
        <w:numPr>
          <w:ilvl w:val="0"/>
          <w:numId w:val="1007"/>
        </w:numPr>
      </w:pPr>
      <w:r>
        <w:t xml:space="preserve">World Bank (2019),</w:t>
      </w:r>
      <w:r>
        <w:t xml:space="preserve"> </w:t>
      </w:r>
      <w:r>
        <w:rPr>
          <w:i/>
          <w:iCs/>
        </w:rPr>
        <w:t xml:space="preserve">Côte d’Ivoire — Relever le Défi de la Mobilisation Fiscale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Younger, S., E. Osei-Assibey &amp; F. Oppong (2016),</w:t>
      </w:r>
      <w:r>
        <w:t xml:space="preserve"> </w:t>
      </w:r>
      <w:r>
        <w:rPr>
          <w:i/>
          <w:iCs/>
        </w:rPr>
        <w:t xml:space="preserve">Fiscal Incidence in Ghana</w:t>
      </w:r>
      <w:r>
        <w:t xml:space="preserve">,</w:t>
      </w:r>
      <w:r>
        <w:t xml:space="preserve"> </w:t>
      </w:r>
      <w:r>
        <w:t xml:space="preserve">CEQ Working Paper 35.</w:t>
      </w:r>
    </w:p>
    <w:p>
      <w:pPr>
        <w:pStyle w:val="Compact"/>
        <w:numPr>
          <w:ilvl w:val="0"/>
          <w:numId w:val="1007"/>
        </w:numPr>
      </w:pPr>
      <w:r>
        <w:t xml:space="preserve">FMI (2023),</w:t>
      </w:r>
      <w:r>
        <w:t xml:space="preserve"> </w:t>
      </w:r>
      <w:r>
        <w:rPr>
          <w:i/>
          <w:iCs/>
        </w:rPr>
        <w:t xml:space="preserve">Côte d’Ivoire — Country Report No. 23/406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Code Général des Impôts de Côte d’Ivoire (2021) ; CNPS ; dispositif CMU.</w:t>
      </w:r>
    </w:p>
    <w:p>
      <w:r>
        <w:pict>
          <v:rect style="width:0;height:1.5pt" o:hralign="center" o:hrstd="t" o:hr="t"/>
        </w:pict>
      </w:r>
    </w:p>
    <w:bookmarkEnd w:id="71"/>
    <w:bookmarkStart w:id="72" w:name="X48c817a974d98f70e2d385f7f54fe6eccbbdb53"/>
    <w:p>
      <w:pPr>
        <w:pStyle w:val="Titre1"/>
      </w:pPr>
      <w:r>
        <w:rPr>
          <w:rStyle w:val="SectionNumber"/>
        </w:rPr>
        <w:t xml:space="preserve">10</w:t>
      </w:r>
      <w:r>
        <w:tab/>
      </w:r>
      <w:r>
        <w:t xml:space="preserve">Annexe A — Inventaire des scripts du pipeline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Script</w:t>
            </w:r>
          </w:p>
        </w:tc>
        <w:tc>
          <w:tcPr/>
          <w:p>
            <w:pPr>
              <w:pStyle w:val="Compact"/>
            </w:pPr>
            <w:r>
              <w:t xml:space="preserve">Fonction</w:t>
            </w:r>
          </w:p>
        </w:tc>
        <w:tc>
          <w:tcPr/>
          <w:p>
            <w:pPr>
              <w:pStyle w:val="Compact"/>
            </w:pPr>
            <w:r>
              <w:t xml:space="preserve">Entrées principales</w:t>
            </w:r>
          </w:p>
        </w:tc>
        <w:tc>
          <w:tcPr/>
          <w:p>
            <w:pPr>
              <w:pStyle w:val="Compact"/>
            </w:pPr>
            <w:r>
              <w:t xml:space="preserve">Sorties principales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00_setup.R</w:t>
            </w:r>
          </w:p>
        </w:tc>
        <w:tc>
          <w:tcPr/>
          <w:p>
            <w:pPr>
              <w:pStyle w:val="Compact"/>
            </w:pPr>
            <w:r>
              <w:t xml:space="preserve">Chemins, packages, utils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environnement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00_master.R</w:t>
            </w:r>
          </w:p>
        </w:tc>
        <w:tc>
          <w:tcPr/>
          <w:p>
            <w:pPr>
              <w:pStyle w:val="Compact"/>
            </w:pPr>
            <w:r>
              <w:t xml:space="preserve">Orchestrateur (17 étapes)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lance_pipeline()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01_prepare_data.R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prepare_data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ehcvm_conso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SILVER/01/conso_clean.parquet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02_mapping_tax.R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map_tax</w:t>
            </w:r>
          </w:p>
        </w:tc>
        <w:tc>
          <w:tcPr/>
          <w:p>
            <w:pPr>
              <w:pStyle w:val="Compact"/>
            </w:pPr>
            <w:r>
              <w:t xml:space="preserve">classeur TVA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SILVER/02/mapping_fiscal_official.parquet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03_compute_taxes.R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compute_taxes</w:t>
            </w:r>
          </w:p>
        </w:tc>
        <w:tc>
          <w:tcPr/>
          <w:p>
            <w:pPr>
              <w:pStyle w:val="Compact"/>
            </w:pPr>
            <w:r>
              <w:t xml:space="preserve">SILVER/01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SILVER/03/fiscal_data.parquet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04_analysis.R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run_analysis</w:t>
            </w:r>
          </w:p>
        </w:tc>
        <w:tc>
          <w:tcPr/>
          <w:p>
            <w:pPr>
              <w:pStyle w:val="Compact"/>
            </w:pPr>
            <w:r>
              <w:t xml:space="preserve">SILVER/03</w:t>
            </w:r>
          </w:p>
        </w:tc>
        <w:tc>
          <w:tcPr/>
          <w:p>
            <w:pPr>
              <w:pStyle w:val="Compact"/>
            </w:pPr>
            <w:r>
              <w:t xml:space="preserve">tables 04,</w:t>
            </w:r>
            <w:r>
              <w:t xml:space="preserve"> </w:t>
            </w:r>
            <w:r>
              <w:rPr>
                <w:rStyle w:val="VerbatimChar"/>
              </w:rPr>
              <w:t xml:space="preserve">fiscal_data_analysis_ready.parquet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05_progressivity.R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run_progressivity</w:t>
            </w:r>
          </w:p>
        </w:tc>
        <w:tc>
          <w:tcPr/>
          <w:p>
            <w:pPr>
              <w:pStyle w:val="Compact"/>
            </w:pPr>
            <w:r>
              <w:t xml:space="preserve">SILVER/04</w:t>
            </w:r>
          </w:p>
        </w:tc>
        <w:tc>
          <w:tcPr/>
          <w:p>
            <w:pPr>
              <w:pStyle w:val="Compact"/>
            </w:pPr>
            <w:r>
              <w:t xml:space="preserve">table 05 (Gini/Kakwani/RS)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06_01_sensitivity_taxation.R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run_sensitivity_taxation</w:t>
            </w:r>
          </w:p>
        </w:tc>
        <w:tc>
          <w:tcPr/>
          <w:p>
            <w:pPr>
              <w:pStyle w:val="Compact"/>
            </w:pPr>
            <w:r>
              <w:t xml:space="preserve">SILVER/01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fiscal_sensitivity_taxation.parquet</w:t>
            </w:r>
            <w:r>
              <w:t xml:space="preserve">, tables 06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06_02_sensitivity_ranking.R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run_sensitivity_ranking</w:t>
            </w:r>
          </w:p>
        </w:tc>
        <w:tc>
          <w:tcPr/>
          <w:p>
            <w:pPr>
              <w:pStyle w:val="Compact"/>
            </w:pPr>
            <w:r>
              <w:t xml:space="preserve">SILVER/06, welfare</w:t>
            </w:r>
          </w:p>
        </w:tc>
        <w:tc>
          <w:tcPr/>
          <w:p>
            <w:pPr>
              <w:pStyle w:val="Compact"/>
            </w:pPr>
            <w:r>
              <w:t xml:space="preserve">tables 06_02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07_appendix_tables.R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run_appendix_tables</w:t>
            </w:r>
          </w:p>
        </w:tc>
        <w:tc>
          <w:tcPr/>
          <w:p>
            <w:pPr>
              <w:pStyle w:val="Compact"/>
            </w:pPr>
            <w:r>
              <w:t xml:space="preserve">SILVER/04</w:t>
            </w:r>
          </w:p>
        </w:tc>
        <w:tc>
          <w:tcPr/>
          <w:p>
            <w:pPr>
              <w:pStyle w:val="Compact"/>
            </w:pPr>
            <w:r>
              <w:t xml:space="preserve">tables 07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08_figures.R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run_figures</w:t>
            </w:r>
          </w:p>
        </w:tc>
        <w:tc>
          <w:tcPr/>
          <w:p>
            <w:pPr>
              <w:pStyle w:val="Compact"/>
            </w:pPr>
            <w:r>
              <w:t xml:space="preserve">SILVER</w:t>
            </w:r>
          </w:p>
        </w:tc>
        <w:tc>
          <w:tcPr/>
          <w:p>
            <w:pPr>
              <w:pStyle w:val="Compact"/>
            </w:pPr>
            <w:r>
              <w:t xml:space="preserve">fig1–fig4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09_vat_determinants.R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run_determinants</w:t>
            </w:r>
          </w:p>
        </w:tc>
        <w:tc>
          <w:tcPr/>
          <w:p>
            <w:pPr>
              <w:pStyle w:val="Compact"/>
            </w:pPr>
            <w:r>
              <w:t xml:space="preserve">SILVER/06</w:t>
            </w:r>
          </w:p>
        </w:tc>
        <w:tc>
          <w:tcPr/>
          <w:p>
            <w:pPr>
              <w:pStyle w:val="Compact"/>
            </w:pPr>
            <w:r>
              <w:t xml:space="preserve">tables 09 (OLS, SE cluster grappe)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10_reform_chicken_inputs.R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run_reform_chicken</w:t>
            </w:r>
          </w:p>
        </w:tc>
        <w:tc>
          <w:tcPr/>
          <w:p>
            <w:pPr>
              <w:pStyle w:val="Compact"/>
            </w:pPr>
            <w:r>
              <w:t xml:space="preserve">SILVER/06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reform_chicken_hh.parquet</w:t>
            </w:r>
            <w:r>
              <w:t xml:space="preserve">, tables 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11_reform_figures.R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run_reform_figures</w:t>
            </w:r>
          </w:p>
        </w:tc>
        <w:tc>
          <w:tcPr/>
          <w:p>
            <w:pPr>
              <w:pStyle w:val="Compact"/>
            </w:pPr>
            <w:r>
              <w:t xml:space="preserve">SILVER/10</w:t>
            </w:r>
          </w:p>
        </w:tc>
        <w:tc>
          <w:tcPr/>
          <w:p>
            <w:pPr>
              <w:pStyle w:val="Compact"/>
            </w:pPr>
            <w:r>
              <w:t xml:space="preserve">figR1–figR4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12_poverty_incidence.R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run_poverty_incidence</w:t>
            </w:r>
          </w:p>
        </w:tc>
        <w:tc>
          <w:tcPr/>
          <w:p>
            <w:pPr>
              <w:pStyle w:val="Compact"/>
            </w:pPr>
            <w:r>
              <w:t xml:space="preserve">SILVER/06, welfare</w:t>
            </w:r>
          </w:p>
        </w:tc>
        <w:tc>
          <w:tcPr/>
          <w:p>
            <w:pPr>
              <w:pStyle w:val="Compact"/>
            </w:pPr>
            <w:r>
              <w:t xml:space="preserve">tables 12, fig pauvreté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13_leontief_io.R</w:t>
            </w:r>
            <w:r>
              <w:t xml:space="preserve"> </w:t>
            </w:r>
            <w:r>
              <w:t xml:space="preserve">(+</w:t>
            </w:r>
            <w:r>
              <w:t xml:space="preserve"> </w:t>
            </w:r>
            <w:r>
              <w:rPr>
                <w:rStyle w:val="VerbatimChar"/>
              </w:rPr>
              <w:t xml:space="preserve">13b</w:t>
            </w:r>
            <w:r>
              <w:t xml:space="preserve"> </w:t>
            </w:r>
            <w:r>
              <w:t xml:space="preserve">local)</w:t>
            </w:r>
          </w:p>
        </w:tc>
        <w:tc>
          <w:tcPr/>
          <w:p>
            <w:pPr>
              <w:pStyle w:val="Compact"/>
            </w:pPr>
            <w:r>
              <w:t xml:space="preserve">script autonome</w:t>
            </w:r>
          </w:p>
        </w:tc>
        <w:tc>
          <w:tcPr/>
          <w:p>
            <w:pPr>
              <w:pStyle w:val="Compact"/>
            </w:pPr>
            <w:r>
              <w:t xml:space="preserve">ICIO / TRE, concordance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fiscal_data_io.parquet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14_leontief_poverty.R</w:t>
            </w:r>
            <w:r>
              <w:t xml:space="preserve"> </w:t>
            </w:r>
            <w:r>
              <w:t xml:space="preserve">(+</w:t>
            </w:r>
            <w:r>
              <w:t xml:space="preserve"> </w:t>
            </w:r>
            <w:r>
              <w:rPr>
                <w:rStyle w:val="VerbatimChar"/>
              </w:rPr>
              <w:t xml:space="preserve">14b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script autonome</w:t>
            </w:r>
          </w:p>
        </w:tc>
        <w:tc>
          <w:tcPr/>
          <w:p>
            <w:pPr>
              <w:pStyle w:val="Compact"/>
            </w:pPr>
            <w:r>
              <w:t xml:space="preserve">SILVER/13</w:t>
            </w:r>
          </w:p>
        </w:tc>
        <w:tc>
          <w:tcPr/>
          <w:p>
            <w:pPr>
              <w:pStyle w:val="Compact"/>
            </w:pPr>
            <w:r>
              <w:t xml:space="preserve">tables 14, 14b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15_reform_vat_simulation.R</w:t>
            </w:r>
          </w:p>
        </w:tc>
        <w:tc>
          <w:tcPr/>
          <w:p>
            <w:pPr>
              <w:pStyle w:val="Compact"/>
            </w:pPr>
            <w:r>
              <w:t xml:space="preserve">script autonome</w:t>
            </w:r>
          </w:p>
        </w:tc>
        <w:tc>
          <w:tcPr/>
          <w:p>
            <w:pPr>
              <w:pStyle w:val="Compact"/>
            </w:pPr>
            <w:r>
              <w:t xml:space="preserve">SILVER/01, 06, welfare</w:t>
            </w:r>
          </w:p>
        </w:tc>
        <w:tc>
          <w:tcPr/>
          <w:p>
            <w:pPr>
              <w:pStyle w:val="Compact"/>
            </w:pPr>
            <w:r>
              <w:t xml:space="preserve">tables 15,</w:t>
            </w:r>
            <w:r>
              <w:t xml:space="preserve"> </w:t>
            </w:r>
            <w:r>
              <w:rPr>
                <w:rStyle w:val="VerbatimChar"/>
              </w:rPr>
              <w:t xml:space="preserve">reform_vat_hh.parquet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16_direct_taxes.R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direct_taxes</w:t>
            </w:r>
          </w:p>
        </w:tc>
        <w:tc>
          <w:tcPr/>
          <w:p>
            <w:pPr>
              <w:pStyle w:val="Compact"/>
            </w:pPr>
            <w:r>
              <w:t xml:space="preserve">individus, s04, SILVER/04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SILVER/16/direct_taxes.parquet</w:t>
            </w:r>
            <w:r>
              <w:t xml:space="preserve">, tables 16, fig16</w:t>
            </w:r>
          </w:p>
        </w:tc>
      </w:tr>
    </w:tbl>
    <w:p>
      <w:pPr>
        <w:pStyle w:val="BodyText"/>
      </w:pPr>
      <w:r>
        <w:t xml:space="preserve">Exécution : depuis la racine du projet,</w:t>
      </w:r>
      <w:r>
        <w:t xml:space="preserve"> </w:t>
      </w:r>
      <w:r>
        <w:rPr>
          <w:rStyle w:val="VerbatimChar"/>
        </w:rPr>
        <w:t xml:space="preserve">source("05_scripts_R/00_master.R")</w:t>
      </w:r>
      <w:r>
        <w:t xml:space="preserve"> </w:t>
      </w:r>
      <w:r>
        <w:t xml:space="preserve">puis</w:t>
      </w:r>
      <w:r>
        <w:t xml:space="preserve"> </w:t>
      </w:r>
      <w:r>
        <w:rPr>
          <w:rStyle w:val="VerbatimChar"/>
        </w:rPr>
        <w:t xml:space="preserve">lance_pipeline(1, 17)</w:t>
      </w:r>
      <w:r>
        <w:t xml:space="preserve"> </w:t>
      </w:r>
      <w:r>
        <w:t xml:space="preserve">(l’étape 16 correspond à l’identifiant 17 de</w:t>
      </w:r>
      <w:r>
        <w:t xml:space="preserve"> </w:t>
      </w:r>
      <w:r>
        <w:t xml:space="preserve">l’enchaînement).</w:t>
      </w:r>
    </w:p>
    <w:p>
      <w:r>
        <w:pict>
          <v:rect style="width:0;height:1.5pt" o:hralign="center" o:hrstd="t" o:hr="t"/>
        </w:pict>
      </w:r>
    </w:p>
    <w:bookmarkEnd w:id="72"/>
    <w:bookmarkStart w:id="73" w:name="Xd9f9a4cfec7af07ba8e78eb489b1fd17ab9721f"/>
    <w:p>
      <w:pPr>
        <w:pStyle w:val="Titre1"/>
      </w:pPr>
      <w:r>
        <w:rPr>
          <w:rStyle w:val="SectionNumber"/>
        </w:rPr>
        <w:t xml:space="preserve">11</w:t>
      </w:r>
      <w:r>
        <w:tab/>
      </w:r>
      <w:r>
        <w:t xml:space="preserve">Annexe B — Code intégral de l’étape 16 (</w:t>
      </w:r>
      <w:r>
        <w:rPr>
          <w:rStyle w:val="VerbatimChar"/>
        </w:rPr>
        <w:t xml:space="preserve">16_direct_taxes.R</w:t>
      </w:r>
      <w:r>
        <w:t xml:space="preserve">)</w:t>
      </w:r>
    </w:p>
    <w:p>
      <w:pPr>
        <w:pStyle w:val="SourceCode"/>
      </w:pPr>
      <w:r>
        <w:rPr>
          <w:rStyle w:val="CommentTok"/>
        </w:rPr>
        <w:t xml:space="preserve"># 16_direct_taxes.R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OBJECTIF :</w:t>
      </w:r>
      <w:r>
        <w:br/>
      </w:r>
      <w:r>
        <w:rPr>
          <w:rStyle w:val="CommentTok"/>
        </w:rPr>
        <w:t xml:space="preserve"># Calculer les impots directs sur les salaires (IS, CN, IGR) et les</w:t>
      </w:r>
      <w:r>
        <w:br/>
      </w:r>
      <w:r>
        <w:rPr>
          <w:rStyle w:val="CommentTok"/>
        </w:rPr>
        <w:t xml:space="preserve"># cotisations sociales (CNPS part salariee, CMU) par menage, puis construire</w:t>
      </w:r>
      <w:r>
        <w:br/>
      </w:r>
      <w:r>
        <w:rPr>
          <w:rStyle w:val="CommentTok"/>
        </w:rPr>
        <w:t xml:space="preserve"># le concept CEQ Net Market Income :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  net_market_income = market_income - irpp - cotisations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BAREMES (CGI 2021, cf. 00_documentation/methodologie/MEMOIRE_FISCAL_CIV2021.md) :</w:t>
      </w:r>
      <w:r>
        <w:br/>
      </w:r>
      <w:r>
        <w:rPr>
          <w:rStyle w:val="CommentTok"/>
        </w:rPr>
        <w:t xml:space="preserve">#   IS   : 1,2 % du SBI (= 1,5 % de la base imposable BI = 0,8 x SBI)</w:t>
      </w:r>
      <w:r>
        <w:br/>
      </w:r>
      <w:r>
        <w:rPr>
          <w:rStyle w:val="CommentTok"/>
        </w:rPr>
        <w:t xml:space="preserve">#   CN   : par tranches mensuelles sur BI : 0 % (&lt;=50k), 1,5 % (50k-130k),</w:t>
      </w:r>
      <w:r>
        <w:br/>
      </w:r>
      <w:r>
        <w:rPr>
          <w:rStyle w:val="CommentTok"/>
        </w:rPr>
        <w:t xml:space="preserve">#          5 % (130k-200k), 10 % (&gt;200k)</w:t>
      </w:r>
      <w:r>
        <w:br/>
      </w:r>
      <w:r>
        <w:rPr>
          <w:rStyle w:val="CommentTok"/>
        </w:rPr>
        <w:t xml:space="preserve">#   IGR  : base R = 0,8 x (SBI - IS - CN), quotient familial N (plafond 5 parts),</w:t>
      </w:r>
      <w:r>
        <w:br/>
      </w:r>
      <w:r>
        <w:rPr>
          <w:rStyle w:val="CommentTok"/>
        </w:rPr>
        <w:t xml:space="preserve">#          bareme mensuel en 10 tranches sur Q = R/N, reduction finale de 15 %</w:t>
      </w:r>
      <w:r>
        <w:br/>
      </w:r>
      <w:r>
        <w:rPr>
          <w:rStyle w:val="CommentTok"/>
        </w:rPr>
        <w:t xml:space="preserve">#   CNPS : part salariee retraite 6,3 % du SBI plafonne a 1 647 315 FCFA/mois</w:t>
      </w:r>
      <w:r>
        <w:br/>
      </w:r>
      <w:r>
        <w:rPr>
          <w:rStyle w:val="CommentTok"/>
        </w:rPr>
        <w:t xml:space="preserve">#   CMU  : retenue simulee de 500 FCFA/mois par salarie formel (part salariale)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</w:t>
      </w:r>
      <w:r>
        <w:rPr>
          <w:rStyle w:val="AlertTok"/>
        </w:rPr>
        <w:t xml:space="preserve">NOTE</w:t>
      </w:r>
      <w:r>
        <w:rPr>
          <w:rStyle w:val="CommentTok"/>
        </w:rPr>
        <w:t xml:space="preserve"> : le script Banque mondiale de reference (ressources_CEQ/02. CIV21WBN_dtx.do)</w:t>
      </w:r>
      <w:r>
        <w:br/>
      </w:r>
      <w:r>
        <w:rPr>
          <w:rStyle w:val="CommentTok"/>
        </w:rPr>
        <w:t xml:space="preserve"># encode un bareme IGR de *proposition de reforme* (0/16/21/24/28/32 %,</w:t>
      </w:r>
      <w:r>
        <w:br/>
      </w:r>
      <w:r>
        <w:rPr>
          <w:rStyle w:val="CommentTok"/>
        </w:rPr>
        <w:t xml:space="preserve"># deduction 5 500 FCFA par demi-part) et non le bareme CGI en vigueur en 2021.</w:t>
      </w:r>
      <w:r>
        <w:br/>
      </w:r>
      <w:r>
        <w:rPr>
          <w:rStyle w:val="CommentTok"/>
        </w:rPr>
        <w:t xml:space="preserve"># On retient donc le bareme par quotient de la memoire fiscale du projet.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HYPOTHESES (a documenter dans le rapport — couverture des impots directs) :</w:t>
      </w:r>
      <w:r>
        <w:br/>
      </w:r>
      <w:r>
        <w:rPr>
          <w:rStyle w:val="CommentTok"/>
        </w:rPr>
        <w:t xml:space="preserve">#   - Assujettis = salaries "formels stricts" : bulletin de paie (s04q42==1)</w:t>
      </w:r>
      <w:r>
        <w:br/>
      </w:r>
      <w:r>
        <w:rPr>
          <w:rStyle w:val="CommentTok"/>
        </w:rPr>
        <w:t xml:space="preserve">#     ET cotisation CGRAE/CNPS (s04q38==1). Scenario de robustesse "elargi" :</w:t>
      </w:r>
      <w:r>
        <w:br/>
      </w:r>
      <w:r>
        <w:rPr>
          <w:rStyle w:val="CommentTok"/>
        </w:rPr>
        <w:t xml:space="preserve">#     bulletin OU cotisation.</w:t>
      </w:r>
      <w:r>
        <w:br/>
      </w:r>
      <w:r>
        <w:rPr>
          <w:rStyle w:val="CommentTok"/>
        </w:rPr>
        <w:t xml:space="preserve">#   - Assiette = salaire annuel harmonise de l'emploi principal (ehcvm_individu,</w:t>
      </w:r>
      <w:r>
        <w:br/>
      </w:r>
      <w:r>
        <w:rPr>
          <w:rStyle w:val="CommentTok"/>
        </w:rPr>
        <w:t xml:space="preserve">#     variable `salaire`). L'emploi secondaire est exclu (formalite inconnue)</w:t>
      </w:r>
      <w:r>
        <w:br/>
      </w:r>
      <w:r>
        <w:rPr>
          <w:rStyle w:val="CommentTok"/>
        </w:rPr>
        <w:t xml:space="preserve">#     -&gt; estimation en borne basse.</w:t>
      </w:r>
      <w:r>
        <w:br/>
      </w:r>
      <w:r>
        <w:rPr>
          <w:rStyle w:val="CommentTok"/>
        </w:rPr>
        <w:t xml:space="preserve">#   - Enfants a charge (&lt;18 ans) attribues au salarie formel le mieux paye du</w:t>
      </w:r>
      <w:r>
        <w:br/>
      </w:r>
      <w:r>
        <w:rPr>
          <w:rStyle w:val="CommentTok"/>
        </w:rPr>
        <w:t xml:space="preserve">#     menage ; les autres salaries ne portent que leurs parts d'etat civil.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ENTREE :  DATA/ehcvm_individu_CIV2021.dta</w:t>
      </w:r>
      <w:r>
        <w:br/>
      </w:r>
      <w:r>
        <w:rPr>
          <w:rStyle w:val="CommentTok"/>
        </w:rPr>
        <w:t xml:space="preserve">#           01_data_sources/Datain/Menage/s04_me_CIV2021.dta  (flags formalite)</w:t>
      </w:r>
      <w:r>
        <w:br/>
      </w:r>
      <w:r>
        <w:rPr>
          <w:rStyle w:val="CommentTok"/>
        </w:rPr>
        <w:t xml:space="preserve">#           SILVER/04/fiscal_data_analysis_ready.parquet</w:t>
      </w:r>
      <w:r>
        <w:br/>
      </w:r>
      <w:r>
        <w:rPr>
          <w:rStyle w:val="CommentTok"/>
        </w:rPr>
        <w:t xml:space="preserve"># SORTIE :  SILVER/16/direct_taxes.parquet</w:t>
      </w:r>
      <w:r>
        <w:br/>
      </w:r>
      <w:r>
        <w:rPr>
          <w:rStyle w:val="CommentTok"/>
        </w:rPr>
        <w:t xml:space="preserve">#           TABLES/16/16_01_irpp_by_decile.xlsx</w:t>
      </w:r>
      <w:r>
        <w:br/>
      </w:r>
      <w:r>
        <w:rPr>
          <w:rStyle w:val="CommentTok"/>
        </w:rPr>
        <w:t xml:space="preserve">#           TABLES/16/16_02_cotisations_by_decile.xlsx</w:t>
      </w:r>
      <w:r>
        <w:br/>
      </w:r>
      <w:r>
        <w:rPr>
          <w:rStyle w:val="CommentTok"/>
        </w:rPr>
        <w:t xml:space="preserve">#           TABLES/16/16_03_coverage_kakwani.xlsx</w:t>
      </w:r>
      <w:r>
        <w:br/>
      </w:r>
      <w:r>
        <w:rPr>
          <w:rStyle w:val="CommentTok"/>
        </w:rPr>
        <w:t xml:space="preserve">#           FIGS/fig16_direct_burden_decile.png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AUTEUR : CAE — ANStat</w:t>
      </w:r>
      <w:r>
        <w:br/>
      </w:r>
      <w:r>
        <w:br/>
      </w:r>
      <w:r>
        <w:rPr>
          <w:rStyle w:val="NormalTok"/>
        </w:rPr>
        <w:t xml:space="preserve">direct_taxes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(paths) {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message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"&gt;&gt;&gt; ETAPE 16 : Impots directs (IS, CN, IGR) et cotisations (CNPS, CMU)"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── Parametres fiscaux (CGI 2021) ──────────────────────────────────────────</w:t>
      </w:r>
      <w:r>
        <w:br/>
      </w:r>
      <w:r>
        <w:rPr>
          <w:rStyle w:val="NormalTok"/>
        </w:rPr>
        <w:t xml:space="preserve">  TAUX_IS     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0.012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1,5 % de BI = 1,2 % du SBI</w:t>
      </w:r>
      <w:r>
        <w:br/>
      </w:r>
      <w:r>
        <w:rPr>
          <w:rStyle w:val="NormalTok"/>
        </w:rPr>
        <w:t xml:space="preserve">  ABATTEMENT  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0.80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# base imposable = 80 % du SBI</w:t>
      </w:r>
      <w:r>
        <w:br/>
      </w:r>
      <w:r>
        <w:rPr>
          <w:rStyle w:val="NormalTok"/>
        </w:rPr>
        <w:t xml:space="preserve">  TAUX_CNPS   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0.063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part salariee retraite</w:t>
      </w:r>
      <w:r>
        <w:br/>
      </w:r>
      <w:r>
        <w:rPr>
          <w:rStyle w:val="NormalTok"/>
        </w:rPr>
        <w:t xml:space="preserve">  PLAFOND_CNPS_M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1647315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plafond mensuel de l'assiette CNPS (FCFA)</w:t>
      </w:r>
      <w:r>
        <w:br/>
      </w:r>
      <w:r>
        <w:rPr>
          <w:rStyle w:val="NormalTok"/>
        </w:rPr>
        <w:t xml:space="preserve">  CMU_MENSUEL 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retenue CMU simulee, part salariale (FCFA/mois)</w:t>
      </w:r>
      <w:r>
        <w:br/>
      </w:r>
      <w:r>
        <w:rPr>
          <w:rStyle w:val="NormalTok"/>
        </w:rPr>
        <w:t xml:space="preserve">  PLAFOND_PARTS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── Contribution Nationale : bareme mensuel par tranches sur BI ────────────</w:t>
      </w:r>
      <w:r>
        <w:br/>
      </w:r>
      <w:r>
        <w:rPr>
          <w:rStyle w:val="NormalTok"/>
        </w:rPr>
        <w:t xml:space="preserve">  calc_cn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(bi)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(bi, </w:t>
      </w:r>
      <w:r>
        <w:rPr>
          <w:rStyle w:val="DecValTok"/>
        </w:rPr>
        <w:t xml:space="preserve">130000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50000</w:t>
      </w:r>
      <w:r>
        <w:rPr>
          <w:rStyle w:val="NormalTok"/>
        </w:rPr>
        <w:t xml:space="preserve">) 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(bi, </w:t>
      </w:r>
      <w:r>
        <w:rPr>
          <w:rStyle w:val="DecValTok"/>
        </w:rPr>
        <w:t xml:space="preserve">200000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130000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bi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200000</w:t>
      </w:r>
      <w:r>
        <w:rPr>
          <w:rStyle w:val="NormalTok"/>
        </w:rPr>
        <w:t xml:space="preserve">)              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0.100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── IGR : bareme mensuel par part (Q = R/N) ────────────────────────────────</w:t>
      </w:r>
      <w:r>
        <w:br/>
      </w:r>
      <w:r>
        <w:rPr>
          <w:rStyle w:val="NormalTok"/>
        </w:rPr>
        <w:t xml:space="preserve">  calc_igr_part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(q) {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case_when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q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25000</w:t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q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45000</w:t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q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2273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q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60000</w:t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q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4076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q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80000</w:t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q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7083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q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q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q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120000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q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15769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q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140000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q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21296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q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160000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q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27500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q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180000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q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34310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q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200000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q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41667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       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q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57813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── 1. Chargement individus (agregat harmonise INS) ────────────────────────</w:t>
      </w:r>
      <w:r>
        <w:br/>
      </w:r>
      <w:r>
        <w:rPr>
          <w:rStyle w:val="NormalTok"/>
        </w:rPr>
        <w:t xml:space="preserve">  ind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load_raw_dta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"ehcvm_individu_CIV2021.dta"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col_select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"hhid"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"grappe"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"menage"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"numind"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"mstat"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</w:t>
      </w:r>
      <w:r>
        <w:rPr>
          <w:rStyle w:val="StringTok"/>
        </w:rPr>
        <w:t xml:space="preserve">"salaire"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"salaire_sec"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"emploi_sec"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"hhweight"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assert_required_columns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ind,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"hhid"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"grappe"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"menage"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"numind"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"mstat"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"salaire"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object_name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"ehcvm_individu_CIV2021.dta"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── 2. Flags de formalite depuis le module emploi brut (s04) ───────────────</w:t>
      </w:r>
      <w:r>
        <w:br/>
      </w:r>
      <w:r>
        <w:rPr>
          <w:rStyle w:val="NormalTok"/>
        </w:rPr>
        <w:t xml:space="preserve">  s04_path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source_file_path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"Datain"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"Menage"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"s04_me_CIV2021.dta"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"Module emploi s04"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s04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s04_path,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col_select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"grappe"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"menage"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"individu"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"s04q38"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"s04q42"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transmute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grappe, menage,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numind        =</w:t>
      </w:r>
      <w:r>
        <w:rPr>
          <w:rStyle w:val="NormalTok"/>
        </w:rPr>
        <w:t xml:space="preserve"> individu,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bulletin_paie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(s04q42)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cotise_caisse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(s04q38)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L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ind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ind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left_join</w:t>
      </w:r>
      <w:r>
        <w:rPr>
          <w:rStyle w:val="NormalTok"/>
        </w:rPr>
        <w:t xml:space="preserve">(s04,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"grappe"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"menage"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"numind"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salaire      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coalesce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(salaire),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bulletin_paie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coalesce</w:t>
      </w:r>
      <w:r>
        <w:rPr>
          <w:rStyle w:val="NormalTok"/>
        </w:rPr>
        <w:t xml:space="preserve">(bulletin_paie,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cotise_caisse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coalesce</w:t>
      </w:r>
      <w:r>
        <w:rPr>
          <w:rStyle w:val="NormalTok"/>
        </w:rPr>
        <w:t xml:space="preserve">(cotise_caisse,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formel_strict =</w:t>
      </w:r>
      <w:r>
        <w:rPr>
          <w:rStyle w:val="NormalTok"/>
        </w:rPr>
        <w:t xml:space="preserve"> salaire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bulletin_paie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cotise_caisse,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formel_large  =</w:t>
      </w:r>
      <w:r>
        <w:rPr>
          <w:rStyle w:val="NormalTok"/>
        </w:rPr>
        <w:t xml:space="preserve"> salaire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(bulletin_paie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cotise_caisse)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n_sal 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(ind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salaire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n_strict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(ind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formel_strict)</w:t>
      </w:r>
      <w:r>
        <w:br/>
      </w:r>
      <w:r>
        <w:rPr>
          <w:rStyle w:val="NormalTok"/>
        </w:rPr>
        <w:t xml:space="preserve">  n_large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(ind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formel_large)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message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sprintf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  Salaries (salaire &gt; 0) : %d | formels stricts : %d (%.1f %%) | elargis : %d (%.1f %%)"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n_sal, n_strict,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n_strict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n_sal, n_large,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n_large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n_sal</w:t>
      </w:r>
      <w:r>
        <w:br/>
      </w:r>
      <w:r>
        <w:rPr>
          <w:rStyle w:val="NormalTok"/>
        </w:rPr>
        <w:t xml:space="preserve">  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── 3. Quotient familial ───────────────────────────────────────────────────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Parts d'etat civil : marie (2,3) = 2 ; veuf (5) = 1,5 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celibataire / union libre / divorce / separe (1,4,6,7) = 1.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Enfants (&lt;18 ans) du menage : +0,5 part chacun, attribues au salarie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formel le mieux paye du menage. Plafond legal : 5 parts.</w:t>
      </w:r>
      <w:r>
        <w:br/>
      </w:r>
      <w:r>
        <w:rPr>
          <w:rStyle w:val="NormalTok"/>
        </w:rPr>
        <w:t xml:space="preserve">  enfants_hh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ind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(hhid)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n_enfants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(age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.groups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"drop"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ind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ind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left_join</w:t>
      </w:r>
      <w:r>
        <w:rPr>
          <w:rStyle w:val="NormalTok"/>
        </w:rPr>
        <w:t xml:space="preserve">(enfants_hh,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"hhid"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(hhid)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rang_salaire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(salaire)),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top_earner   =</w:t>
      </w:r>
      <w:r>
        <w:rPr>
          <w:rStyle w:val="NormalTok"/>
        </w:rPr>
        <w:t xml:space="preserve"> formel_strict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rang_salaire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(rang_salaire[formel_strict], 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ungroup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parts_etat_civil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case_when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(mstat)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DataTypeTok"/>
        </w:rPr>
        <w:t xml:space="preserve">L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DataTypeTok"/>
        </w:rPr>
        <w:t xml:space="preserve">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(mstat)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DataTypeTok"/>
        </w:rPr>
        <w:t xml:space="preserve">L</w:t>
      </w:r>
      <w:r>
        <w:rPr>
          <w:rStyle w:val="NormalTok"/>
        </w:rPr>
        <w:t xml:space="preserve">         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                            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n_parts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parts_etat_civil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(top_earner,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n_enfants,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PLAFOND_PARTS</w:t>
      </w:r>
      <w:r>
        <w:br/>
      </w:r>
      <w:r>
        <w:rPr>
          <w:rStyle w:val="NormalTok"/>
        </w:rPr>
        <w:t xml:space="preserve">      )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── 4. Calcul des prelevements mensuels par salarie ────────────────────────</w:t>
      </w:r>
      <w:r>
        <w:br/>
      </w:r>
      <w:r>
        <w:rPr>
          <w:rStyle w:val="NormalTok"/>
        </w:rPr>
        <w:t xml:space="preserve">  calcule_prelevements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(df, flag_formel) {</w:t>
      </w:r>
      <w:r>
        <w:br/>
      </w:r>
      <w:r>
        <w:rPr>
          <w:rStyle w:val="NormalTok"/>
        </w:rPr>
        <w:t xml:space="preserve">    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assujetti =</w:t>
      </w:r>
      <w:r>
        <w:rPr>
          <w:rStyle w:val="NormalTok"/>
        </w:rPr>
        <w:t xml:space="preserve"> .data[[flag_formel]],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sbi_m 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(assujetti, salaire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bi_m      =</w:t>
      </w:r>
      <w:r>
        <w:rPr>
          <w:rStyle w:val="NormalTok"/>
        </w:rPr>
        <w:t xml:space="preserve"> ABATTEMENT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sbi_m,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is_m      =</w:t>
      </w:r>
      <w:r>
        <w:rPr>
          <w:rStyle w:val="NormalTok"/>
        </w:rPr>
        <w:t xml:space="preserve"> TAUX_IS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sbi_m,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cn_m  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calc_cn</w:t>
      </w:r>
      <w:r>
        <w:rPr>
          <w:rStyle w:val="NormalTok"/>
        </w:rPr>
        <w:t xml:space="preserve">(bi_m),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r_m       =</w:t>
      </w:r>
      <w:r>
        <w:rPr>
          <w:rStyle w:val="NormalTok"/>
        </w:rPr>
        <w:t xml:space="preserve"> ABATTEMENT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(sbi_m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is_m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cn_m),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q_m       =</w:t>
      </w:r>
      <w:r>
        <w:rPr>
          <w:rStyle w:val="NormalTok"/>
        </w:rPr>
        <w:t xml:space="preserve"> r_m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n_parts,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igr_m 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calc_igr_part</w:t>
      </w:r>
      <w:r>
        <w:rPr>
          <w:rStyle w:val="NormalTok"/>
        </w:rPr>
        <w:t xml:space="preserve">(q_m))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n_parts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cnps_m    =</w:t>
      </w:r>
      <w:r>
        <w:rPr>
          <w:rStyle w:val="NormalTok"/>
        </w:rPr>
        <w:t xml:space="preserve"> TAUX_CNPS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(sbi_m, PLAFOND_CNPS_M),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cmu_m 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(assujetti, CMU_MENSUEL,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irpp_an   =</w:t>
      </w:r>
      <w:r>
        <w:rPr>
          <w:rStyle w:val="NormalTok"/>
        </w:rPr>
        <w:t xml:space="preserve"> (is_m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cn_m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igr_m)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cotis_an  =</w:t>
      </w:r>
      <w:r>
        <w:rPr>
          <w:rStyle w:val="NormalTok"/>
        </w:rPr>
        <w:t xml:space="preserve"> (cnps_m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cmu_m)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br/>
      </w:r>
      <w:r>
        <w:rPr>
          <w:rStyle w:val="NormalTok"/>
        </w:rPr>
        <w:t xml:space="preserve">      )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ind_strict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calcule_prelevements</w:t>
      </w:r>
      <w:r>
        <w:rPr>
          <w:rStyle w:val="NormalTok"/>
        </w:rPr>
        <w:t xml:space="preserve">(ind, </w:t>
      </w:r>
      <w:r>
        <w:rPr>
          <w:rStyle w:val="StringTok"/>
        </w:rPr>
        <w:t xml:space="preserve">"formel_strict"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ind_large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calcule_prelevements</w:t>
      </w:r>
      <w:r>
        <w:rPr>
          <w:rStyle w:val="NormalTok"/>
        </w:rPr>
        <w:t xml:space="preserve">(ind, </w:t>
      </w:r>
      <w:r>
        <w:rPr>
          <w:rStyle w:val="StringTok"/>
        </w:rPr>
        <w:t xml:space="preserve">"formel_large"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Controles de coherence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stopifnot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(ind_strict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irpp_an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(ind_strict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cnps_m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TAUX_CNPS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PLAFOND_CNPS_M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(ind_strict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igr_m[ind_strict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q_m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25000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── 5. Agregation menage ───────────────────────────────────────────────────</w:t>
      </w:r>
      <w:r>
        <w:br/>
      </w:r>
      <w:r>
        <w:rPr>
          <w:rStyle w:val="NormalTok"/>
        </w:rPr>
        <w:t xml:space="preserve">  agrege_hh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(df, </w:t>
      </w:r>
      <w:r>
        <w:rPr>
          <w:rStyle w:val="AttributeTok"/>
        </w:rPr>
        <w:t xml:space="preserve">suffixe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(hhid)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pecialCharTok"/>
        </w:rPr>
        <w:t xml:space="preserve">!!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"n_salaries_formels"</w:t>
      </w:r>
      <w:r>
        <w:rPr>
          <w:rStyle w:val="NormalTok"/>
        </w:rPr>
        <w:t xml:space="preserve">, suffixe) </w:t>
      </w:r>
      <w:r>
        <w:rPr>
          <w:rStyle w:val="SpecialCharTok"/>
        </w:rPr>
        <w:t xml:space="preserve">:=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(assujetti),</w:t>
      </w:r>
      <w:r>
        <w:br/>
      </w:r>
      <w:r>
        <w:rPr>
          <w:rStyle w:val="NormalTok"/>
        </w:rPr>
        <w:t xml:space="preserve">        </w:t>
      </w:r>
      <w:r>
        <w:rPr>
          <w:rStyle w:val="SpecialCharTok"/>
        </w:rPr>
        <w:t xml:space="preserve">!!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"irpp"</w:t>
      </w:r>
      <w:r>
        <w:rPr>
          <w:rStyle w:val="NormalTok"/>
        </w:rPr>
        <w:t xml:space="preserve">, suffixe)               </w:t>
      </w:r>
      <w:r>
        <w:rPr>
          <w:rStyle w:val="SpecialCharTok"/>
        </w:rPr>
        <w:t xml:space="preserve">:=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(irpp_an),</w:t>
      </w:r>
      <w:r>
        <w:br/>
      </w:r>
      <w:r>
        <w:rPr>
          <w:rStyle w:val="NormalTok"/>
        </w:rPr>
        <w:t xml:space="preserve">        </w:t>
      </w:r>
      <w:r>
        <w:rPr>
          <w:rStyle w:val="SpecialCharTok"/>
        </w:rPr>
        <w:t xml:space="preserve">!!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"cotisations"</w:t>
      </w:r>
      <w:r>
        <w:rPr>
          <w:rStyle w:val="NormalTok"/>
        </w:rPr>
        <w:t xml:space="preserve">, suffixe)        </w:t>
      </w:r>
      <w:r>
        <w:rPr>
          <w:rStyle w:val="SpecialCharTok"/>
        </w:rPr>
        <w:t xml:space="preserve">:=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(cotis_an),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.groups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"drop"</w:t>
      </w:r>
      <w:r>
        <w:br/>
      </w:r>
      <w:r>
        <w:rPr>
          <w:rStyle w:val="NormalTok"/>
        </w:rPr>
        <w:t xml:space="preserve">      )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hh_direct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agrege_hh</w:t>
      </w:r>
      <w:r>
        <w:rPr>
          <w:rStyle w:val="NormalTok"/>
        </w:rPr>
        <w:t xml:space="preserve">(ind_strict)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left_join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agrege_hh</w:t>
      </w:r>
      <w:r>
        <w:rPr>
          <w:rStyle w:val="NormalTok"/>
        </w:rPr>
        <w:t xml:space="preserve">(ind_large, </w:t>
      </w:r>
      <w:r>
        <w:rPr>
          <w:rStyle w:val="StringTok"/>
        </w:rPr>
        <w:t xml:space="preserve">"_large"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"hhid"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── 6. Jointure au fichier fiscal menage et Net Market Income ──────────────</w:t>
      </w:r>
      <w:r>
        <w:br/>
      </w:r>
      <w:r>
        <w:rPr>
          <w:rStyle w:val="NormalTok"/>
        </w:rPr>
        <w:t xml:space="preserve">  fiscal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load_parquet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file.path</w:t>
      </w:r>
      <w:r>
        <w:rPr>
          <w:rStyle w:val="NormalTok"/>
        </w:rPr>
        <w:t xml:space="preserve">(paths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SILVER, </w:t>
      </w:r>
      <w:r>
        <w:rPr>
          <w:rStyle w:val="StringTok"/>
        </w:rPr>
        <w:t xml:space="preserve">"04"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"fiscal_data_analysis_ready.parquet"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assert_required_columns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fiscal,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"hhid"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"hhweight"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"conso_w"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"decile"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"quintile"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</w:t>
      </w:r>
      <w:r>
        <w:rPr>
          <w:rStyle w:val="StringTok"/>
        </w:rPr>
        <w:t xml:space="preserve">"market_income"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"consumable_income"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object_name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"fiscal_data_analysis_ready.parquet"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hh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fiscal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left_join</w:t>
      </w:r>
      <w:r>
        <w:rPr>
          <w:rStyle w:val="NormalTok"/>
        </w:rPr>
        <w:t xml:space="preserve">(hh_direct,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"hhid"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(n_salaries_formels, irpp, cotisations,</w:t>
      </w:r>
      <w:r>
        <w:br/>
      </w:r>
      <w:r>
        <w:rPr>
          <w:rStyle w:val="NormalTok"/>
        </w:rPr>
        <w:t xml:space="preserve">          n_salaries_formels_large, irpp_large, cotisations_large),</w:t>
      </w:r>
      <w:r>
        <w:br/>
      </w:r>
      <w:r>
        <w:rPr>
          <w:rStyle w:val="NormalTok"/>
        </w:rPr>
        <w:t xml:space="preserve">       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coalesce</w:t>
      </w:r>
      <w:r>
        <w:rPr>
          <w:rStyle w:val="NormalTok"/>
        </w:rPr>
        <w:t xml:space="preserve">(.x,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net_market_income       =</w:t>
      </w:r>
      <w:r>
        <w:rPr>
          <w:rStyle w:val="NormalTok"/>
        </w:rPr>
        <w:t xml:space="preserve"> market_income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irpp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cotisations,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net_market_income_large =</w:t>
      </w:r>
      <w:r>
        <w:rPr>
          <w:rStyle w:val="NormalTok"/>
        </w:rPr>
        <w:t xml:space="preserve"> market_income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irpp_large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cotisations_large,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eff_irpp                =</w:t>
      </w:r>
      <w:r>
        <w:rPr>
          <w:rStyle w:val="NormalTok"/>
        </w:rPr>
        <w:t xml:space="preserve"> irpp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conso_w,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eff_cotis               =</w:t>
      </w:r>
      <w:r>
        <w:rPr>
          <w:rStyle w:val="NormalTok"/>
        </w:rPr>
        <w:t xml:space="preserve"> cotisations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conso_w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n_orphelins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(hh_direct)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(hh_direct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hhid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fiscal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hhid)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(n_orphelins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warning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sprintf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%d menages du module emploi absents du fichier fiscal"</w:t>
      </w:r>
      <w:r>
        <w:rPr>
          <w:rStyle w:val="NormalTok"/>
        </w:rPr>
        <w:t xml:space="preserve">, n_orphelins))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save_parquet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hh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hhid, hhweight, decile, quintile, milieu, region, conso_w,</w:t>
      </w:r>
      <w:r>
        <w:br/>
      </w:r>
      <w:r>
        <w:rPr>
          <w:rStyle w:val="NormalTok"/>
        </w:rPr>
        <w:t xml:space="preserve">      n_salaries_formels, irpp, cotisations, net_market_income,</w:t>
      </w:r>
      <w:r>
        <w:br/>
      </w:r>
      <w:r>
        <w:rPr>
          <w:rStyle w:val="NormalTok"/>
        </w:rPr>
        <w:t xml:space="preserve">      n_salaries_formels_large, irpp_large, cotisations_large,</w:t>
      </w:r>
      <w:r>
        <w:br/>
      </w:r>
      <w:r>
        <w:rPr>
          <w:rStyle w:val="NormalTok"/>
        </w:rPr>
        <w:t xml:space="preserve">      net_market_income_large, eff_irpp, eff_cotis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file.path</w:t>
      </w:r>
      <w:r>
        <w:rPr>
          <w:rStyle w:val="NormalTok"/>
        </w:rPr>
        <w:t xml:space="preserve">(paths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SILVER, </w:t>
      </w:r>
      <w:r>
        <w:rPr>
          <w:rStyle w:val="StringTok"/>
        </w:rPr>
        <w:t xml:space="preserve">"16"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"direct_taxes.parquet"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── 7. Tables par decile ───────────────────────────────────────────────────</w:t>
      </w:r>
      <w:r>
        <w:br/>
      </w:r>
      <w:r>
        <w:rPr>
          <w:rStyle w:val="NormalTok"/>
        </w:rPr>
        <w:t xml:space="preserve">  table_decile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(var, eff_var) {</w:t>
      </w:r>
      <w:r>
        <w:br/>
      </w:r>
      <w:r>
        <w:rPr>
          <w:rStyle w:val="NormalTok"/>
        </w:rPr>
        <w:t xml:space="preserve">    hh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(decile)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n_hh         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pct_hh_formel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weighted.mean</w:t>
      </w:r>
      <w:r>
        <w:rPr>
          <w:rStyle w:val="NormalTok"/>
        </w:rPr>
        <w:t xml:space="preserve">(n_salaries_formels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hhweight),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moyenne   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weighted.mean</w:t>
      </w:r>
      <w:r>
        <w:rPr>
          <w:rStyle w:val="NormalTok"/>
        </w:rPr>
        <w:t xml:space="preserve">(.data[[var]], hhweight),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taux_effectif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weighted.mean</w:t>
      </w:r>
      <w:r>
        <w:rPr>
          <w:rStyle w:val="NormalTok"/>
        </w:rPr>
        <w:t xml:space="preserve">(.data[[eff_var]], hhweight),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masse     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(.data[[var]]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hhweight),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.groups    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"drop"</w:t>
      </w:r>
      <w:r>
        <w:br/>
      </w:r>
      <w:r>
        <w:rPr>
          <w:rStyle w:val="NormalTok"/>
        </w:rPr>
        <w:t xml:space="preserve">      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part_masse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masse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(masse))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irpp_decile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table_decile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"irpp"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"eff_irpp"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cotis_decile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table_decile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"cotisations"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"eff_cotis"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message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  IRPP par decile (taux effectif %, part de la masse %) 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(irpp_decile)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export_excel</w:t>
      </w:r>
      <w:r>
        <w:rPr>
          <w:rStyle w:val="NormalTok"/>
        </w:rPr>
        <w:t xml:space="preserve">(irpp_decile,</w:t>
      </w:r>
      <w:r>
        <w:br/>
      </w:r>
      <w:r>
        <w:rPr>
          <w:rStyle w:val="NormalTok"/>
        </w:rPr>
        <w:t xml:space="preserve">               </w:t>
      </w:r>
      <w:r>
        <w:rPr>
          <w:rStyle w:val="FunctionTok"/>
        </w:rPr>
        <w:t xml:space="preserve">file.path</w:t>
      </w:r>
      <w:r>
        <w:rPr>
          <w:rStyle w:val="NormalTok"/>
        </w:rPr>
        <w:t xml:space="preserve">(paths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TABLES, </w:t>
      </w:r>
      <w:r>
        <w:rPr>
          <w:rStyle w:val="StringTok"/>
        </w:rPr>
        <w:t xml:space="preserve">"16"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"16_01_irpp_by_decile.xlsx"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export_excel</w:t>
      </w:r>
      <w:r>
        <w:rPr>
          <w:rStyle w:val="NormalTok"/>
        </w:rPr>
        <w:t xml:space="preserve">(cotis_decile,</w:t>
      </w:r>
      <w:r>
        <w:br/>
      </w:r>
      <w:r>
        <w:rPr>
          <w:rStyle w:val="NormalTok"/>
        </w:rPr>
        <w:t xml:space="preserve">               </w:t>
      </w:r>
      <w:r>
        <w:rPr>
          <w:rStyle w:val="FunctionTok"/>
        </w:rPr>
        <w:t xml:space="preserve">file.path</w:t>
      </w:r>
      <w:r>
        <w:rPr>
          <w:rStyle w:val="NormalTok"/>
        </w:rPr>
        <w:t xml:space="preserve">(paths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TABLES, </w:t>
      </w:r>
      <w:r>
        <w:rPr>
          <w:rStyle w:val="StringTok"/>
        </w:rPr>
        <w:t xml:space="preserve">"16"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"16_02_cotisations_by_decile.xlsx"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── 8. Couverture, progressivite (Kakwani), Reynolds-Smolensky ────────────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Le Market Income est proxie par la consommation : pour quelques menages a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salaire declare eleve mais consommation modeste, irpp + cotisations peut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exceder conso_w. On borne le net a zero pour les indices (bottom-coding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CEQ standard) et on trace le nombre de menages concernes.</w:t>
      </w:r>
      <w:r>
        <w:br/>
      </w:r>
      <w:r>
        <w:rPr>
          <w:rStyle w:val="NormalTok"/>
        </w:rPr>
        <w:t xml:space="preserve">  n_neg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(hh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net_market_income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(n_neg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message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sprintf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  Attention : %d menages avec net_market_income &lt; 0 (borne a 0 pour le Gini)"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n_neg</w:t>
      </w:r>
      <w:r>
        <w:br/>
      </w:r>
      <w:r>
        <w:rPr>
          <w:rStyle w:val="NormalTok"/>
        </w:rPr>
        <w:t xml:space="preserve">    ))</w:t>
      </w:r>
      <w:r>
        <w:br/>
      </w:r>
      <w:r>
        <w:rPr>
          <w:rStyle w:val="NormalTok"/>
        </w:rPr>
        <w:t xml:space="preserve">  net_mi_pos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pmax</w:t>
      </w:r>
      <w:r>
        <w:rPr>
          <w:rStyle w:val="NormalTok"/>
        </w:rPr>
        <w:t xml:space="preserve">(hh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net_market_income,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w_ind_strict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(ind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hhweight[ind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formel_strict],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w_ind_sal 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(ind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hhweight[ind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salaire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 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resume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indicateur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"Salaries formels stricts (pondere)"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"Salaries (salaire &gt; 0, pondere)"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"Taux de formalite parmi les salaries (%)"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"Menages avec au moins un salarie formel (%)"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"Masse IRPP simulee (FCFA/an, pondere)"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"Masse cotisations simulees (FCFA/an, pondere)"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"Masse IRPP — scenario elargi (FCFA/an)"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"Kakwani IRPP (welfare = conso_w)"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"Kakwani cotisations"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"Gini market income"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"Gini net market income"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"Reynolds-Smolensky (Gini net - Gini market)"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valeur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w_ind_strict,</w:t>
      </w:r>
      <w:r>
        <w:br/>
      </w:r>
      <w:r>
        <w:rPr>
          <w:rStyle w:val="NormalTok"/>
        </w:rPr>
        <w:t xml:space="preserve">      w_ind_sal,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w_ind_strict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w_ind_sal,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weighted.mean</w:t>
      </w:r>
      <w:r>
        <w:rPr>
          <w:rStyle w:val="NormalTok"/>
        </w:rPr>
        <w:t xml:space="preserve">(hh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n_salaries_formels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hh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hhweight),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(hh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irpp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hh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hhweight),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(hh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cotisations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hh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hhweight),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(hh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irpp_large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hh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hhweight),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kakwani_index</w:t>
      </w:r>
      <w:r>
        <w:rPr>
          <w:rStyle w:val="NormalTok"/>
        </w:rPr>
        <w:t xml:space="preserve">(hh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irpp, hh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conso_w, hh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hhweight),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kakwani_index</w:t>
      </w:r>
      <w:r>
        <w:rPr>
          <w:rStyle w:val="NormalTok"/>
        </w:rPr>
        <w:t xml:space="preserve">(hh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cotisations, hh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conso_w, hh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hhweight),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weighted_gini</w:t>
      </w:r>
      <w:r>
        <w:rPr>
          <w:rStyle w:val="NormalTok"/>
        </w:rPr>
        <w:t xml:space="preserve">(hh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market_income, hh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hhweight),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weighted_gini</w:t>
      </w:r>
      <w:r>
        <w:rPr>
          <w:rStyle w:val="NormalTok"/>
        </w:rPr>
        <w:t xml:space="preserve">(net_mi_pos, hh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hhweight),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reynolds_smolensky</w:t>
      </w:r>
      <w:r>
        <w:rPr>
          <w:rStyle w:val="NormalTok"/>
        </w:rPr>
        <w:t xml:space="preserve">(hh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market_income, net_mi_pos, hh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hhweight)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message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  Couverture et progressivite 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(resume))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export_excel</w:t>
      </w:r>
      <w:r>
        <w:rPr>
          <w:rStyle w:val="NormalTok"/>
        </w:rPr>
        <w:t xml:space="preserve">(resume,</w:t>
      </w:r>
      <w:r>
        <w:br/>
      </w:r>
      <w:r>
        <w:rPr>
          <w:rStyle w:val="NormalTok"/>
        </w:rPr>
        <w:t xml:space="preserve">               </w:t>
      </w:r>
      <w:r>
        <w:rPr>
          <w:rStyle w:val="FunctionTok"/>
        </w:rPr>
        <w:t xml:space="preserve">file.path</w:t>
      </w:r>
      <w:r>
        <w:rPr>
          <w:rStyle w:val="NormalTok"/>
        </w:rPr>
        <w:t xml:space="preserve">(paths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TABLES, </w:t>
      </w:r>
      <w:r>
        <w:rPr>
          <w:rStyle w:val="StringTok"/>
        </w:rPr>
        <w:t xml:space="preserve">"16"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"16_03_coverage_kakwani.xlsx"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── 9. Figure : charge directe par decile ──────────────────────────────────</w:t>
      </w:r>
      <w:r>
        <w:br/>
      </w:r>
      <w:r>
        <w:rPr>
          <w:rStyle w:val="NormalTok"/>
        </w:rPr>
        <w:t xml:space="preserve">  fig_data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hh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(decile)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IRPP       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weighted.mean</w:t>
      </w:r>
      <w:r>
        <w:rPr>
          <w:rStyle w:val="NormalTok"/>
        </w:rPr>
        <w:t xml:space="preserve">(eff_irpp, hhweight),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Cotisations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weighted.mean</w:t>
      </w:r>
      <w:r>
        <w:rPr>
          <w:rStyle w:val="NormalTok"/>
        </w:rPr>
        <w:t xml:space="preserve">(eff_cotis, hhweight),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.groups  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"drop"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tidyr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pivot_longer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decile, </w:t>
      </w:r>
      <w:r>
        <w:rPr>
          <w:rStyle w:val="AttributeTok"/>
        </w:rPr>
        <w:t xml:space="preserve">names_to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"composante"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values_to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"taux"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fig16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fig_data,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(decile),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taux,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composante)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scale_fill_manual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"IRPP"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"firebrick"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"Cotisations"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title 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"Charge des impots directs et cotisations par decile"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subtitle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"Scenario formel strict — Côte d'Ivoire, EHCVM 2021"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    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"Décile de consommation (D1 = plus pauvre)"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    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"Taux effectif (% de la consommation)"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fill    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caption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"Assujettis : salariés avec bulletin de paie ET cotisation CGRAE/CNPS.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"Barèmes CGI 2021 (IS, CN, IGR par quotient familial), CNPS 6,3 % plafonnée, CMU 500 FCFA/mois."</w:t>
      </w:r>
      <w:r>
        <w:br/>
      </w:r>
      <w:r>
        <w:rPr>
          <w:rStyle w:val="NormalTok"/>
        </w:rPr>
        <w:t xml:space="preserve">      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base_size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plot.caption   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export_fig</w:t>
      </w:r>
      <w:r>
        <w:rPr>
          <w:rStyle w:val="NormalTok"/>
        </w:rPr>
        <w:t xml:space="preserve">(fig16, </w:t>
      </w:r>
      <w:r>
        <w:rPr>
          <w:rStyle w:val="FunctionTok"/>
        </w:rPr>
        <w:t xml:space="preserve">file.path</w:t>
      </w:r>
      <w:r>
        <w:rPr>
          <w:rStyle w:val="NormalTok"/>
        </w:rPr>
        <w:t xml:space="preserve">(paths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FIGS, </w:t>
      </w:r>
      <w:r>
        <w:rPr>
          <w:rStyle w:val="StringTok"/>
        </w:rPr>
        <w:t xml:space="preserve">"fig16_direct_burden_decile.png"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invisible</w:t>
      </w:r>
      <w:r>
        <w:rPr>
          <w:rStyle w:val="NormalTok"/>
        </w:rPr>
        <w:t xml:space="preserve">(hh)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73"/>
    <w:bookmarkStart w:id="74" w:name="annexe-c-fonctions-utilitaires-clés"/>
    <w:p>
      <w:pPr>
        <w:pStyle w:val="Titre1"/>
      </w:pPr>
      <w:r>
        <w:rPr>
          <w:rStyle w:val="SectionNumber"/>
        </w:rPr>
        <w:t xml:space="preserve">12</w:t>
      </w:r>
      <w:r>
        <w:tab/>
      </w:r>
      <w:r>
        <w:t xml:space="preserve">Annexe C — Fonctions utilitaires clés</w:t>
      </w:r>
    </w:p>
    <w:p>
      <w:pPr>
        <w:pStyle w:val="FirstParagraph"/>
      </w:pPr>
      <w:r>
        <w:rPr>
          <w:rStyle w:val="VerbatimChar"/>
          <w:b/>
          <w:bCs/>
        </w:rPr>
        <w:t xml:space="preserve">utils/io.R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load_raw_dta(filename, col_select)</w:t>
      </w:r>
      <w:r>
        <w:t xml:space="preserve"> </w:t>
      </w:r>
      <w:r>
        <w:t xml:space="preserve">(lecture .dta locale ou</w:t>
      </w:r>
      <w:r>
        <w:t xml:space="preserve"> </w:t>
      </w:r>
      <w:r>
        <w:t xml:space="preserve">MinIO selon</w:t>
      </w:r>
      <w:r>
        <w:t xml:space="preserve"> </w:t>
      </w:r>
      <w:r>
        <w:rPr>
          <w:rStyle w:val="VerbatimChar"/>
        </w:rPr>
        <w:t xml:space="preserve">USE_MINIO</w:t>
      </w:r>
      <w:r>
        <w:t xml:space="preserve">),</w:t>
      </w:r>
      <w:r>
        <w:t xml:space="preserve"> </w:t>
      </w:r>
      <w:r>
        <w:rPr>
          <w:rStyle w:val="VerbatimChar"/>
        </w:rPr>
        <w:t xml:space="preserve">source_file_path(...)</w:t>
      </w:r>
      <w:r>
        <w:t xml:space="preserve">,</w:t>
      </w:r>
      <w:r>
        <w:t xml:space="preserve"> </w:t>
      </w:r>
      <w:r>
        <w:rPr>
          <w:rStyle w:val="VerbatimChar"/>
        </w:rPr>
        <w:t xml:space="preserve">read_source_excel/csv()</w:t>
      </w:r>
      <w:r>
        <w:t xml:space="preserve">,</w:t>
      </w:r>
      <w:r>
        <w:t xml:space="preserve"> </w:t>
      </w:r>
      <w:r>
        <w:rPr>
          <w:rStyle w:val="VerbatimChar"/>
        </w:rPr>
        <w:t xml:space="preserve">save_parquet()/load_parquet()</w:t>
      </w:r>
      <w:r>
        <w:t xml:space="preserve">,</w:t>
      </w:r>
      <w:r>
        <w:t xml:space="preserve"> </w:t>
      </w:r>
      <w:r>
        <w:rPr>
          <w:rStyle w:val="VerbatimChar"/>
        </w:rPr>
        <w:t xml:space="preserve">export_excel()</w:t>
      </w:r>
      <w:r>
        <w:t xml:space="preserve">,</w:t>
      </w:r>
      <w:r>
        <w:t xml:space="preserve"> </w:t>
      </w:r>
      <w:r>
        <w:rPr>
          <w:rStyle w:val="VerbatimChar"/>
        </w:rPr>
        <w:t xml:space="preserve">export_fig()</w:t>
      </w:r>
      <w:r>
        <w:t xml:space="preserve">,</w:t>
      </w:r>
      <w:r>
        <w:t xml:space="preserve"> </w:t>
      </w:r>
      <w:r>
        <w:rPr>
          <w:rStyle w:val="VerbatimChar"/>
        </w:rPr>
        <w:t xml:space="preserve">assert_required_columns()</w:t>
      </w:r>
      <w:r>
        <w:t xml:space="preserve">,</w:t>
      </w:r>
      <w:r>
        <w:t xml:space="preserve"> </w:t>
      </w:r>
      <w:r>
        <w:rPr>
          <w:rStyle w:val="VerbatimChar"/>
        </w:rPr>
        <w:t xml:space="preserve">tidy_lm_robust()</w:t>
      </w:r>
      <w:r>
        <w:t xml:space="preserve"> </w:t>
      </w:r>
      <w:r>
        <w:t xml:space="preserve">(SE cluster-robustes).</w:t>
      </w:r>
    </w:p>
    <w:p>
      <w:pPr>
        <w:pStyle w:val="BodyText"/>
      </w:pPr>
      <w:r>
        <w:rPr>
          <w:rStyle w:val="VerbatimChar"/>
          <w:b/>
          <w:bCs/>
        </w:rPr>
        <w:t xml:space="preserve">utils/distributive.R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weighted_frac_rank()</w:t>
      </w:r>
      <w:r>
        <w:t xml:space="preserve"> </w:t>
      </w:r>
      <w:r>
        <w:t xml:space="preserve">(rang fractionnaire pondéré,</w:t>
      </w:r>
      <w:r>
        <w:t xml:space="preserve"> </w:t>
      </w:r>
      <w:r>
        <w:t xml:space="preserve">règle du point médian),</w:t>
      </w:r>
      <w:r>
        <w:t xml:space="preserve"> </w:t>
      </w:r>
      <w:r>
        <w:rPr>
          <w:rStyle w:val="VerbatimChar"/>
        </w:rPr>
        <w:t xml:space="preserve">weighted_gini()</w:t>
      </w:r>
      <w:r>
        <w:t xml:space="preserve">,</w:t>
      </w:r>
      <w:r>
        <w:t xml:space="preserve"> </w:t>
      </w:r>
      <w:r>
        <w:rPr>
          <w:rStyle w:val="VerbatimChar"/>
        </w:rPr>
        <w:t xml:space="preserve">weighted_conindex()</w:t>
      </w:r>
      <w:r>
        <w:t xml:space="preserve">,</w:t>
      </w:r>
      <w:r>
        <w:t xml:space="preserve"> </w:t>
      </w:r>
      <w:r>
        <w:rPr>
          <w:rStyle w:val="VerbatimChar"/>
        </w:rPr>
        <w:t xml:space="preserve">kakwani_index(t, welfare, w)</w:t>
      </w:r>
      <w:r>
        <w:t xml:space="preserve"> </w:t>
      </w:r>
      <w:r>
        <w:t xml:space="preserve">= CI(t) − Gini(welfare),</w:t>
      </w:r>
      <w:r>
        <w:t xml:space="preserve"> </w:t>
      </w:r>
      <w:r>
        <w:rPr>
          <w:rStyle w:val="VerbatimChar"/>
        </w:rPr>
        <w:t xml:space="preserve">reynolds_smolensky(avant, après, w)</w:t>
      </w:r>
      <w:r>
        <w:t xml:space="preserve">,</w:t>
      </w:r>
      <w:r>
        <w:t xml:space="preserve"> </w:t>
      </w:r>
      <w:r>
        <w:rPr>
          <w:rStyle w:val="VerbatimChar"/>
        </w:rPr>
        <w:t xml:space="preserve">weighted_ntile(x, w, n)</w:t>
      </w:r>
      <w:r>
        <w:t xml:space="preserve"> </w:t>
      </w:r>
      <w:r>
        <w:t xml:space="preserve">(équivalent</w:t>
      </w:r>
      <w:r>
        <w:t xml:space="preserve"> </w:t>
      </w:r>
      <w:r>
        <w:rPr>
          <w:rStyle w:val="VerbatimChar"/>
        </w:rPr>
        <w:t xml:space="preserve">xtile [pw=]</w:t>
      </w:r>
      <w:r>
        <w:t xml:space="preserve">),</w:t>
      </w:r>
      <w:r>
        <w:t xml:space="preserve"> </w:t>
      </w:r>
      <w:r>
        <w:rPr>
          <w:rStyle w:val="VerbatimChar"/>
        </w:rPr>
        <w:t xml:space="preserve">bootstrap_kakwani()</w:t>
      </w:r>
      <w:r>
        <w:t xml:space="preserve"> </w:t>
      </w:r>
      <w:r>
        <w:t xml:space="preserve">(500 réplications, IC percentile 95 %).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Document généré depuis le pipeline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rewrite-r</w:t>
      </w:r>
      <w:r>
        <w:rPr>
          <w:i/>
          <w:iCs/>
        </w:rPr>
        <w:t xml:space="preserve"> </w:t>
      </w:r>
      <w:r>
        <w:rPr>
          <w:i/>
          <w:iCs/>
        </w:rPr>
        <w:t xml:space="preserve">— juillet 2026. Les tables</w:t>
      </w:r>
      <w:r>
        <w:rPr>
          <w:i/>
          <w:iCs/>
        </w:rPr>
        <w:t xml:space="preserve"> </w:t>
      </w:r>
      <w:r>
        <w:rPr>
          <w:i/>
          <w:iCs/>
        </w:rPr>
        <w:t xml:space="preserve">complètes se trouvent dans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07_reports/tables/</w:t>
      </w:r>
      <w:r>
        <w:rPr>
          <w:i/>
          <w:iCs/>
        </w:rPr>
        <w:t xml:space="preserve">, les données intermédiaires dans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02_data_intermediate/</w:t>
      </w:r>
      <w:r>
        <w:rPr>
          <w:i/>
          <w:iCs/>
        </w:rPr>
        <w:t xml:space="preserve">, et le détail méthodologique des barèmes dans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00_documentation/methodologie/MEMOIRE_FISCAL_CIV2021.md</w:t>
      </w:r>
      <w:r>
        <w:rPr>
          <w:i/>
          <w:iCs/>
        </w:rPr>
        <w:t xml:space="preserve">.</w:t>
      </w:r>
    </w:p>
    <w:bookmarkEnd w:id="74"/>
    <w:sectPr w:rsidR="00F64F11" w:rsidRPr="00D7694A" w:rsidSect="00A241EB">
      <w:pgSz w:h="16838" w:w="11906"/>
      <w:pgMar w:bottom="1417" w:footer="708" w:gutter="0" w:header="708" w:left="1417" w:right="1417" w:top="1417"/>
      <w:pgNumType w:start="0"/>
      <w:cols w:space="708"/>
      <w:titlePg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3406254"/>
    <w:multiLevelType w:val="multilevel"/>
    <w:tmpl w:val="FC62F892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1">
    <w:nsid w:val="061913A1"/>
    <w:multiLevelType w:val="hybridMultilevel"/>
    <w:tmpl w:val="B22029CC"/>
    <w:lvl w:ilvl="0" w:tplc="040C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C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C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C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C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C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C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C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2">
    <w:nsid w:val="11AC13F0"/>
    <w:multiLevelType w:val="hybridMultilevel"/>
    <w:tmpl w:val="95D8EE64"/>
    <w:lvl w:ilvl="0" w:tplc="040C000F">
      <w:start w:val="1"/>
      <w:numFmt w:val="decimal"/>
      <w:lvlText w:val="%1."/>
      <w:lvlJc w:val="left"/>
      <w:pPr>
        <w:ind w:hanging="360" w:left="720"/>
      </w:pPr>
      <w:rPr>
        <w:rFonts w:hint="default"/>
      </w:rPr>
    </w:lvl>
    <w:lvl w:ilvl="1" w:tentative="1" w:tplc="040C0019">
      <w:start w:val="1"/>
      <w:numFmt w:val="lowerLetter"/>
      <w:lvlText w:val="%2."/>
      <w:lvlJc w:val="left"/>
      <w:pPr>
        <w:ind w:hanging="360" w:left="1440"/>
      </w:pPr>
    </w:lvl>
    <w:lvl w:ilvl="2" w:tentative="1" w:tplc="040C001B">
      <w:start w:val="1"/>
      <w:numFmt w:val="lowerRoman"/>
      <w:lvlText w:val="%3."/>
      <w:lvlJc w:val="right"/>
      <w:pPr>
        <w:ind w:hanging="180" w:left="2160"/>
      </w:pPr>
    </w:lvl>
    <w:lvl w:ilvl="3" w:tentative="1" w:tplc="040C000F">
      <w:start w:val="1"/>
      <w:numFmt w:val="decimal"/>
      <w:lvlText w:val="%4."/>
      <w:lvlJc w:val="left"/>
      <w:pPr>
        <w:ind w:hanging="360" w:left="2880"/>
      </w:pPr>
    </w:lvl>
    <w:lvl w:ilvl="4" w:tentative="1" w:tplc="040C0019">
      <w:start w:val="1"/>
      <w:numFmt w:val="lowerLetter"/>
      <w:lvlText w:val="%5."/>
      <w:lvlJc w:val="left"/>
      <w:pPr>
        <w:ind w:hanging="360" w:left="3600"/>
      </w:pPr>
    </w:lvl>
    <w:lvl w:ilvl="5" w:tentative="1" w:tplc="040C001B">
      <w:start w:val="1"/>
      <w:numFmt w:val="lowerRoman"/>
      <w:lvlText w:val="%6."/>
      <w:lvlJc w:val="right"/>
      <w:pPr>
        <w:ind w:hanging="180" w:left="4320"/>
      </w:pPr>
    </w:lvl>
    <w:lvl w:ilvl="6" w:tentative="1" w:tplc="040C000F">
      <w:start w:val="1"/>
      <w:numFmt w:val="decimal"/>
      <w:lvlText w:val="%7."/>
      <w:lvlJc w:val="left"/>
      <w:pPr>
        <w:ind w:hanging="360" w:left="5040"/>
      </w:pPr>
    </w:lvl>
    <w:lvl w:ilvl="7" w:tentative="1" w:tplc="040C0019">
      <w:start w:val="1"/>
      <w:numFmt w:val="lowerLetter"/>
      <w:lvlText w:val="%8."/>
      <w:lvlJc w:val="left"/>
      <w:pPr>
        <w:ind w:hanging="360" w:left="5760"/>
      </w:pPr>
    </w:lvl>
    <w:lvl w:ilvl="8" w:tentative="1" w:tplc="040C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3">
    <w:nsid w:val="12F20D66"/>
    <w:multiLevelType w:val="hybridMultilevel"/>
    <w:tmpl w:val="7FFC5130"/>
    <w:lvl w:ilvl="0" w:tplc="2FF6723E">
      <w:start w:val="1"/>
      <w:numFmt w:val="decimal"/>
      <w:lvlText w:val="%1."/>
      <w:lvlJc w:val="left"/>
      <w:pPr>
        <w:ind w:hanging="360" w:left="720"/>
      </w:pPr>
    </w:lvl>
    <w:lvl w:ilvl="1" w:tplc="1F428374">
      <w:numFmt w:val="decimal"/>
      <w:lvlText w:val=""/>
      <w:lvlJc w:val="left"/>
      <w:pPr>
        <w:ind w:firstLine="0" w:left="0"/>
      </w:pPr>
    </w:lvl>
    <w:lvl w:ilvl="2" w:tplc="6FFEFE6C">
      <w:numFmt w:val="decimal"/>
      <w:lvlText w:val=""/>
      <w:lvlJc w:val="left"/>
      <w:pPr>
        <w:ind w:firstLine="0" w:left="0"/>
      </w:pPr>
    </w:lvl>
    <w:lvl w:ilvl="3" w:tplc="04C09C30">
      <w:numFmt w:val="decimal"/>
      <w:lvlText w:val=""/>
      <w:lvlJc w:val="left"/>
      <w:pPr>
        <w:ind w:firstLine="0" w:left="0"/>
      </w:pPr>
    </w:lvl>
    <w:lvl w:ilvl="4" w:tplc="717C2306">
      <w:numFmt w:val="decimal"/>
      <w:lvlText w:val=""/>
      <w:lvlJc w:val="left"/>
      <w:pPr>
        <w:ind w:firstLine="0" w:left="0"/>
      </w:pPr>
    </w:lvl>
    <w:lvl w:ilvl="5" w:tplc="23CE0480">
      <w:numFmt w:val="decimal"/>
      <w:lvlText w:val=""/>
      <w:lvlJc w:val="left"/>
      <w:pPr>
        <w:ind w:firstLine="0" w:left="0"/>
      </w:pPr>
    </w:lvl>
    <w:lvl w:ilvl="6" w:tplc="FF782D7C">
      <w:numFmt w:val="decimal"/>
      <w:lvlText w:val=""/>
      <w:lvlJc w:val="left"/>
      <w:pPr>
        <w:ind w:firstLine="0" w:left="0"/>
      </w:pPr>
    </w:lvl>
    <w:lvl w:ilvl="7" w:tplc="4D7AD45C">
      <w:numFmt w:val="decimal"/>
      <w:lvlText w:val=""/>
      <w:lvlJc w:val="left"/>
      <w:pPr>
        <w:ind w:firstLine="0" w:left="0"/>
      </w:pPr>
    </w:lvl>
    <w:lvl w:ilvl="8" w:tplc="50C4F69C">
      <w:numFmt w:val="decimal"/>
      <w:lvlText w:val=""/>
      <w:lvlJc w:val="left"/>
      <w:pPr>
        <w:ind w:firstLine="0" w:left="0"/>
      </w:pPr>
    </w:lvl>
  </w:abstractNum>
  <w:abstractNum w15:restartNumberingAfterBreak="0" w:abstractNumId="4">
    <w:nsid w:val="183B4A22"/>
    <w:multiLevelType w:val="hybridMultilevel"/>
    <w:tmpl w:val="81123190"/>
    <w:lvl w:ilvl="0" w:tplc="A8A696EC">
      <w:start w:val="1"/>
      <w:numFmt w:val="lowerLetter"/>
      <w:lvlText w:val="%1-"/>
      <w:lvlJc w:val="left"/>
      <w:pPr>
        <w:ind w:hanging="360" w:left="720"/>
      </w:pPr>
      <w:rPr>
        <w:rFonts w:hint="default"/>
      </w:rPr>
    </w:lvl>
    <w:lvl w:ilvl="1" w:tentative="1" w:tplc="040C0019">
      <w:start w:val="1"/>
      <w:numFmt w:val="lowerLetter"/>
      <w:lvlText w:val="%2."/>
      <w:lvlJc w:val="left"/>
      <w:pPr>
        <w:ind w:hanging="360" w:left="1440"/>
      </w:pPr>
    </w:lvl>
    <w:lvl w:ilvl="2" w:tentative="1" w:tplc="040C001B">
      <w:start w:val="1"/>
      <w:numFmt w:val="lowerRoman"/>
      <w:lvlText w:val="%3."/>
      <w:lvlJc w:val="right"/>
      <w:pPr>
        <w:ind w:hanging="180" w:left="2160"/>
      </w:pPr>
    </w:lvl>
    <w:lvl w:ilvl="3" w:tentative="1" w:tplc="040C000F">
      <w:start w:val="1"/>
      <w:numFmt w:val="decimal"/>
      <w:lvlText w:val="%4."/>
      <w:lvlJc w:val="left"/>
      <w:pPr>
        <w:ind w:hanging="360" w:left="2880"/>
      </w:pPr>
    </w:lvl>
    <w:lvl w:ilvl="4" w:tentative="1" w:tplc="040C0019">
      <w:start w:val="1"/>
      <w:numFmt w:val="lowerLetter"/>
      <w:lvlText w:val="%5."/>
      <w:lvlJc w:val="left"/>
      <w:pPr>
        <w:ind w:hanging="360" w:left="3600"/>
      </w:pPr>
    </w:lvl>
    <w:lvl w:ilvl="5" w:tentative="1" w:tplc="040C001B">
      <w:start w:val="1"/>
      <w:numFmt w:val="lowerRoman"/>
      <w:lvlText w:val="%6."/>
      <w:lvlJc w:val="right"/>
      <w:pPr>
        <w:ind w:hanging="180" w:left="4320"/>
      </w:pPr>
    </w:lvl>
    <w:lvl w:ilvl="6" w:tentative="1" w:tplc="040C000F">
      <w:start w:val="1"/>
      <w:numFmt w:val="decimal"/>
      <w:lvlText w:val="%7."/>
      <w:lvlJc w:val="left"/>
      <w:pPr>
        <w:ind w:hanging="360" w:left="5040"/>
      </w:pPr>
    </w:lvl>
    <w:lvl w:ilvl="7" w:tentative="1" w:tplc="040C0019">
      <w:start w:val="1"/>
      <w:numFmt w:val="lowerLetter"/>
      <w:lvlText w:val="%8."/>
      <w:lvlJc w:val="left"/>
      <w:pPr>
        <w:ind w:hanging="360" w:left="5760"/>
      </w:pPr>
    </w:lvl>
    <w:lvl w:ilvl="8" w:tentative="1" w:tplc="040C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5">
    <w:nsid w:val="1BC76657"/>
    <w:multiLevelType w:val="multilevel"/>
    <w:tmpl w:val="E73EF2F8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6">
    <w:nsid w:val="1DC710FE"/>
    <w:multiLevelType w:val="multilevel"/>
    <w:tmpl w:val="16DAF442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7">
    <w:nsid w:val="200923CF"/>
    <w:multiLevelType w:val="multilevel"/>
    <w:tmpl w:val="0736DC3A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8">
    <w:nsid w:val="25057436"/>
    <w:multiLevelType w:val="multilevel"/>
    <w:tmpl w:val="041C1C0A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9">
    <w:nsid w:val="27B57F72"/>
    <w:multiLevelType w:val="hybridMultilevel"/>
    <w:tmpl w:val="1AAA7468"/>
    <w:lvl w:ilvl="0" w:tplc="040C000B">
      <w:start w:val="1"/>
      <w:numFmt w:val="bullet"/>
      <w:lvlText w:val=""/>
      <w:lvlJc w:val="left"/>
      <w:pPr>
        <w:ind w:hanging="360" w:left="720"/>
      </w:pPr>
      <w:rPr>
        <w:rFonts w:ascii="Wingdings" w:hAnsi="Wingdings" w:hint="default"/>
      </w:rPr>
    </w:lvl>
    <w:lvl w:ilvl="1" w:tentative="1" w:tplc="040C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C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C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C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C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C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C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C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0">
    <w:nsid w:val="2F71443F"/>
    <w:multiLevelType w:val="hybridMultilevel"/>
    <w:tmpl w:val="1BB2C3C4"/>
    <w:lvl w:ilvl="0" w:tplc="B4B64C6C">
      <w:start w:val="1"/>
      <w:numFmt w:val="lowerLetter"/>
      <w:lvlText w:val="%1-"/>
      <w:lvlJc w:val="left"/>
      <w:pPr>
        <w:ind w:hanging="360" w:left="720"/>
      </w:pPr>
      <w:rPr>
        <w:rFonts w:hint="default"/>
      </w:rPr>
    </w:lvl>
    <w:lvl w:ilvl="1" w:tentative="1" w:tplc="040C0019">
      <w:start w:val="1"/>
      <w:numFmt w:val="lowerLetter"/>
      <w:lvlText w:val="%2."/>
      <w:lvlJc w:val="left"/>
      <w:pPr>
        <w:ind w:hanging="360" w:left="1440"/>
      </w:pPr>
    </w:lvl>
    <w:lvl w:ilvl="2" w:tentative="1" w:tplc="040C001B">
      <w:start w:val="1"/>
      <w:numFmt w:val="lowerRoman"/>
      <w:lvlText w:val="%3."/>
      <w:lvlJc w:val="right"/>
      <w:pPr>
        <w:ind w:hanging="180" w:left="2160"/>
      </w:pPr>
    </w:lvl>
    <w:lvl w:ilvl="3" w:tentative="1" w:tplc="040C000F">
      <w:start w:val="1"/>
      <w:numFmt w:val="decimal"/>
      <w:lvlText w:val="%4."/>
      <w:lvlJc w:val="left"/>
      <w:pPr>
        <w:ind w:hanging="360" w:left="2880"/>
      </w:pPr>
    </w:lvl>
    <w:lvl w:ilvl="4" w:tentative="1" w:tplc="040C0019">
      <w:start w:val="1"/>
      <w:numFmt w:val="lowerLetter"/>
      <w:lvlText w:val="%5."/>
      <w:lvlJc w:val="left"/>
      <w:pPr>
        <w:ind w:hanging="360" w:left="3600"/>
      </w:pPr>
    </w:lvl>
    <w:lvl w:ilvl="5" w:tentative="1" w:tplc="040C001B">
      <w:start w:val="1"/>
      <w:numFmt w:val="lowerRoman"/>
      <w:lvlText w:val="%6."/>
      <w:lvlJc w:val="right"/>
      <w:pPr>
        <w:ind w:hanging="180" w:left="4320"/>
      </w:pPr>
    </w:lvl>
    <w:lvl w:ilvl="6" w:tentative="1" w:tplc="040C000F">
      <w:start w:val="1"/>
      <w:numFmt w:val="decimal"/>
      <w:lvlText w:val="%7."/>
      <w:lvlJc w:val="left"/>
      <w:pPr>
        <w:ind w:hanging="360" w:left="5040"/>
      </w:pPr>
    </w:lvl>
    <w:lvl w:ilvl="7" w:tentative="1" w:tplc="040C0019">
      <w:start w:val="1"/>
      <w:numFmt w:val="lowerLetter"/>
      <w:lvlText w:val="%8."/>
      <w:lvlJc w:val="left"/>
      <w:pPr>
        <w:ind w:hanging="360" w:left="5760"/>
      </w:pPr>
    </w:lvl>
    <w:lvl w:ilvl="8" w:tentative="1" w:tplc="040C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1">
    <w:nsid w:val="2FEE7555"/>
    <w:multiLevelType w:val="hybridMultilevel"/>
    <w:tmpl w:val="C9CAFD24"/>
    <w:lvl w:ilvl="0" w:tplc="B7F82E8A">
      <w:numFmt w:val="bullet"/>
      <w:lvlText w:val="-"/>
      <w:lvlJc w:val="left"/>
      <w:pPr>
        <w:ind w:hanging="360" w:left="720"/>
      </w:pPr>
      <w:rPr>
        <w:rFonts w:ascii="Calibri" w:cs="Calibri" w:eastAsiaTheme="minorHAnsi" w:hAnsi="Calibri" w:hint="default"/>
      </w:rPr>
    </w:lvl>
    <w:lvl w:ilvl="1" w:tentative="1" w:tplc="040C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C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C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C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C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C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C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C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2">
    <w:nsid w:val="30377B28"/>
    <w:multiLevelType w:val="multilevel"/>
    <w:tmpl w:val="0B482710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13">
    <w:nsid w:val="398D0505"/>
    <w:multiLevelType w:val="hybridMultilevel"/>
    <w:tmpl w:val="36A24D68"/>
    <w:lvl w:ilvl="0" w:tplc="E6306334">
      <w:numFmt w:val="bullet"/>
      <w:lvlText w:val="-"/>
      <w:lvlJc w:val="left"/>
      <w:pPr>
        <w:ind w:hanging="360" w:left="720"/>
      </w:pPr>
      <w:rPr>
        <w:rFonts w:ascii="Calibri" w:cs="Calibri" w:eastAsiaTheme="minorHAnsi" w:hAnsi="Calibri" w:hint="default"/>
      </w:rPr>
    </w:lvl>
    <w:lvl w:ilvl="1" w:tentative="1" w:tplc="040C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C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C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C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C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C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C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C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4">
    <w:nsid w:val="3C332710"/>
    <w:multiLevelType w:val="hybridMultilevel"/>
    <w:tmpl w:val="7FFC5130"/>
    <w:lvl w:ilvl="0" w:tplc="FFFFFFFF">
      <w:start w:val="1"/>
      <w:numFmt w:val="decimal"/>
      <w:lvlText w:val="%1."/>
      <w:lvlJc w:val="left"/>
      <w:pPr>
        <w:ind w:hanging="360" w:left="720"/>
      </w:pPr>
    </w:lvl>
    <w:lvl w:ilvl="1" w:tplc="FFFFFFFF">
      <w:numFmt w:val="decimal"/>
      <w:lvlText w:val=""/>
      <w:lvlJc w:val="left"/>
      <w:pPr>
        <w:ind w:firstLine="0" w:left="0"/>
      </w:pPr>
    </w:lvl>
    <w:lvl w:ilvl="2" w:tplc="FFFFFFFF">
      <w:numFmt w:val="decimal"/>
      <w:lvlText w:val=""/>
      <w:lvlJc w:val="left"/>
      <w:pPr>
        <w:ind w:firstLine="0" w:left="0"/>
      </w:pPr>
    </w:lvl>
    <w:lvl w:ilvl="3" w:tplc="FFFFFFFF">
      <w:numFmt w:val="decimal"/>
      <w:lvlText w:val=""/>
      <w:lvlJc w:val="left"/>
      <w:pPr>
        <w:ind w:firstLine="0" w:left="0"/>
      </w:pPr>
    </w:lvl>
    <w:lvl w:ilvl="4" w:tplc="FFFFFFFF">
      <w:numFmt w:val="decimal"/>
      <w:lvlText w:val=""/>
      <w:lvlJc w:val="left"/>
      <w:pPr>
        <w:ind w:firstLine="0" w:left="0"/>
      </w:pPr>
    </w:lvl>
    <w:lvl w:ilvl="5" w:tplc="FFFFFFFF">
      <w:numFmt w:val="decimal"/>
      <w:lvlText w:val=""/>
      <w:lvlJc w:val="left"/>
      <w:pPr>
        <w:ind w:firstLine="0" w:left="0"/>
      </w:pPr>
    </w:lvl>
    <w:lvl w:ilvl="6" w:tplc="FFFFFFFF">
      <w:numFmt w:val="decimal"/>
      <w:lvlText w:val=""/>
      <w:lvlJc w:val="left"/>
      <w:pPr>
        <w:ind w:firstLine="0" w:left="0"/>
      </w:pPr>
    </w:lvl>
    <w:lvl w:ilvl="7" w:tplc="FFFFFFFF">
      <w:numFmt w:val="decimal"/>
      <w:lvlText w:val=""/>
      <w:lvlJc w:val="left"/>
      <w:pPr>
        <w:ind w:firstLine="0" w:left="0"/>
      </w:pPr>
    </w:lvl>
    <w:lvl w:ilvl="8" w:tplc="FFFFFFFF">
      <w:numFmt w:val="decimal"/>
      <w:lvlText w:val=""/>
      <w:lvlJc w:val="left"/>
      <w:pPr>
        <w:ind w:firstLine="0" w:left="0"/>
      </w:pPr>
    </w:lvl>
  </w:abstractNum>
  <w:abstractNum w15:restartNumberingAfterBreak="0" w:abstractNumId="15">
    <w:nsid w:val="3C652654"/>
    <w:multiLevelType w:val="hybridMultilevel"/>
    <w:tmpl w:val="3A08B9F2"/>
    <w:lvl w:ilvl="0" w:tplc="1D20A83A">
      <w:start w:val="1"/>
      <w:numFmt w:val="decimal"/>
      <w:lvlText w:val="%1."/>
      <w:lvlJc w:val="left"/>
      <w:pPr>
        <w:ind w:hanging="360" w:left="720"/>
      </w:pPr>
      <w:rPr>
        <w:rFonts w:hint="default"/>
      </w:rPr>
    </w:lvl>
    <w:lvl w:ilvl="1" w:tentative="1" w:tplc="040C0019">
      <w:start w:val="1"/>
      <w:numFmt w:val="lowerLetter"/>
      <w:lvlText w:val="%2."/>
      <w:lvlJc w:val="left"/>
      <w:pPr>
        <w:ind w:hanging="360" w:left="1440"/>
      </w:pPr>
    </w:lvl>
    <w:lvl w:ilvl="2" w:tentative="1" w:tplc="040C001B">
      <w:start w:val="1"/>
      <w:numFmt w:val="lowerRoman"/>
      <w:lvlText w:val="%3."/>
      <w:lvlJc w:val="right"/>
      <w:pPr>
        <w:ind w:hanging="180" w:left="2160"/>
      </w:pPr>
    </w:lvl>
    <w:lvl w:ilvl="3" w:tentative="1" w:tplc="040C000F">
      <w:start w:val="1"/>
      <w:numFmt w:val="decimal"/>
      <w:lvlText w:val="%4."/>
      <w:lvlJc w:val="left"/>
      <w:pPr>
        <w:ind w:hanging="360" w:left="2880"/>
      </w:pPr>
    </w:lvl>
    <w:lvl w:ilvl="4" w:tentative="1" w:tplc="040C0019">
      <w:start w:val="1"/>
      <w:numFmt w:val="lowerLetter"/>
      <w:lvlText w:val="%5."/>
      <w:lvlJc w:val="left"/>
      <w:pPr>
        <w:ind w:hanging="360" w:left="3600"/>
      </w:pPr>
    </w:lvl>
    <w:lvl w:ilvl="5" w:tentative="1" w:tplc="040C001B">
      <w:start w:val="1"/>
      <w:numFmt w:val="lowerRoman"/>
      <w:lvlText w:val="%6."/>
      <w:lvlJc w:val="right"/>
      <w:pPr>
        <w:ind w:hanging="180" w:left="4320"/>
      </w:pPr>
    </w:lvl>
    <w:lvl w:ilvl="6" w:tentative="1" w:tplc="040C000F">
      <w:start w:val="1"/>
      <w:numFmt w:val="decimal"/>
      <w:lvlText w:val="%7."/>
      <w:lvlJc w:val="left"/>
      <w:pPr>
        <w:ind w:hanging="360" w:left="5040"/>
      </w:pPr>
    </w:lvl>
    <w:lvl w:ilvl="7" w:tentative="1" w:tplc="040C0019">
      <w:start w:val="1"/>
      <w:numFmt w:val="lowerLetter"/>
      <w:lvlText w:val="%8."/>
      <w:lvlJc w:val="left"/>
      <w:pPr>
        <w:ind w:hanging="360" w:left="5760"/>
      </w:pPr>
    </w:lvl>
    <w:lvl w:ilvl="8" w:tentative="1" w:tplc="040C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6">
    <w:nsid w:val="3DEC44D4"/>
    <w:multiLevelType w:val="hybridMultilevel"/>
    <w:tmpl w:val="CAFEF7D2"/>
    <w:lvl w:ilvl="0" w:tplc="739A7BAC">
      <w:numFmt w:val="bullet"/>
      <w:lvlText w:val="-"/>
      <w:lvlJc w:val="left"/>
      <w:pPr>
        <w:ind w:hanging="360" w:left="720"/>
      </w:pPr>
      <w:rPr>
        <w:rFonts w:ascii="Times New Roman" w:cs="Times New Roman" w:eastAsiaTheme="minorHAnsi" w:hAnsi="Times New Roman" w:hint="default"/>
        <w:b w:val="0"/>
      </w:rPr>
    </w:lvl>
    <w:lvl w:ilvl="1" w:tentative="1" w:tplc="040C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C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C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C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C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C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C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C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7">
    <w:nsid w:val="40676566"/>
    <w:multiLevelType w:val="multilevel"/>
    <w:tmpl w:val="6EBED00A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18">
    <w:nsid w:val="445C3308"/>
    <w:multiLevelType w:val="hybridMultilevel"/>
    <w:tmpl w:val="EF121318"/>
    <w:lvl w:ilvl="0" w:tplc="040C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C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C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C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C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C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C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C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C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9">
    <w:nsid w:val="44FF2F19"/>
    <w:multiLevelType w:val="hybridMultilevel"/>
    <w:tmpl w:val="179073AE"/>
    <w:lvl w:ilvl="0" w:tplc="040C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C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C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C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C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C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C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C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C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20">
    <w:nsid w:val="472A5D0D"/>
    <w:multiLevelType w:val="multilevel"/>
    <w:tmpl w:val="EA820D28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21">
    <w:nsid w:val="4AF31BC6"/>
    <w:multiLevelType w:val="hybridMultilevel"/>
    <w:tmpl w:val="887C851A"/>
    <w:lvl w:ilvl="0" w:tplc="040C000B">
      <w:start w:val="1"/>
      <w:numFmt w:val="bullet"/>
      <w:lvlText w:val=""/>
      <w:lvlJc w:val="left"/>
      <w:pPr>
        <w:ind w:hanging="360" w:left="720"/>
      </w:pPr>
      <w:rPr>
        <w:rFonts w:ascii="Wingdings" w:hAnsi="Wingdings" w:hint="default"/>
      </w:rPr>
    </w:lvl>
    <w:lvl w:ilvl="1" w:tentative="1" w:tplc="040C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C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C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C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C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C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C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C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22">
    <w:nsid w:val="4BF963F7"/>
    <w:multiLevelType w:val="hybridMultilevel"/>
    <w:tmpl w:val="8F28677C"/>
    <w:lvl w:ilvl="0" w:tplc="040C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C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C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C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C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C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C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C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C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23">
    <w:nsid w:val="4FB636CA"/>
    <w:multiLevelType w:val="hybridMultilevel"/>
    <w:tmpl w:val="4AF63768"/>
    <w:lvl w:ilvl="0" w:tplc="B7F82E8A">
      <w:numFmt w:val="bullet"/>
      <w:lvlText w:val="-"/>
      <w:lvlJc w:val="left"/>
      <w:pPr>
        <w:ind w:hanging="360" w:left="720"/>
      </w:pPr>
      <w:rPr>
        <w:rFonts w:ascii="Calibri" w:cs="Calibri" w:eastAsiaTheme="minorHAnsi" w:hAnsi="Calibri" w:hint="default"/>
      </w:rPr>
    </w:lvl>
    <w:lvl w:ilvl="1" w:tentative="1" w:tplc="040C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C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C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C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C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C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C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C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24">
    <w:nsid w:val="5D41519B"/>
    <w:multiLevelType w:val="hybridMultilevel"/>
    <w:tmpl w:val="179AD8BC"/>
    <w:lvl w:ilvl="0" w:tplc="739A7BAC">
      <w:numFmt w:val="bullet"/>
      <w:lvlText w:val="-"/>
      <w:lvlJc w:val="left"/>
      <w:pPr>
        <w:ind w:hanging="360" w:left="720"/>
      </w:pPr>
      <w:rPr>
        <w:rFonts w:ascii="Times New Roman" w:cs="Times New Roman" w:eastAsiaTheme="minorHAnsi" w:hAnsi="Times New Roman" w:hint="default"/>
      </w:rPr>
    </w:lvl>
    <w:lvl w:ilvl="1" w:tentative="1" w:tplc="040C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C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C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C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C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C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C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C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25">
    <w:nsid w:val="623303B6"/>
    <w:multiLevelType w:val="hybridMultilevel"/>
    <w:tmpl w:val="7FFC5130"/>
    <w:lvl w:ilvl="0" w:tplc="FFFFFFFF">
      <w:start w:val="1"/>
      <w:numFmt w:val="decimal"/>
      <w:lvlText w:val="%1."/>
      <w:lvlJc w:val="left"/>
      <w:pPr>
        <w:ind w:hanging="360" w:left="720"/>
      </w:pPr>
    </w:lvl>
    <w:lvl w:ilvl="1" w:tplc="FFFFFFFF">
      <w:numFmt w:val="decimal"/>
      <w:lvlText w:val=""/>
      <w:lvlJc w:val="left"/>
      <w:pPr>
        <w:ind w:firstLine="0" w:left="0"/>
      </w:pPr>
    </w:lvl>
    <w:lvl w:ilvl="2" w:tplc="FFFFFFFF">
      <w:numFmt w:val="decimal"/>
      <w:lvlText w:val=""/>
      <w:lvlJc w:val="left"/>
      <w:pPr>
        <w:ind w:firstLine="0" w:left="0"/>
      </w:pPr>
    </w:lvl>
    <w:lvl w:ilvl="3" w:tplc="FFFFFFFF">
      <w:numFmt w:val="decimal"/>
      <w:lvlText w:val=""/>
      <w:lvlJc w:val="left"/>
      <w:pPr>
        <w:ind w:firstLine="0" w:left="0"/>
      </w:pPr>
    </w:lvl>
    <w:lvl w:ilvl="4" w:tplc="FFFFFFFF">
      <w:numFmt w:val="decimal"/>
      <w:lvlText w:val=""/>
      <w:lvlJc w:val="left"/>
      <w:pPr>
        <w:ind w:firstLine="0" w:left="0"/>
      </w:pPr>
    </w:lvl>
    <w:lvl w:ilvl="5" w:tplc="FFFFFFFF">
      <w:numFmt w:val="decimal"/>
      <w:lvlText w:val=""/>
      <w:lvlJc w:val="left"/>
      <w:pPr>
        <w:ind w:firstLine="0" w:left="0"/>
      </w:pPr>
    </w:lvl>
    <w:lvl w:ilvl="6" w:tplc="FFFFFFFF">
      <w:numFmt w:val="decimal"/>
      <w:lvlText w:val=""/>
      <w:lvlJc w:val="left"/>
      <w:pPr>
        <w:ind w:firstLine="0" w:left="0"/>
      </w:pPr>
    </w:lvl>
    <w:lvl w:ilvl="7" w:tplc="FFFFFFFF">
      <w:numFmt w:val="decimal"/>
      <w:lvlText w:val=""/>
      <w:lvlJc w:val="left"/>
      <w:pPr>
        <w:ind w:firstLine="0" w:left="0"/>
      </w:pPr>
    </w:lvl>
    <w:lvl w:ilvl="8" w:tplc="FFFFFFFF">
      <w:numFmt w:val="decimal"/>
      <w:lvlText w:val=""/>
      <w:lvlJc w:val="left"/>
      <w:pPr>
        <w:ind w:firstLine="0" w:left="0"/>
      </w:pPr>
    </w:lvl>
  </w:abstractNum>
  <w:abstractNum w15:restartNumberingAfterBreak="0" w:abstractNumId="26">
    <w:nsid w:val="68265951"/>
    <w:multiLevelType w:val="hybridMultilevel"/>
    <w:tmpl w:val="A1B2A752"/>
    <w:lvl w:ilvl="0" w:tplc="040C0013">
      <w:start w:val="1"/>
      <w:numFmt w:val="upperRoman"/>
      <w:lvlText w:val="%1."/>
      <w:lvlJc w:val="right"/>
      <w:pPr>
        <w:ind w:hanging="360" w:left="720"/>
      </w:pPr>
    </w:lvl>
    <w:lvl w:ilvl="1" w:tentative="1" w:tplc="040C0019">
      <w:start w:val="1"/>
      <w:numFmt w:val="lowerLetter"/>
      <w:lvlText w:val="%2."/>
      <w:lvlJc w:val="left"/>
      <w:pPr>
        <w:ind w:hanging="360" w:left="1440"/>
      </w:pPr>
    </w:lvl>
    <w:lvl w:ilvl="2" w:tentative="1" w:tplc="040C001B">
      <w:start w:val="1"/>
      <w:numFmt w:val="lowerRoman"/>
      <w:lvlText w:val="%3."/>
      <w:lvlJc w:val="right"/>
      <w:pPr>
        <w:ind w:hanging="180" w:left="2160"/>
      </w:pPr>
    </w:lvl>
    <w:lvl w:ilvl="3" w:tentative="1" w:tplc="040C000F">
      <w:start w:val="1"/>
      <w:numFmt w:val="decimal"/>
      <w:lvlText w:val="%4."/>
      <w:lvlJc w:val="left"/>
      <w:pPr>
        <w:ind w:hanging="360" w:left="2880"/>
      </w:pPr>
    </w:lvl>
    <w:lvl w:ilvl="4" w:tentative="1" w:tplc="040C0019">
      <w:start w:val="1"/>
      <w:numFmt w:val="lowerLetter"/>
      <w:lvlText w:val="%5."/>
      <w:lvlJc w:val="left"/>
      <w:pPr>
        <w:ind w:hanging="360" w:left="3600"/>
      </w:pPr>
    </w:lvl>
    <w:lvl w:ilvl="5" w:tentative="1" w:tplc="040C001B">
      <w:start w:val="1"/>
      <w:numFmt w:val="lowerRoman"/>
      <w:lvlText w:val="%6."/>
      <w:lvlJc w:val="right"/>
      <w:pPr>
        <w:ind w:hanging="180" w:left="4320"/>
      </w:pPr>
    </w:lvl>
    <w:lvl w:ilvl="6" w:tentative="1" w:tplc="040C000F">
      <w:start w:val="1"/>
      <w:numFmt w:val="decimal"/>
      <w:lvlText w:val="%7."/>
      <w:lvlJc w:val="left"/>
      <w:pPr>
        <w:ind w:hanging="360" w:left="5040"/>
      </w:pPr>
    </w:lvl>
    <w:lvl w:ilvl="7" w:tentative="1" w:tplc="040C0019">
      <w:start w:val="1"/>
      <w:numFmt w:val="lowerLetter"/>
      <w:lvlText w:val="%8."/>
      <w:lvlJc w:val="left"/>
      <w:pPr>
        <w:ind w:hanging="360" w:left="5760"/>
      </w:pPr>
    </w:lvl>
    <w:lvl w:ilvl="8" w:tentative="1" w:tplc="040C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27">
    <w:nsid w:val="6BDC3465"/>
    <w:multiLevelType w:val="hybridMultilevel"/>
    <w:tmpl w:val="82B4A25C"/>
    <w:lvl w:ilvl="0" w:tplc="040C0013">
      <w:start w:val="1"/>
      <w:numFmt w:val="upperRoman"/>
      <w:lvlText w:val="%1."/>
      <w:lvlJc w:val="right"/>
      <w:pPr>
        <w:ind w:hanging="360" w:left="720"/>
      </w:pPr>
    </w:lvl>
    <w:lvl w:ilvl="1" w:tentative="1" w:tplc="040C0019">
      <w:start w:val="1"/>
      <w:numFmt w:val="lowerLetter"/>
      <w:lvlText w:val="%2."/>
      <w:lvlJc w:val="left"/>
      <w:pPr>
        <w:ind w:hanging="360" w:left="1440"/>
      </w:pPr>
    </w:lvl>
    <w:lvl w:ilvl="2" w:tentative="1" w:tplc="040C001B">
      <w:start w:val="1"/>
      <w:numFmt w:val="lowerRoman"/>
      <w:lvlText w:val="%3."/>
      <w:lvlJc w:val="right"/>
      <w:pPr>
        <w:ind w:hanging="180" w:left="2160"/>
      </w:pPr>
    </w:lvl>
    <w:lvl w:ilvl="3" w:tentative="1" w:tplc="040C000F">
      <w:start w:val="1"/>
      <w:numFmt w:val="decimal"/>
      <w:lvlText w:val="%4."/>
      <w:lvlJc w:val="left"/>
      <w:pPr>
        <w:ind w:hanging="360" w:left="2880"/>
      </w:pPr>
    </w:lvl>
    <w:lvl w:ilvl="4" w:tentative="1" w:tplc="040C0019">
      <w:start w:val="1"/>
      <w:numFmt w:val="lowerLetter"/>
      <w:lvlText w:val="%5."/>
      <w:lvlJc w:val="left"/>
      <w:pPr>
        <w:ind w:hanging="360" w:left="3600"/>
      </w:pPr>
    </w:lvl>
    <w:lvl w:ilvl="5" w:tentative="1" w:tplc="040C001B">
      <w:start w:val="1"/>
      <w:numFmt w:val="lowerRoman"/>
      <w:lvlText w:val="%6."/>
      <w:lvlJc w:val="right"/>
      <w:pPr>
        <w:ind w:hanging="180" w:left="4320"/>
      </w:pPr>
    </w:lvl>
    <w:lvl w:ilvl="6" w:tentative="1" w:tplc="040C000F">
      <w:start w:val="1"/>
      <w:numFmt w:val="decimal"/>
      <w:lvlText w:val="%7."/>
      <w:lvlJc w:val="left"/>
      <w:pPr>
        <w:ind w:hanging="360" w:left="5040"/>
      </w:pPr>
    </w:lvl>
    <w:lvl w:ilvl="7" w:tentative="1" w:tplc="040C0019">
      <w:start w:val="1"/>
      <w:numFmt w:val="lowerLetter"/>
      <w:lvlText w:val="%8."/>
      <w:lvlJc w:val="left"/>
      <w:pPr>
        <w:ind w:hanging="360" w:left="5760"/>
      </w:pPr>
    </w:lvl>
    <w:lvl w:ilvl="8" w:tentative="1" w:tplc="040C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28">
    <w:nsid w:val="6C5C56FE"/>
    <w:multiLevelType w:val="multilevel"/>
    <w:tmpl w:val="333875BC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29">
    <w:nsid w:val="73F41F42"/>
    <w:multiLevelType w:val="multilevel"/>
    <w:tmpl w:val="C04E03C8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30">
    <w:nsid w:val="7A8C1EAD"/>
    <w:multiLevelType w:val="hybridMultilevel"/>
    <w:tmpl w:val="AAAE6B3A"/>
    <w:lvl w:ilvl="0" w:tplc="A99EAFB2">
      <w:start w:val="1"/>
      <w:numFmt w:val="lowerLetter"/>
      <w:lvlText w:val="%1-"/>
      <w:lvlJc w:val="left"/>
      <w:pPr>
        <w:ind w:hanging="360" w:left="720"/>
      </w:pPr>
      <w:rPr>
        <w:rFonts w:hint="default"/>
      </w:rPr>
    </w:lvl>
    <w:lvl w:ilvl="1" w:tentative="1" w:tplc="040C0019">
      <w:start w:val="1"/>
      <w:numFmt w:val="lowerLetter"/>
      <w:lvlText w:val="%2."/>
      <w:lvlJc w:val="left"/>
      <w:pPr>
        <w:ind w:hanging="360" w:left="1440"/>
      </w:pPr>
    </w:lvl>
    <w:lvl w:ilvl="2" w:tentative="1" w:tplc="040C001B">
      <w:start w:val="1"/>
      <w:numFmt w:val="lowerRoman"/>
      <w:lvlText w:val="%3."/>
      <w:lvlJc w:val="right"/>
      <w:pPr>
        <w:ind w:hanging="180" w:left="2160"/>
      </w:pPr>
    </w:lvl>
    <w:lvl w:ilvl="3" w:tentative="1" w:tplc="040C000F">
      <w:start w:val="1"/>
      <w:numFmt w:val="decimal"/>
      <w:lvlText w:val="%4."/>
      <w:lvlJc w:val="left"/>
      <w:pPr>
        <w:ind w:hanging="360" w:left="2880"/>
      </w:pPr>
    </w:lvl>
    <w:lvl w:ilvl="4" w:tentative="1" w:tplc="040C0019">
      <w:start w:val="1"/>
      <w:numFmt w:val="lowerLetter"/>
      <w:lvlText w:val="%5."/>
      <w:lvlJc w:val="left"/>
      <w:pPr>
        <w:ind w:hanging="360" w:left="3600"/>
      </w:pPr>
    </w:lvl>
    <w:lvl w:ilvl="5" w:tentative="1" w:tplc="040C001B">
      <w:start w:val="1"/>
      <w:numFmt w:val="lowerRoman"/>
      <w:lvlText w:val="%6."/>
      <w:lvlJc w:val="right"/>
      <w:pPr>
        <w:ind w:hanging="180" w:left="4320"/>
      </w:pPr>
    </w:lvl>
    <w:lvl w:ilvl="6" w:tentative="1" w:tplc="040C000F">
      <w:start w:val="1"/>
      <w:numFmt w:val="decimal"/>
      <w:lvlText w:val="%7."/>
      <w:lvlJc w:val="left"/>
      <w:pPr>
        <w:ind w:hanging="360" w:left="5040"/>
      </w:pPr>
    </w:lvl>
    <w:lvl w:ilvl="7" w:tentative="1" w:tplc="040C0019">
      <w:start w:val="1"/>
      <w:numFmt w:val="lowerLetter"/>
      <w:lvlText w:val="%8."/>
      <w:lvlJc w:val="left"/>
      <w:pPr>
        <w:ind w:hanging="360" w:left="5760"/>
      </w:pPr>
    </w:lvl>
    <w:lvl w:ilvl="8" w:tentative="1" w:tplc="040C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31">
    <w:nsid w:val="7C1E6718"/>
    <w:multiLevelType w:val="hybridMultilevel"/>
    <w:tmpl w:val="8ED27CD0"/>
    <w:lvl w:ilvl="0" w:tplc="040C000B">
      <w:start w:val="1"/>
      <w:numFmt w:val="bullet"/>
      <w:lvlText w:val=""/>
      <w:lvlJc w:val="left"/>
      <w:pPr>
        <w:ind w:hanging="360" w:left="720"/>
      </w:pPr>
      <w:rPr>
        <w:rFonts w:ascii="Wingdings" w:hAnsi="Wingdings" w:hint="default"/>
      </w:rPr>
    </w:lvl>
    <w:lvl w:ilvl="1" w:tentative="1" w:tplc="040C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C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C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C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C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C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C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C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22017">
    <w:nsid w:val="A99422017"/>
    <w:multiLevelType w:val="multilevel"/>
    <w:lvl w:ilvl="0">
      <w:start w:val="2017"/>
      <w:numFmt w:val="decimal"/>
      <w:lvlText w:val="%1)"/>
      <w:lvlJc w:val="left"/>
      <w:pPr>
        <w:ind w:left="720" w:hanging="360"/>
      </w:pPr>
    </w:lvl>
    <w:lvl w:ilvl="1">
      <w:start w:val="2017"/>
      <w:numFmt w:val="decimal"/>
      <w:lvlText w:val="%2)"/>
      <w:lvlJc w:val="left"/>
      <w:pPr>
        <w:ind w:left="1440" w:hanging="360"/>
      </w:pPr>
    </w:lvl>
    <w:lvl w:ilvl="2">
      <w:start w:val="2017"/>
      <w:numFmt w:val="decimal"/>
      <w:lvlText w:val="%3)"/>
      <w:lvlJc w:val="left"/>
      <w:pPr>
        <w:ind w:left="2160" w:hanging="360"/>
      </w:pPr>
    </w:lvl>
    <w:lvl w:ilvl="3">
      <w:start w:val="2017"/>
      <w:numFmt w:val="decimal"/>
      <w:lvlText w:val="%4)"/>
      <w:lvlJc w:val="left"/>
      <w:pPr>
        <w:ind w:left="2880" w:hanging="360"/>
      </w:pPr>
    </w:lvl>
    <w:lvl w:ilvl="4">
      <w:start w:val="2017"/>
      <w:numFmt w:val="decimal"/>
      <w:lvlText w:val="%5)"/>
      <w:lvlJc w:val="left"/>
      <w:pPr>
        <w:ind w:left="3600" w:hanging="360"/>
      </w:pPr>
    </w:lvl>
    <w:lvl w:ilvl="5">
      <w:start w:val="2017"/>
      <w:numFmt w:val="decimal"/>
      <w:lvlText w:val="%6)"/>
      <w:lvlJc w:val="left"/>
      <w:pPr>
        <w:ind w:left="4320" w:hanging="360"/>
      </w:pPr>
    </w:lvl>
    <w:lvl w:ilvl="6">
      <w:start w:val="2017"/>
      <w:numFmt w:val="decimal"/>
      <w:lvlText w:val="%7)"/>
      <w:lvlJc w:val="left"/>
      <w:pPr>
        <w:ind w:left="5040" w:hanging="360"/>
      </w:pPr>
    </w:lvl>
    <w:lvl w:ilvl="7">
      <w:start w:val="2017"/>
      <w:numFmt w:val="decimal"/>
      <w:lvlText w:val="%8)"/>
      <w:lvlJc w:val="left"/>
      <w:pPr>
        <w:ind w:left="5760" w:hanging="360"/>
      </w:pPr>
    </w:lvl>
    <w:lvl w:ilvl="8">
      <w:start w:val="2017"/>
      <w:numFmt w:val="decimal"/>
      <w:lvlText w:val="%9)"/>
      <w:lvlJc w:val="left"/>
      <w:pPr>
        <w:ind w:left="6480" w:hanging="360"/>
      </w:pPr>
    </w:lvl>
  </w:abstractNum>
  <w:num w16cid:durableId="1730182157" w:numId="1">
    <w:abstractNumId w:val="3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16cid:durableId="520974857" w:numId="2">
    <w:abstractNumId w:val="3"/>
  </w:num>
  <w:num w16cid:durableId="385759310" w:numId="3">
    <w:abstractNumId w:val="25"/>
  </w:num>
  <w:num w16cid:durableId="985427969" w:numId="4">
    <w:abstractNumId w:val="14"/>
  </w:num>
  <w:num w16cid:durableId="1524130091" w:numId="5">
    <w:abstractNumId w:val="13"/>
  </w:num>
  <w:num w16cid:durableId="858466261" w:numId="6">
    <w:abstractNumId w:val="11"/>
  </w:num>
  <w:num w16cid:durableId="515538914" w:numId="7">
    <w:abstractNumId w:val="23"/>
  </w:num>
  <w:num w16cid:durableId="1843815288" w:numId="8">
    <w:abstractNumId w:val="18"/>
  </w:num>
  <w:num w16cid:durableId="17045630" w:numId="9">
    <w:abstractNumId w:val="19"/>
  </w:num>
  <w:num w16cid:durableId="1534148002" w:numId="10">
    <w:abstractNumId w:val="0"/>
  </w:num>
  <w:num w16cid:durableId="577714006" w:numId="11">
    <w:abstractNumId w:val="7"/>
  </w:num>
  <w:num w16cid:durableId="18626060" w:numId="12">
    <w:abstractNumId w:val="8"/>
  </w:num>
  <w:num w16cid:durableId="235550324" w:numId="13">
    <w:abstractNumId w:val="22"/>
  </w:num>
  <w:num w16cid:durableId="401411187" w:numId="14">
    <w:abstractNumId w:val="2"/>
  </w:num>
  <w:num w16cid:durableId="461077634" w:numId="15">
    <w:abstractNumId w:val="4"/>
  </w:num>
  <w:num w16cid:durableId="2099019462" w:numId="16">
    <w:abstractNumId w:val="30"/>
  </w:num>
  <w:num w16cid:durableId="836110651" w:numId="17">
    <w:abstractNumId w:val="10"/>
  </w:num>
  <w:num w16cid:durableId="1890529911" w:numId="18">
    <w:abstractNumId w:val="24"/>
  </w:num>
  <w:num w16cid:durableId="1683623372" w:numId="19">
    <w:abstractNumId w:val="1"/>
  </w:num>
  <w:num w16cid:durableId="992876701" w:numId="20">
    <w:abstractNumId w:val="16"/>
  </w:num>
  <w:num w16cid:durableId="524949592" w:numId="21">
    <w:abstractNumId w:val="28"/>
  </w:num>
  <w:num w16cid:durableId="1948461696" w:numId="22">
    <w:abstractNumId w:val="12"/>
  </w:num>
  <w:num w16cid:durableId="630207071" w:numId="23">
    <w:abstractNumId w:val="6"/>
  </w:num>
  <w:num w16cid:durableId="1533031518" w:numId="24">
    <w:abstractNumId w:val="5"/>
  </w:num>
  <w:num w16cid:durableId="1720013902" w:numId="25">
    <w:abstractNumId w:val="31"/>
  </w:num>
  <w:num w16cid:durableId="179583507" w:numId="26">
    <w:abstractNumId w:val="9"/>
  </w:num>
  <w:num w16cid:durableId="1015183373" w:numId="27">
    <w:abstractNumId w:val="21"/>
  </w:num>
  <w:num w16cid:durableId="305090213" w:numId="28">
    <w:abstractNumId w:val="26"/>
  </w:num>
  <w:num w16cid:durableId="81605625" w:numId="29">
    <w:abstractNumId w:val="15"/>
  </w:num>
  <w:num w16cid:durableId="1448239704" w:numId="30">
    <w:abstractNumId w:val="17"/>
  </w:num>
  <w:num w16cid:durableId="103772901" w:numId="31">
    <w:abstractNumId w:val="20"/>
  </w:num>
  <w:num w16cid:durableId="995185094" w:numId="32">
    <w:abstractNumId w:val="29"/>
  </w:num>
  <w:num w16cid:durableId="121920970" w:numId="33">
    <w:abstractNumId w:val="27"/>
  </w: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22017"/>
    <w:lvlOverride w:ilvl="0">
      <w:startOverride w:val="2017"/>
    </w:lvlOverride>
    <w:lvlOverride w:ilvl="1">
      <w:startOverride w:val="2017"/>
    </w:lvlOverride>
    <w:lvlOverride w:ilvl="2">
      <w:startOverride w:val="2017"/>
    </w:lvlOverride>
    <w:lvlOverride w:ilvl="3">
      <w:startOverride w:val="2017"/>
    </w:lvlOverride>
    <w:lvlOverride w:ilvl="4">
      <w:startOverride w:val="2017"/>
    </w:lvlOverride>
    <w:lvlOverride w:ilvl="5">
      <w:startOverride w:val="2017"/>
    </w:lvlOverride>
    <w:lvlOverride w:ilvl="6">
      <w:startOverride w:val="2017"/>
    </w:lvlOverride>
    <w:lvlOverride w:ilvl="7">
      <w:startOverride w:val="2017"/>
    </w:lvlOverride>
    <w:lvlOverride w:ilvl="8">
      <w:startOverride w:val="2017"/>
    </w:lvlOverride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50"/>
  <w:embedSystemFonts/>
  <w:proofState w:grammar="clean" w:spelling="clean"/>
  <w:stylePaneFormatFilter w:val="0004"/>
  <w:doNotTrackMoves/>
  <w:defaultTabStop w:val="708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68BC"/>
    <w:rsid w:val="00000DEE"/>
    <w:rsid w:val="000249D9"/>
    <w:rsid w:val="00051E96"/>
    <w:rsid w:val="0007089B"/>
    <w:rsid w:val="000779DD"/>
    <w:rsid w:val="000B459D"/>
    <w:rsid w:val="000B6089"/>
    <w:rsid w:val="000E4AD2"/>
    <w:rsid w:val="00137421"/>
    <w:rsid w:val="001A5803"/>
    <w:rsid w:val="001A68CD"/>
    <w:rsid w:val="001A6F53"/>
    <w:rsid w:val="001B6098"/>
    <w:rsid w:val="001B7DF7"/>
    <w:rsid w:val="001C13A8"/>
    <w:rsid w:val="001C460E"/>
    <w:rsid w:val="001D5341"/>
    <w:rsid w:val="001D7BA0"/>
    <w:rsid w:val="001E1419"/>
    <w:rsid w:val="00237ACC"/>
    <w:rsid w:val="0025458C"/>
    <w:rsid w:val="002822AB"/>
    <w:rsid w:val="002A299F"/>
    <w:rsid w:val="002B2132"/>
    <w:rsid w:val="002D1B73"/>
    <w:rsid w:val="002E0B4F"/>
    <w:rsid w:val="002F2C1E"/>
    <w:rsid w:val="002F7326"/>
    <w:rsid w:val="0035236A"/>
    <w:rsid w:val="003604DE"/>
    <w:rsid w:val="003745BB"/>
    <w:rsid w:val="003E7165"/>
    <w:rsid w:val="00415E9B"/>
    <w:rsid w:val="0043349A"/>
    <w:rsid w:val="00437C9D"/>
    <w:rsid w:val="004450D1"/>
    <w:rsid w:val="004629C3"/>
    <w:rsid w:val="00476A2D"/>
    <w:rsid w:val="004875F1"/>
    <w:rsid w:val="004B2ACC"/>
    <w:rsid w:val="004B5BB4"/>
    <w:rsid w:val="004D4A21"/>
    <w:rsid w:val="004D731F"/>
    <w:rsid w:val="0050041D"/>
    <w:rsid w:val="00513307"/>
    <w:rsid w:val="00524003"/>
    <w:rsid w:val="0053082A"/>
    <w:rsid w:val="00535ECE"/>
    <w:rsid w:val="00557A67"/>
    <w:rsid w:val="00563E49"/>
    <w:rsid w:val="00574A6B"/>
    <w:rsid w:val="005F6BD0"/>
    <w:rsid w:val="0061635A"/>
    <w:rsid w:val="00637737"/>
    <w:rsid w:val="00642AA8"/>
    <w:rsid w:val="00655914"/>
    <w:rsid w:val="00670282"/>
    <w:rsid w:val="00671A91"/>
    <w:rsid w:val="0068625B"/>
    <w:rsid w:val="006C6A45"/>
    <w:rsid w:val="00706679"/>
    <w:rsid w:val="00713CDD"/>
    <w:rsid w:val="007153E0"/>
    <w:rsid w:val="00717DF6"/>
    <w:rsid w:val="00726156"/>
    <w:rsid w:val="007549FD"/>
    <w:rsid w:val="007A74E0"/>
    <w:rsid w:val="007B38E8"/>
    <w:rsid w:val="007B528A"/>
    <w:rsid w:val="007B5A28"/>
    <w:rsid w:val="007B7ADD"/>
    <w:rsid w:val="007D00CB"/>
    <w:rsid w:val="0080449F"/>
    <w:rsid w:val="00811806"/>
    <w:rsid w:val="008125C8"/>
    <w:rsid w:val="0081455C"/>
    <w:rsid w:val="00823E42"/>
    <w:rsid w:val="00825DAD"/>
    <w:rsid w:val="00845454"/>
    <w:rsid w:val="00846ACA"/>
    <w:rsid w:val="00852622"/>
    <w:rsid w:val="00870111"/>
    <w:rsid w:val="008A40BC"/>
    <w:rsid w:val="008B09E6"/>
    <w:rsid w:val="008D37C2"/>
    <w:rsid w:val="008E5E53"/>
    <w:rsid w:val="008F5070"/>
    <w:rsid w:val="00905EA2"/>
    <w:rsid w:val="00917701"/>
    <w:rsid w:val="00936150"/>
    <w:rsid w:val="00955230"/>
    <w:rsid w:val="00960A65"/>
    <w:rsid w:val="009A2390"/>
    <w:rsid w:val="009A25C3"/>
    <w:rsid w:val="00A16165"/>
    <w:rsid w:val="00A241EB"/>
    <w:rsid w:val="00A43696"/>
    <w:rsid w:val="00A60386"/>
    <w:rsid w:val="00A66BF5"/>
    <w:rsid w:val="00A820FF"/>
    <w:rsid w:val="00A85E78"/>
    <w:rsid w:val="00AA2CBB"/>
    <w:rsid w:val="00AF221A"/>
    <w:rsid w:val="00B0668E"/>
    <w:rsid w:val="00B120A4"/>
    <w:rsid w:val="00B235E3"/>
    <w:rsid w:val="00B778D9"/>
    <w:rsid w:val="00B951C5"/>
    <w:rsid w:val="00BC6B6B"/>
    <w:rsid w:val="00BD0452"/>
    <w:rsid w:val="00BF3DEF"/>
    <w:rsid w:val="00C35EE6"/>
    <w:rsid w:val="00C40930"/>
    <w:rsid w:val="00C4678A"/>
    <w:rsid w:val="00C718A8"/>
    <w:rsid w:val="00C77BBB"/>
    <w:rsid w:val="00C8403E"/>
    <w:rsid w:val="00C853AB"/>
    <w:rsid w:val="00CB1BE6"/>
    <w:rsid w:val="00CE17CE"/>
    <w:rsid w:val="00D314DD"/>
    <w:rsid w:val="00D661D6"/>
    <w:rsid w:val="00D706D6"/>
    <w:rsid w:val="00D7694A"/>
    <w:rsid w:val="00D968BC"/>
    <w:rsid w:val="00DA21B3"/>
    <w:rsid w:val="00DB2F8F"/>
    <w:rsid w:val="00DE11FA"/>
    <w:rsid w:val="00E12F66"/>
    <w:rsid w:val="00E425D3"/>
    <w:rsid w:val="00E73404"/>
    <w:rsid w:val="00E754AB"/>
    <w:rsid w:val="00E80BF9"/>
    <w:rsid w:val="00E83243"/>
    <w:rsid w:val="00E915E8"/>
    <w:rsid w:val="00E932EC"/>
    <w:rsid w:val="00EE74BF"/>
    <w:rsid w:val="00EE7AF4"/>
    <w:rsid w:val="00F2191D"/>
    <w:rsid w:val="00F2413B"/>
    <w:rsid w:val="00F32FF7"/>
    <w:rsid w:val="00F64F11"/>
    <w:rsid w:val="00F65C30"/>
    <w:rsid w:val="00F754A3"/>
    <w:rsid w:val="00F87013"/>
    <w:rsid w:val="00FA290E"/>
    <w:rsid w:val="00FD2BAC"/>
  </w:rsids>
  <w:themeFontLang w:val="fr-FR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kern w:val="2"/>
        <w:sz w:val="22"/>
        <w:szCs w:val="22"/>
        <w:lang w:bidi="ar-SA" w:eastAsia="en-US" w:val="fr"/>
        <w14:ligatures w14:val="standardContextual"/>
      </w:rPr>
    </w:rPrDefault>
    <w:pPrDefault>
      <w:pPr>
        <w:spacing w:after="160" w:line="259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0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Titre1" w:type="paragraph">
    <w:name w:val="heading 1"/>
    <w:basedOn w:val="Normal"/>
    <w:next w:val="Normal"/>
    <w:link w:val="Titre1Car"/>
    <w:uiPriority w:val="9"/>
    <w:qFormat/>
    <w:rsid w:val="00D968BC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2F5496"/>
      <w:sz w:val="40"/>
      <w:szCs w:val="40"/>
    </w:rPr>
  </w:style>
  <w:style w:styleId="Titre2" w:type="paragraph">
    <w:name w:val="heading 2"/>
    <w:basedOn w:val="Normal"/>
    <w:next w:val="Normal"/>
    <w:link w:val="Titre2Car"/>
    <w:uiPriority w:val="9"/>
    <w:unhideWhenUsed/>
    <w:qFormat/>
    <w:rsid w:val="00D968BC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2F5496"/>
      <w:sz w:val="32"/>
      <w:szCs w:val="32"/>
    </w:rPr>
  </w:style>
  <w:style w:styleId="Titre3" w:type="paragraph">
    <w:name w:val="heading 3"/>
    <w:basedOn w:val="Normal"/>
    <w:next w:val="Normal"/>
    <w:link w:val="Titre3Car"/>
    <w:uiPriority w:val="9"/>
    <w:unhideWhenUsed/>
    <w:qFormat/>
    <w:rsid w:val="00D968BC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2F5496"/>
      <w:sz w:val="28"/>
      <w:szCs w:val="28"/>
    </w:rPr>
  </w:style>
  <w:style w:styleId="Titre4" w:type="paragraph">
    <w:name w:val="heading 4"/>
    <w:basedOn w:val="Normal"/>
    <w:next w:val="Normal"/>
    <w:link w:val="Titre4Car"/>
    <w:uiPriority w:val="9"/>
    <w:unhideWhenUsed/>
    <w:qFormat/>
    <w:rsid w:val="00D968BC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2F5496"/>
    </w:rPr>
  </w:style>
  <w:style w:styleId="Titre5" w:type="paragraph">
    <w:name w:val="heading 5"/>
    <w:basedOn w:val="Normal"/>
    <w:next w:val="Normal"/>
    <w:link w:val="Titre5Car"/>
    <w:uiPriority w:val="9"/>
    <w:semiHidden/>
    <w:unhideWhenUsed/>
    <w:qFormat/>
    <w:rsid w:val="00D968BC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2F5496"/>
    </w:rPr>
  </w:style>
  <w:style w:styleId="Titre6" w:type="paragraph">
    <w:name w:val="heading 6"/>
    <w:basedOn w:val="Normal"/>
    <w:next w:val="Normal"/>
    <w:link w:val="Titre6Car"/>
    <w:uiPriority w:val="9"/>
    <w:semiHidden/>
    <w:unhideWhenUsed/>
    <w:qFormat/>
    <w:rsid w:val="00D968BC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Titre7" w:type="paragraph">
    <w:name w:val="heading 7"/>
    <w:basedOn w:val="Normal"/>
    <w:next w:val="Normal"/>
    <w:link w:val="Titre7Car"/>
    <w:uiPriority w:val="9"/>
    <w:semiHidden/>
    <w:unhideWhenUsed/>
    <w:qFormat/>
    <w:rsid w:val="00D968BC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Titre8" w:type="paragraph">
    <w:name w:val="heading 8"/>
    <w:basedOn w:val="Normal"/>
    <w:next w:val="Normal"/>
    <w:link w:val="Titre8Car"/>
    <w:uiPriority w:val="9"/>
    <w:semiHidden/>
    <w:unhideWhenUsed/>
    <w:qFormat/>
    <w:rsid w:val="00D968BC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Titre9" w:type="paragraph">
    <w:name w:val="heading 9"/>
    <w:basedOn w:val="Normal"/>
    <w:next w:val="Normal"/>
    <w:link w:val="Titre9Car"/>
    <w:uiPriority w:val="9"/>
    <w:semiHidden/>
    <w:unhideWhenUsed/>
    <w:qFormat/>
    <w:rsid w:val="00D968BC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Policepardfaut" w:type="character">
    <w:name w:val="Default Paragraph Font"/>
    <w:uiPriority w:val="1"/>
    <w:unhideWhenUsed/>
  </w:style>
  <w:style w:default="1" w:styleId="Tableau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ucuneliste" w:type="numbering">
    <w:name w:val="No List"/>
    <w:uiPriority w:val="99"/>
    <w:semiHidden/>
    <w:unhideWhenUsed/>
  </w:style>
  <w:style w:customStyle="1" w:styleId="Titre1Car" w:type="character">
    <w:name w:val="Titre 1 Car"/>
    <w:basedOn w:val="Policepardfaut"/>
    <w:link w:val="Titre1"/>
    <w:uiPriority w:val="9"/>
    <w:rsid w:val="00D968BC"/>
    <w:rPr>
      <w:rFonts w:asciiTheme="majorHAnsi" w:cstheme="majorBidi" w:eastAsiaTheme="majorEastAsia" w:hAnsiTheme="majorHAnsi"/>
      <w:color w:themeColor="accent1" w:themeShade="BF" w:val="2F5496"/>
      <w:sz w:val="40"/>
      <w:szCs w:val="40"/>
    </w:rPr>
  </w:style>
  <w:style w:customStyle="1" w:styleId="Titre2Car" w:type="character">
    <w:name w:val="Titre 2 Car"/>
    <w:basedOn w:val="Policepardfaut"/>
    <w:link w:val="Titre2"/>
    <w:uiPriority w:val="9"/>
    <w:rsid w:val="00D968BC"/>
    <w:rPr>
      <w:rFonts w:asciiTheme="majorHAnsi" w:cstheme="majorBidi" w:eastAsiaTheme="majorEastAsia" w:hAnsiTheme="majorHAnsi"/>
      <w:color w:themeColor="accent1" w:themeShade="BF" w:val="2F5496"/>
      <w:sz w:val="32"/>
      <w:szCs w:val="32"/>
    </w:rPr>
  </w:style>
  <w:style w:customStyle="1" w:styleId="Titre3Car" w:type="character">
    <w:name w:val="Titre 3 Car"/>
    <w:basedOn w:val="Policepardfaut"/>
    <w:link w:val="Titre3"/>
    <w:uiPriority w:val="9"/>
    <w:rsid w:val="00D968BC"/>
    <w:rPr>
      <w:rFonts w:cstheme="majorBidi" w:eastAsiaTheme="majorEastAsia"/>
      <w:color w:themeColor="accent1" w:themeShade="BF" w:val="2F5496"/>
      <w:sz w:val="28"/>
      <w:szCs w:val="28"/>
    </w:rPr>
  </w:style>
  <w:style w:customStyle="1" w:styleId="Titre4Car" w:type="character">
    <w:name w:val="Titre 4 Car"/>
    <w:basedOn w:val="Policepardfaut"/>
    <w:link w:val="Titre4"/>
    <w:uiPriority w:val="9"/>
    <w:rsid w:val="00D968BC"/>
    <w:rPr>
      <w:rFonts w:cstheme="majorBidi" w:eastAsiaTheme="majorEastAsia"/>
      <w:i/>
      <w:iCs/>
      <w:color w:themeColor="accent1" w:themeShade="BF" w:val="2F5496"/>
    </w:rPr>
  </w:style>
  <w:style w:customStyle="1" w:styleId="Titre5Car" w:type="character">
    <w:name w:val="Titre 5 Car"/>
    <w:basedOn w:val="Policepardfaut"/>
    <w:link w:val="Titre5"/>
    <w:uiPriority w:val="9"/>
    <w:semiHidden/>
    <w:rsid w:val="00D968BC"/>
    <w:rPr>
      <w:rFonts w:cstheme="majorBidi" w:eastAsiaTheme="majorEastAsia"/>
      <w:color w:themeColor="accent1" w:themeShade="BF" w:val="2F5496"/>
    </w:rPr>
  </w:style>
  <w:style w:customStyle="1" w:styleId="Titre6Car" w:type="character">
    <w:name w:val="Titre 6 Car"/>
    <w:basedOn w:val="Policepardfaut"/>
    <w:link w:val="Titre6"/>
    <w:uiPriority w:val="9"/>
    <w:semiHidden/>
    <w:rsid w:val="00D968BC"/>
    <w:rPr>
      <w:rFonts w:cstheme="majorBidi" w:eastAsiaTheme="majorEastAsia"/>
      <w:i/>
      <w:iCs/>
      <w:color w:themeColor="text1" w:themeTint="A6" w:val="595959"/>
    </w:rPr>
  </w:style>
  <w:style w:customStyle="1" w:styleId="Titre7Car" w:type="character">
    <w:name w:val="Titre 7 Car"/>
    <w:basedOn w:val="Policepardfaut"/>
    <w:link w:val="Titre7"/>
    <w:uiPriority w:val="9"/>
    <w:semiHidden/>
    <w:rsid w:val="00D968BC"/>
    <w:rPr>
      <w:rFonts w:cstheme="majorBidi" w:eastAsiaTheme="majorEastAsia"/>
      <w:color w:themeColor="text1" w:themeTint="A6" w:val="595959"/>
    </w:rPr>
  </w:style>
  <w:style w:customStyle="1" w:styleId="Titre8Car" w:type="character">
    <w:name w:val="Titre 8 Car"/>
    <w:basedOn w:val="Policepardfaut"/>
    <w:link w:val="Titre8"/>
    <w:uiPriority w:val="9"/>
    <w:semiHidden/>
    <w:rsid w:val="00D968BC"/>
    <w:rPr>
      <w:rFonts w:cstheme="majorBidi" w:eastAsiaTheme="majorEastAsia"/>
      <w:i/>
      <w:iCs/>
      <w:color w:themeColor="text1" w:themeTint="D8" w:val="272727"/>
    </w:rPr>
  </w:style>
  <w:style w:customStyle="1" w:styleId="Titre9Car" w:type="character">
    <w:name w:val="Titre 9 Car"/>
    <w:basedOn w:val="Policepardfaut"/>
    <w:link w:val="Titre9"/>
    <w:uiPriority w:val="9"/>
    <w:semiHidden/>
    <w:rsid w:val="00D968BC"/>
    <w:rPr>
      <w:rFonts w:cstheme="majorBidi" w:eastAsiaTheme="majorEastAsia"/>
      <w:color w:themeColor="text1" w:themeTint="D8" w:val="272727"/>
    </w:rPr>
  </w:style>
  <w:style w:styleId="Titre" w:type="paragraph">
    <w:name w:val="Title"/>
    <w:basedOn w:val="Normal"/>
    <w:next w:val="Normal"/>
    <w:link w:val="TitreCar"/>
    <w:uiPriority w:val="10"/>
    <w:qFormat/>
    <w:rsid w:val="00D968BC"/>
    <w:pPr>
      <w:spacing w:after="80" w:line="240" w:lineRule="auto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reCar" w:type="character">
    <w:name w:val="Titre Car"/>
    <w:basedOn w:val="Policepardfaut"/>
    <w:link w:val="Titre"/>
    <w:uiPriority w:val="10"/>
    <w:rsid w:val="00D968BC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ous-titre" w:type="paragraph">
    <w:name w:val="Subtitle"/>
    <w:basedOn w:val="Normal"/>
    <w:next w:val="Normal"/>
    <w:link w:val="Sous-titreCar"/>
    <w:uiPriority w:val="11"/>
    <w:qFormat/>
    <w:rsid w:val="00D968BC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ous-titreCar" w:type="character">
    <w:name w:val="Sous-titre Car"/>
    <w:basedOn w:val="Policepardfaut"/>
    <w:link w:val="Sous-titre"/>
    <w:uiPriority w:val="11"/>
    <w:rsid w:val="00D968BC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Citation" w:type="paragraph">
    <w:name w:val="Quote"/>
    <w:basedOn w:val="Normal"/>
    <w:next w:val="Normal"/>
    <w:link w:val="CitationCar"/>
    <w:uiPriority w:val="29"/>
    <w:qFormat/>
    <w:rsid w:val="00D968BC"/>
    <w:pPr>
      <w:spacing w:before="160"/>
      <w:jc w:val="center"/>
    </w:pPr>
    <w:rPr>
      <w:i/>
      <w:iCs/>
      <w:color w:themeColor="text1" w:themeTint="BF" w:val="404040"/>
    </w:rPr>
  </w:style>
  <w:style w:customStyle="1" w:styleId="CitationCar" w:type="character">
    <w:name w:val="Citation Car"/>
    <w:basedOn w:val="Policepardfaut"/>
    <w:link w:val="Citation"/>
    <w:uiPriority w:val="29"/>
    <w:rsid w:val="00D968BC"/>
    <w:rPr>
      <w:i/>
      <w:iCs/>
      <w:color w:themeColor="text1" w:themeTint="BF" w:val="404040"/>
    </w:rPr>
  </w:style>
  <w:style w:styleId="Paragraphedeliste" w:type="paragraph">
    <w:name w:val="List Paragraph"/>
    <w:basedOn w:val="Normal"/>
    <w:qFormat/>
    <w:rsid w:val="00D968BC"/>
    <w:pPr>
      <w:ind w:left="720"/>
      <w:contextualSpacing/>
    </w:pPr>
  </w:style>
  <w:style w:styleId="Accentuationintense" w:type="character">
    <w:name w:val="Intense Emphasis"/>
    <w:basedOn w:val="Policepardfaut"/>
    <w:uiPriority w:val="21"/>
    <w:qFormat/>
    <w:rsid w:val="00D968BC"/>
    <w:rPr>
      <w:i/>
      <w:iCs/>
      <w:color w:themeColor="accent1" w:themeShade="BF" w:val="2F5496"/>
    </w:rPr>
  </w:style>
  <w:style w:styleId="Citationintense" w:type="paragraph">
    <w:name w:val="Intense Quote"/>
    <w:basedOn w:val="Normal"/>
    <w:next w:val="Normal"/>
    <w:link w:val="CitationintenseCar"/>
    <w:uiPriority w:val="30"/>
    <w:qFormat/>
    <w:rsid w:val="00D968BC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CitationintenseCar" w:type="character">
    <w:name w:val="Citation intense Car"/>
    <w:basedOn w:val="Policepardfaut"/>
    <w:link w:val="Citationintense"/>
    <w:uiPriority w:val="30"/>
    <w:rsid w:val="00D968BC"/>
    <w:rPr>
      <w:i/>
      <w:iCs/>
      <w:color w:themeColor="accent1" w:themeShade="BF" w:val="2F5496"/>
    </w:rPr>
  </w:style>
  <w:style w:styleId="Rfrenceintense" w:type="character">
    <w:name w:val="Intense Reference"/>
    <w:basedOn w:val="Policepardfaut"/>
    <w:uiPriority w:val="32"/>
    <w:qFormat/>
    <w:rsid w:val="00D968BC"/>
    <w:rPr>
      <w:b/>
      <w:bCs/>
      <w:smallCaps/>
      <w:color w:themeColor="accent1" w:themeShade="BF" w:val="2F5496"/>
      <w:spacing w:val="5"/>
    </w:rPr>
  </w:style>
  <w:style w:styleId="Textedelespacerserv" w:type="character">
    <w:name w:val="Placeholder Text"/>
    <w:basedOn w:val="Policepardfaut"/>
    <w:uiPriority w:val="99"/>
    <w:semiHidden/>
    <w:rsid w:val="007B38E8"/>
    <w:rPr>
      <w:color w:val="666666"/>
    </w:rPr>
  </w:style>
  <w:style w:styleId="Sansinterligne" w:type="paragraph">
    <w:name w:val="No Spacing"/>
    <w:link w:val="SansinterligneCar"/>
    <w:uiPriority w:val="1"/>
    <w:qFormat/>
    <w:rsid w:val="00A241EB"/>
    <w:pPr>
      <w:spacing w:after="0" w:line="240" w:lineRule="auto"/>
    </w:pPr>
    <w:rPr>
      <w:rFonts w:eastAsiaTheme="minorEastAsia"/>
      <w:kern w:val="0"/>
      <w:lang w:eastAsia="fr-FR"/>
      <w14:ligatures w14:val="none"/>
    </w:rPr>
  </w:style>
  <w:style w:customStyle="1" w:styleId="SansinterligneCar" w:type="character">
    <w:name w:val="Sans interligne Car"/>
    <w:basedOn w:val="Policepardfaut"/>
    <w:link w:val="Sansinterligne"/>
    <w:uiPriority w:val="1"/>
    <w:rsid w:val="00A241EB"/>
    <w:rPr>
      <w:rFonts w:eastAsiaTheme="minorEastAsia"/>
      <w:kern w:val="0"/>
      <w:lang w:eastAsia="fr-FR"/>
      <w14:ligatures w14:val="none"/>
    </w:rPr>
  </w:style>
  <w:style w:styleId="TM2" w:type="paragraph">
    <w:name w:val="toc 2"/>
    <w:basedOn w:val="Normal"/>
    <w:next w:val="Normal"/>
    <w:autoRedefine/>
    <w:uiPriority w:val="39"/>
    <w:unhideWhenUsed/>
    <w:rsid w:val="00A241EB"/>
    <w:pPr>
      <w:spacing w:after="100"/>
      <w:ind w:left="220"/>
    </w:pPr>
  </w:style>
  <w:style w:styleId="TM3" w:type="paragraph">
    <w:name w:val="toc 3"/>
    <w:basedOn w:val="Normal"/>
    <w:next w:val="Normal"/>
    <w:autoRedefine/>
    <w:uiPriority w:val="39"/>
    <w:unhideWhenUsed/>
    <w:rsid w:val="00A241EB"/>
    <w:pPr>
      <w:spacing w:after="100"/>
      <w:ind w:left="440"/>
    </w:pPr>
  </w:style>
  <w:style w:styleId="Lienhypertexte" w:type="character">
    <w:name w:val="Hyperlink"/>
    <w:basedOn w:val="Policepardfaut"/>
    <w:uiPriority w:val="99"/>
    <w:unhideWhenUsed/>
    <w:rsid w:val="00A241EB"/>
    <w:rPr>
      <w:color w:themeColor="hyperlink" w:val="0563C1"/>
      <w:u w:val="single"/>
    </w:rPr>
  </w:style>
  <w:style w:styleId="Notedebasdepage" w:type="paragraph">
    <w:name w:val="footnote text"/>
    <w:basedOn w:val="Normal"/>
    <w:link w:val="NotedebasdepageCar"/>
    <w:uiPriority w:val="99"/>
    <w:semiHidden/>
    <w:unhideWhenUsed/>
    <w:rsid w:val="0035236A"/>
    <w:pPr>
      <w:spacing w:after="0" w:line="240" w:lineRule="auto"/>
    </w:pPr>
    <w:rPr>
      <w:sz w:val="20"/>
      <w:szCs w:val="20"/>
    </w:rPr>
  </w:style>
  <w:style w:customStyle="1" w:styleId="NotedebasdepageCar" w:type="character">
    <w:name w:val="Note de bas de page Car"/>
    <w:basedOn w:val="Policepardfaut"/>
    <w:link w:val="Notedebasdepage"/>
    <w:uiPriority w:val="99"/>
    <w:semiHidden/>
    <w:rsid w:val="0035236A"/>
    <w:rPr>
      <w:sz w:val="20"/>
      <w:szCs w:val="20"/>
    </w:rPr>
  </w:style>
  <w:style w:styleId="Appelnotedebasdep" w:type="character">
    <w:name w:val="footnote reference"/>
    <w:basedOn w:val="Policepardfaut"/>
    <w:uiPriority w:val="99"/>
    <w:semiHidden/>
    <w:unhideWhenUsed/>
    <w:rsid w:val="0035236A"/>
    <w:rPr>
      <w:vertAlign w:val="superscript"/>
    </w:rPr>
  </w:style>
  <w:style w:styleId="Mentionnonrsolue" w:type="character">
    <w:name w:val="Unresolved Mention"/>
    <w:basedOn w:val="Policepardfaut"/>
    <w:uiPriority w:val="99"/>
    <w:semiHidden/>
    <w:unhideWhenUsed/>
    <w:rsid w:val="007B5A28"/>
    <w:rPr>
      <w:color w:val="605E5C"/>
      <w:shd w:color="auto" w:fill="E1DFDD" w:val="clear"/>
    </w:rPr>
  </w:style>
  <w:style w:styleId="Grilledutableau" w:type="table">
    <w:name w:val="Table Grid"/>
    <w:basedOn w:val="TableauNormal"/>
    <w:uiPriority w:val="59"/>
    <w:rsid w:val="00FD2BAC"/>
    <w:pPr>
      <w:spacing w:after="0" w:line="240" w:lineRule="auto"/>
    </w:pPr>
    <w:rPr>
      <w:rFonts w:eastAsiaTheme="minorEastAsia"/>
      <w:kern w:val="0"/>
      <w:lang w:val="fr"/>
      <w14:ligatures w14:val="none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TM1" w:type="paragraph">
    <w:name w:val="toc 1"/>
    <w:basedOn w:val="Normal"/>
    <w:next w:val="Normal"/>
    <w:autoRedefine/>
    <w:uiPriority w:val="39"/>
    <w:unhideWhenUsed/>
    <w:rsid w:val="00726156"/>
    <w:pPr>
      <w:spacing w:after="100"/>
    </w:p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65" Target="media/rId65.png" /><Relationship Type="http://schemas.openxmlformats.org/officeDocument/2006/relationships/image" Id="rId44" Target="media/rId44.png" /><Relationship Type="http://schemas.openxmlformats.org/officeDocument/2006/relationships/image" Id="rId47" Target="media/rId47.png" /><Relationship Type="http://schemas.openxmlformats.org/officeDocument/2006/relationships/image" Id="rId50" Target="media/rId50.png" /><Relationship Type="http://schemas.openxmlformats.org/officeDocument/2006/relationships/image" Id="rId53" Target="media/rId53.png" /><Relationship Type="http://schemas.openxmlformats.org/officeDocument/2006/relationships/image" Id="rId56" Target="media/rId56.png" /><Relationship Type="http://schemas.openxmlformats.org/officeDocument/2006/relationships/image" Id="rId59" Target="media/rId59.png" /><Relationship Type="http://schemas.openxmlformats.org/officeDocument/2006/relationships/image" Id="rId62" Target="media/rId6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2694</TotalTime>
  <Pages>13</Pages>
  <Words>3394</Words>
  <Characters>18667</Characters>
  <Application>Microsoft Office Word</Application>
  <DocSecurity>0</DocSecurity>
  <Lines>155</Lines>
  <Paragraphs>44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Microsimulation fiscale CEQ — Côte d’Ivoire (EHCVM 2021)</dc:title>
  <dc:creator>Cellule d’Analyses Économiques — ANStat</dc:creator>
  <dc:language>fr</dc:language>
  <cp:keywords/>
  <dcterms:created xsi:type="dcterms:W3CDTF">2026-07-18T22:49:41Z</dcterms:created>
  <dcterms:modified xsi:type="dcterms:W3CDTF">2026-07-18T22:49:41Z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Juillet 2026</vt:lpwstr>
  </property>
  <property fmtid="{D5CDD505-2E9C-101B-9397-08002B2CF9AE}" pid="3" name="numbersections">
    <vt:lpwstr>True</vt:lpwstr>
  </property>
  <property fmtid="{D5CDD505-2E9C-101B-9397-08002B2CF9AE}" pid="4" name="subtitle">
    <vt:lpwstr>Document de travail : méthodologie, pipeline R et résultats — TVA, matrice entrées-sorties et impôts directs</vt:lpwstr>
  </property>
  <property fmtid="{D5CDD505-2E9C-101B-9397-08002B2CF9AE}" pid="5" name="toc">
    <vt:lpwstr>True</vt:lpwstr>
  </property>
  <property fmtid="{D5CDD505-2E9C-101B-9397-08002B2CF9AE}" pid="6" name="toc-depth">
    <vt:lpwstr>2</vt:lpwstr>
  </property>
</Properties>
</file>