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Note de transmission — Pipeline CNPS</w:t>
      </w:r>
    </w:p>
    <w:p>
      <w:pPr>
        <w:pStyle w:val="Subtitle"/>
      </w:pPr>
      <w:r>
        <w:t xml:space="preserve">Audit, contrôles de suivi et rapprochement CIAP/comptabilité nationale</w:t>
      </w:r>
    </w:p>
    <w:p>
      <w:pPr>
        <w:pStyle w:val="Date"/>
      </w:pPr>
      <w:r>
        <w:t xml:space="preserve">1er août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des matières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8" w:name="X5ac656aaa19cc8bb8ffb5fe0c1e5c98cad9dd85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Note de transmission — audit, contrôles de suivi et rapprochement CIAP/comptabilité nationale</w:t>
      </w:r>
    </w:p>
    <w:p>
      <w:pPr>
        <w:pStyle w:val="FirstParagraph"/>
      </w:pPr>
      <w:r>
        <w:rPr>
          <w:b/>
          <w:bCs/>
        </w:rPr>
        <w:t xml:space="preserve">Projet :</w:t>
      </w:r>
      <w:r>
        <w:t xml:space="preserve"> </w:t>
      </w:r>
      <w:r>
        <w:t xml:space="preserve">Pipeline de traitement des déclarations salariales CNPS</w:t>
      </w:r>
      <w:r>
        <w:br/>
      </w:r>
      <w:r>
        <w:rPr>
          <w:b/>
          <w:bCs/>
        </w:rPr>
        <w:t xml:space="preserve">Version de la note :</w:t>
      </w:r>
      <w:r>
        <w:t xml:space="preserve"> </w:t>
      </w:r>
      <w:r>
        <w:t xml:space="preserve">1er août 2026</w:t>
      </w:r>
      <w:r>
        <w:br/>
      </w:r>
      <w:r>
        <w:rPr>
          <w:b/>
          <w:bCs/>
        </w:rPr>
        <w:t xml:space="preserve">Branche auditée :</w:t>
      </w:r>
      <w:r>
        <w:t xml:space="preserve"> </w:t>
      </w:r>
      <w:r>
        <w:rPr>
          <w:rStyle w:val="VerbatimChar"/>
        </w:rPr>
        <w:t xml:space="preserve">fix/audit-phase-b</w:t>
      </w:r>
      <w:r>
        <w:br/>
      </w:r>
      <w:r>
        <w:rPr>
          <w:b/>
          <w:bCs/>
        </w:rPr>
        <w:t xml:space="preserve">Statut :</w:t>
      </w:r>
      <w:r>
        <w:t xml:space="preserve"> </w:t>
      </w:r>
      <w:r>
        <w:t xml:space="preserve">finalisation maximale hors VPN ; aucune connexion MinIO et aucun recalcul des données réelles.</w:t>
      </w:r>
    </w:p>
    <w:bookmarkStart w:id="10" w:name="synthèse-décisionnelle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Synthèse décisionnelle</w:t>
      </w:r>
    </w:p>
    <w:p>
      <w:pPr>
        <w:pStyle w:val="FirstParagraph"/>
      </w:pPr>
      <w:r>
        <w:t xml:space="preserve">Le chemin de publication est désormais cohérent pour produire des</w:t>
      </w:r>
      <w:r>
        <w:t xml:space="preserve"> </w:t>
      </w:r>
      <w:r>
        <w:rPr>
          <w:b/>
          <w:bCs/>
        </w:rPr>
        <w:t xml:space="preserve">estimations ponctuelles IPW</w:t>
      </w:r>
      <w:r>
        <w:rPr>
          <w:b/>
          <w:bCs/>
        </w:rPr>
        <w:t xml:space="preserve"> </w:t>
      </w:r>
      <w:r>
        <w:rPr>
          <w:b/>
          <w:bCs/>
        </w:rPr>
        <w:t xml:space="preserve">à deux étages</w:t>
      </w:r>
      <w:r>
        <w:t xml:space="preserve">, sous réserve de validation sur les données réelles. Le poids appliqué à une ligne</w:t>
      </w:r>
      <w:r>
        <w:t xml:space="preserve"> </w:t>
      </w:r>
      <w:r>
        <w:t xml:space="preserve">salarié–employeur–mois est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W_{ijt}=\frac{D_{jt}S_{ijt}}{\hat p_{jt}\hat q_{ijt}}.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Le code ne revendique plus un AIPW ou une double robustesse qu'il ne pouvait pas assurer.</w:t>
      </w:r>
      <w:r>
        <w:t xml:space="preserve"> </w:t>
      </w:r>
      <w:r>
        <w:t xml:space="preserve">L'ancien mécanisme d'augmentation ad hoc a été retiré du chemin de publication. Les salaires</w:t>
      </w:r>
      <w:r>
        <w:t xml:space="preserve"> </w:t>
      </w:r>
      <w:r>
        <w:t xml:space="preserve">imputés et les règles de Rubin sont également hors du DAG publié.</w:t>
      </w:r>
    </w:p>
    <w:p>
      <w:pPr>
        <w:pStyle w:val="BodyText"/>
      </w:pPr>
      <w:r>
        <w:t xml:space="preserve">La suite hors ligne compte</w:t>
      </w:r>
      <w:r>
        <w:t xml:space="preserve"> </w:t>
      </w:r>
      <w:r>
        <w:rPr>
          <w:b/>
          <w:bCs/>
        </w:rPr>
        <w:t xml:space="preserve">71 tests réussis</w:t>
      </w:r>
      <w:r>
        <w:t xml:space="preserve">. La compilation Python et les contrôles Ruff</w:t>
      </w:r>
      <w:r>
        <w:t xml:space="preserve"> </w:t>
      </w:r>
      <w:r>
        <w:t xml:space="preserve">critiques (</w:t>
      </w:r>
      <w:r>
        <w:rPr>
          <w:rStyle w:val="VerbatimChar"/>
        </w:rPr>
        <w:t xml:space="preserve">F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E9</w:t>
      </w:r>
      <w:r>
        <w:t xml:space="preserve">) passent. Cette validation prouve les invariants programmés sur des</w:t>
      </w:r>
      <w:r>
        <w:t xml:space="preserve"> </w:t>
      </w:r>
      <w:r>
        <w:t xml:space="preserve">données synthétiques ; elle ne valide ni les valeurs CNPS réelles, ni les hypothèses de non-réponse,</w:t>
      </w:r>
      <w:r>
        <w:t xml:space="preserve"> </w:t>
      </w:r>
      <w:r>
        <w:t xml:space="preserve">ni la concordance avec les comptes nationaux.</w:t>
      </w:r>
    </w:p>
    <w:bookmarkStart w:id="9" w:name="décision-de-diffusion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t xml:space="preserve">Décision de diffusion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Décision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hors ligne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Acceptable</w:t>
            </w:r>
            <w:r>
              <w:t xml:space="preserve">, avec garde-fous renforcés.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Estimations ponctuelles réelles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À finaliser après VPN</w:t>
            </w:r>
            <w:r>
              <w:t xml:space="preserve">, seulement si tous les contrôles bloquants passent.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Intervalles de confiance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 diffusables</w:t>
            </w:r>
            <w:r>
              <w:t xml:space="preserve"> </w:t>
            </w:r>
            <w:r>
              <w:t xml:space="preserve">tant que le lot F.1 n'est pas spécifié et validé.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AIPW / double robustesse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Différé</w:t>
            </w:r>
            <w:r>
              <w:t xml:space="preserve"> </w:t>
            </w:r>
            <w:r>
              <w:t xml:space="preserve">; ne pas réintroduire l'ancien pseudo-AIPW.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Comparaison aux comptes nationaux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À construire</w:t>
            </w:r>
            <w:r>
              <w:t xml:space="preserve"> </w:t>
            </w:r>
            <w:r>
              <w:t xml:space="preserve">avec une table CIAP–NAPCN officielle et un pont conceptuel D.11/D.12/D.1.</w:t>
            </w:r>
          </w:p>
        </w:tc>
      </w:tr>
    </w:tbl>
    <w:bookmarkEnd w:id="9"/>
    <w:bookmarkEnd w:id="10"/>
    <w:bookmarkStart w:id="13" w:name="Xbb871fd39557d06a9620f97f363cb94df698f3c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1. Résultats de l'audit technique et méthodologique</w:t>
      </w:r>
    </w:p>
    <w:bookmarkStart w:id="11" w:name="X03a8235b273ec8c9200b612aeb0eb0a603fb5c2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1.1 Corrections structurantes réalisées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Domaine</w:t>
            </w:r>
          </w:p>
        </w:tc>
        <w:tc>
          <w:tcPr/>
          <w:p>
            <w:pPr>
              <w:pStyle w:val="Compact"/>
            </w:pPr>
            <w:r>
              <w:t xml:space="preserve">Correction livrée</w:t>
            </w:r>
          </w:p>
        </w:tc>
        <w:tc>
          <w:tcPr/>
          <w:p>
            <w:pPr>
              <w:pStyle w:val="Compact"/>
            </w:pPr>
            <w:r>
              <w:t xml:space="preserve">Effet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Champ entreprise</w:t>
            </w:r>
          </w:p>
        </w:tc>
        <w:tc>
          <w:tcPr/>
          <w:p>
            <w:pPr>
              <w:pStyle w:val="Compact"/>
            </w:pPr>
            <w:r>
              <w:t xml:space="preserve">Panel mensuel explicite, borne gauche documentée, absence de cessation non inférée, fenêtre (K) strictement passée.</w:t>
            </w:r>
          </w:p>
        </w:tc>
        <w:tc>
          <w:tcPr/>
          <w:p>
            <w:pPr>
              <w:pStyle w:val="Compact"/>
            </w:pPr>
            <w:r>
              <w:t xml:space="preserve">Évite de faire dépendre le champ du mois à prédire.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Temporalité</w:t>
            </w:r>
          </w:p>
        </w:tc>
        <w:tc>
          <w:tcPr/>
          <w:p>
            <w:pPr>
              <w:pStyle w:val="Compact"/>
            </w:pPr>
            <w:r>
              <w:t xml:space="preserve">Attributs propagés uniquement par dernière valeur antérieure ; âges recalculés au mois.</w:t>
            </w:r>
          </w:p>
        </w:tc>
        <w:tc>
          <w:tcPr/>
          <w:p>
            <w:pPr>
              <w:pStyle w:val="Compact"/>
            </w:pPr>
            <w:r>
              <w:t xml:space="preserve">Supprime les fuites d'information future.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Réponse entreprise</w:t>
            </w:r>
          </w:p>
        </w:tc>
        <w:tc>
          <w:tcPr/>
          <w:p>
            <w:pPr>
              <w:pStyle w:val="Compact"/>
            </w:pPr>
            <w:r>
              <w:t xml:space="preserve">Modèle (p_{jt}), diagnostics OOF groupés par employeur, calibration, Brier, équilibre et positivité.</w:t>
            </w:r>
          </w:p>
        </w:tc>
        <w:tc>
          <w:tcPr/>
          <w:p>
            <w:pPr>
              <w:pStyle w:val="Compact"/>
            </w:pPr>
            <w:r>
              <w:t xml:space="preserve">Contrôle la qualité au-delà de l'AUC.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Réponse individuelle</w:t>
            </w:r>
          </w:p>
        </w:tc>
        <w:tc>
          <w:tcPr/>
          <w:p>
            <w:pPr>
              <w:pStyle w:val="Compact"/>
            </w:pPr>
            <w:r>
              <w:t xml:space="preserve">Modèle (q_{ijt}) limité aux entreprises déclarantes, historique par salarié–employeur, contexte entreprise décalé d'un mois civil.</w:t>
            </w:r>
          </w:p>
        </w:tc>
        <w:tc>
          <w:tcPr/>
          <w:p>
            <w:pPr>
              <w:pStyle w:val="Compact"/>
            </w:pPr>
            <w:r>
              <w:t xml:space="preserve">Corrige la non-réponse salariale sur les lignes existantes sans mélange des deux mécanismes.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Poids</w:t>
            </w:r>
          </w:p>
        </w:tc>
        <w:tc>
          <w:tcPr/>
          <w:p>
            <w:pPr>
              <w:pStyle w:val="Compact"/>
            </w:pPr>
            <w:r>
              <w:t xml:space="preserve">Identité (D\times S/(p\times q)), poids nul hors réponse et hors champ, clipping et trimming tracés, poids brut conservé.</w:t>
            </w:r>
          </w:p>
        </w:tc>
        <w:tc>
          <w:tcPr/>
          <w:p>
            <w:pPr>
              <w:pStyle w:val="Compact"/>
            </w:pPr>
            <w:r>
              <w:t xml:space="preserve">Supprime le double comptage des non-répondants.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Jointures</w:t>
            </w:r>
          </w:p>
        </w:tc>
        <w:tc>
          <w:tcPr/>
          <w:p>
            <w:pPr>
              <w:pStyle w:val="Compact"/>
            </w:pPr>
            <w:r>
              <w:t xml:space="preserve">Clés entreprise–mois obligatoires et uniques ; changement de cardinalité bloquant.</w:t>
            </w:r>
          </w:p>
        </w:tc>
        <w:tc>
          <w:tcPr/>
          <w:p>
            <w:pPr>
              <w:pStyle w:val="Compact"/>
            </w:pPr>
            <w:r>
              <w:t xml:space="preserve">Empêche la duplication silencieuse des salariés.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Estimation</w:t>
            </w:r>
          </w:p>
        </w:tc>
        <w:tc>
          <w:tcPr/>
          <w:p>
            <w:pPr>
              <w:pStyle w:val="Compact"/>
            </w:pPr>
            <w:r>
              <w:t xml:space="preserve">Variable propre à chaque statistique ; moyenne/variance winsorisées, quantiles/Gini/extrêmes sur salaire non winsorisé.</w:t>
            </w:r>
          </w:p>
        </w:tc>
        <w:tc>
          <w:tcPr/>
          <w:p>
            <w:pPr>
              <w:pStyle w:val="Compact"/>
            </w:pPr>
            <w:r>
              <w:t xml:space="preserve">Aligne configuration, code et libellés.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Confidentialité</w:t>
            </w:r>
          </w:p>
        </w:tc>
        <w:tc>
          <w:tcPr/>
          <w:p>
            <w:pPr>
              <w:pStyle w:val="Compact"/>
            </w:pPr>
            <w:r>
              <w:t xml:space="preserve">Seuils sur individus et employeurs distincts, dominance d'un employeur, suppression secondaire par marge.</w:t>
            </w:r>
          </w:p>
        </w:tc>
        <w:tc>
          <w:tcPr/>
          <w:p>
            <w:pPr>
              <w:pStyle w:val="Compact"/>
            </w:pPr>
            <w:r>
              <w:t xml:space="preserve">Réduit les risques de divulgation.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Modèles JSON revalidés, poids finaux et ESS contrôlés, statistiques publiées finies et ordonnées, cellules masquées vérifiées.</w:t>
            </w:r>
          </w:p>
        </w:tc>
        <w:tc>
          <w:tcPr/>
          <w:p>
            <w:pPr>
              <w:pStyle w:val="Compact"/>
            </w:pPr>
            <w:r>
              <w:t xml:space="preserve">L'export échoue plutôt que de diffuser une incohérence.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Sécurité</w:t>
            </w:r>
          </w:p>
        </w:tc>
        <w:tc>
          <w:tcPr/>
          <w:p>
            <w:pPr>
              <w:pStyle w:val="Compact"/>
            </w:pPr>
            <w:r>
              <w:t xml:space="preserve">Secrets sortis de la configuration, production obligatoirement TLS, absence de chargement pickle distant.</w:t>
            </w:r>
          </w:p>
        </w:tc>
        <w:tc>
          <w:tcPr/>
          <w:p>
            <w:pPr>
              <w:pStyle w:val="Compact"/>
            </w:pPr>
            <w:r>
              <w:t xml:space="preserve">Réduit l'exposition des identifiants et le risque d'exécution arbitraire.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Filiation</w:t>
            </w:r>
          </w:p>
        </w:tc>
        <w:tc>
          <w:tcPr/>
          <w:p>
            <w:pPr>
              <w:pStyle w:val="Compact"/>
            </w:pPr>
            <w:r>
              <w:t xml:space="preserve">UUID de session, empreinte de configuration sans secrets, commit, état Git et versions logicielles.</w:t>
            </w:r>
          </w:p>
        </w:tc>
        <w:tc>
          <w:tcPr/>
          <w:p>
            <w:pPr>
              <w:pStyle w:val="Compact"/>
            </w:pPr>
            <w:r>
              <w:t xml:space="preserve">Permet d'identifier précisément une exécution.</w:t>
            </w:r>
          </w:p>
        </w:tc>
      </w:tr>
    </w:tbl>
    <w:bookmarkEnd w:id="11"/>
    <w:bookmarkStart w:id="12" w:name="X0e5b15e95db9ca29f0715c70e2e5be79ba121d7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1.2 Robustesse réellement obtenue</w:t>
      </w:r>
    </w:p>
    <w:p>
      <w:pPr>
        <w:pStyle w:val="FirstParagraph"/>
      </w:pPr>
      <w:r>
        <w:t xml:space="preserve">La robustesse actuelle est triple 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robustesse d'ingénierie</w:t>
      </w:r>
      <w:r>
        <w:t xml:space="preserve"> </w:t>
      </w:r>
      <w:r>
        <w:t xml:space="preserve">: invariants, erreurs bloquantes, traçabilité et tests 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robustesse diagnostique</w:t>
      </w:r>
      <w:r>
        <w:t xml:space="preserve"> </w:t>
      </w:r>
      <w:r>
        <w:t xml:space="preserve">: les modèles de réponse sont évalués hors échantillon par</w:t>
      </w:r>
      <w:r>
        <w:t xml:space="preserve"> </w:t>
      </w:r>
      <w:r>
        <w:t xml:space="preserve">employeur et les violations de positivité/calibration sont bloquantes 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robustesse de publication</w:t>
      </w:r>
      <w:r>
        <w:t xml:space="preserve"> </w:t>
      </w:r>
      <w:r>
        <w:t xml:space="preserve">: aucune valeur non finie, aucun intervalle non validé et</w:t>
      </w:r>
      <w:r>
        <w:t xml:space="preserve"> </w:t>
      </w:r>
      <w:r>
        <w:t xml:space="preserve">aucune petite cellule non masquée ne doivent sortir.</w:t>
      </w:r>
    </w:p>
    <w:p>
      <w:pPr>
        <w:pStyle w:val="FirstParagraph"/>
      </w:pPr>
      <w:r>
        <w:t xml:space="preserve">Elle n'est pas une double robustesse statistique. La validité de l'IPW reste conditionnelle à :</w:t>
      </w:r>
    </w:p>
    <w:p>
      <w:pPr>
        <w:pStyle w:val="Compact"/>
        <w:numPr>
          <w:ilvl w:val="0"/>
          <w:numId w:val="1002"/>
        </w:numPr>
      </w:pPr>
      <w:r>
        <w:t xml:space="preserve">une définition correcte de la population visée ;</w:t>
      </w:r>
    </w:p>
    <w:p>
      <w:pPr>
        <w:pStyle w:val="Compact"/>
        <w:numPr>
          <w:ilvl w:val="0"/>
          <w:numId w:val="1002"/>
        </w:numPr>
      </w:pPr>
      <w:r>
        <w:t xml:space="preserve">une probabilité de réponse strictement positive ;</w:t>
      </w:r>
    </w:p>
    <w:p>
      <w:pPr>
        <w:pStyle w:val="Compact"/>
        <w:numPr>
          <w:ilvl w:val="0"/>
          <w:numId w:val="1002"/>
        </w:numPr>
      </w:pPr>
      <w:r>
        <w:t xml:space="preserve">des modèles (p) et (q) suffisamment bien spécifiés ;</w:t>
      </w:r>
    </w:p>
    <w:p>
      <w:pPr>
        <w:pStyle w:val="Compact"/>
        <w:numPr>
          <w:ilvl w:val="0"/>
          <w:numId w:val="1002"/>
        </w:numPr>
      </w:pPr>
      <w:r>
        <w:t xml:space="preserve">une hypothèse de non-réponse explicable par les variables observées ;</w:t>
      </w:r>
    </w:p>
    <w:p>
      <w:pPr>
        <w:pStyle w:val="Compact"/>
        <w:numPr>
          <w:ilvl w:val="0"/>
          <w:numId w:val="1002"/>
        </w:numPr>
      </w:pPr>
      <w:r>
        <w:t xml:space="preserve">l'existence d'une ligne pour chaque salarié que (q) est censé représenter.</w:t>
      </w:r>
    </w:p>
    <w:bookmarkEnd w:id="12"/>
    <w:bookmarkEnd w:id="13"/>
    <w:bookmarkStart w:id="14" w:name="X021f57fdd359db3584119c37bcee8026b5cfda4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2. Valeurs historiques à conserver comme points de contrôle</w:t>
      </w:r>
    </w:p>
    <w:p>
      <w:pPr>
        <w:pStyle w:val="FirstParagraph"/>
      </w:pPr>
      <w:r>
        <w:t xml:space="preserve">Les valeurs ci-dessous proviennent de l'audit antérieur portant sur 23 fichiers. Elles sont</w:t>
      </w:r>
      <w:r>
        <w:t xml:space="preserve"> </w:t>
      </w:r>
      <w:r>
        <w:rPr>
          <w:b/>
          <w:bCs/>
        </w:rPr>
        <w:t xml:space="preserve">historiques, non recalculées dans cette session et non publiables comme résultats courants</w:t>
      </w:r>
      <w:r>
        <w:t xml:space="preserve">.</w:t>
      </w:r>
      <w:r>
        <w:t xml:space="preserve"> </w:t>
      </w:r>
      <w:r>
        <w:t xml:space="preserve">Elles servent de points de départ pour détecter une rupture lors de la prochaine exécution.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Indicateur historique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Valeur</w:t>
            </w:r>
          </w:p>
        </w:tc>
        <w:tc>
          <w:tcPr/>
          <w:p>
            <w:pPr>
              <w:pStyle w:val="Compact"/>
            </w:pPr>
            <w:r>
              <w:t xml:space="preserve">Utilisation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Salaires manquants situés dans des entreprises ayant déclaré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65,3 %</w:t>
            </w:r>
          </w:p>
        </w:tc>
        <w:tc>
          <w:tcPr/>
          <w:p>
            <w:pPr>
              <w:pStyle w:val="Compact"/>
            </w:pPr>
            <w:r>
              <w:t xml:space="preserve">Justifie le second étage (q).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Couples entreprise–mois à déclaration partielle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17,9 %</w:t>
            </w:r>
          </w:p>
        </w:tc>
        <w:tc>
          <w:tcPr/>
          <w:p>
            <w:pPr>
              <w:pStyle w:val="Compact"/>
            </w:pPr>
            <w:r>
              <w:t xml:space="preserve">Suivi mensuel de la non-réponse partielle.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Salariés concentrés dans ces déclarations partielles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74 % ; 20,1 M sur 26,9 M</w:t>
            </w:r>
          </w:p>
        </w:tc>
        <w:tc>
          <w:tcPr/>
          <w:p>
            <w:pPr>
              <w:pStyle w:val="Compact"/>
            </w:pPr>
            <w:r>
              <w:t xml:space="preserve">Contrôle de concentration par taille d'employeur.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Périodicité non renseignée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56,2 %</w:t>
            </w:r>
          </w:p>
        </w:tc>
        <w:tc>
          <w:tcPr/>
          <w:p>
            <w:pPr>
              <w:pStyle w:val="Compact"/>
            </w:pPr>
            <w:r>
              <w:t xml:space="preserve">Rend obligatoire la sensibilité</w:t>
            </w:r>
            <w:r>
              <w:t xml:space="preserve"> </w:t>
            </w:r>
            <w:r>
              <w:rPr>
                <w:rStyle w:val="VerbatimChar"/>
              </w:rPr>
              <w:t xml:space="preserve">monthly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daily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Périodicité mensuelle / journalière / horaire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40,9 % / 2,3 % / 0,6 %</w:t>
            </w:r>
          </w:p>
        </w:tc>
        <w:tc>
          <w:tcPr/>
          <w:p>
            <w:pPr>
              <w:pStyle w:val="Compact"/>
            </w:pPr>
            <w:r>
              <w:t xml:space="preserve">Contrôle de composition.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Lignes horaires avec confusion d'unité suspectée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65,5 % sur 157 054 lignes</w:t>
            </w:r>
          </w:p>
        </w:tc>
        <w:tc>
          <w:tcPr/>
          <w:p>
            <w:pPr>
              <w:pStyle w:val="Compact"/>
            </w:pPr>
            <w:r>
              <w:t xml:space="preserve">Motive l'exclusion actuelle des horaires.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Lignes horaires avec durée incohérente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69,0 %</w:t>
            </w:r>
          </w:p>
        </w:tc>
        <w:tc>
          <w:tcPr/>
          <w:p>
            <w:pPr>
              <w:pStyle w:val="Compact"/>
            </w:pPr>
            <w:r>
              <w:t xml:space="preserve">Contrôle avant toute réintégration.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d'effectif représentée par les horaires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1,4 %</w:t>
            </w:r>
          </w:p>
        </w:tc>
        <w:tc>
          <w:tcPr/>
          <w:p>
            <w:pPr>
              <w:pStyle w:val="Compact"/>
            </w:pPr>
            <w:r>
              <w:t xml:space="preserve">Mesure l'impact de l'exclusion.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Durées incohérentes chez les journaliers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0,12 %</w:t>
            </w:r>
          </w:p>
        </w:tc>
        <w:tc>
          <w:tcPr/>
          <w:p>
            <w:pPr>
              <w:pStyle w:val="Compact"/>
            </w:pPr>
            <w:r>
              <w:t xml:space="preserve">Étaye la conversion ×22,4.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Journaliers parmi les salaires à périodicité connue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5,7 %</w:t>
            </w:r>
          </w:p>
        </w:tc>
        <w:tc>
          <w:tcPr/>
          <w:p>
            <w:pPr>
              <w:pStyle w:val="Compact"/>
            </w:pPr>
            <w:r>
              <w:t xml:space="preserve">Suivi du risque de biais si exclusion.</w:t>
            </w:r>
          </w:p>
        </w:tc>
      </w:tr>
    </w:tbl>
    <w:p>
      <w:pPr>
        <w:pStyle w:val="BodyText"/>
      </w:pPr>
      <w:r>
        <w:t xml:space="preserve">Les anciens poids « médiane 2,77 ; moyenne 1 492,73 ; maximum 8 231,55 » décrivaient une</w:t>
      </w:r>
      <w:r>
        <w:t xml:space="preserve"> </w:t>
      </w:r>
      <w:r>
        <w:t xml:space="preserve">version défectueuse et extrêmement instable. Ils constituent un</w:t>
      </w:r>
      <w:r>
        <w:t xml:space="preserve"> </w:t>
      </w:r>
      <w:r>
        <w:rPr>
          <w:b/>
          <w:bCs/>
        </w:rPr>
        <w:t xml:space="preserve">signal d'alerte historique</w:t>
      </w:r>
      <w:r>
        <w:t xml:space="preserve">,</w:t>
      </w:r>
      <w:r>
        <w:t xml:space="preserve"> </w:t>
      </w:r>
      <w:r>
        <w:t xml:space="preserve">pas une cible à reproduire.</w:t>
      </w:r>
    </w:p>
    <w:bookmarkEnd w:id="14"/>
    <w:bookmarkStart w:id="17" w:name="X40ca73c9130840ae087f7d45c5f5becb1706852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3. Contrôles nécessaires après rétablissement du VPN</w:t>
      </w:r>
    </w:p>
    <w:bookmarkStart w:id="15" w:name="Xe43b3ac4a1e3170bc96f9cccc4e7c0051056143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3.1 Matrice de contrôles bloquants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Étape</w:t>
            </w:r>
          </w:p>
        </w:tc>
        <w:tc>
          <w:tcPr/>
          <w:p>
            <w:pPr>
              <w:pStyle w:val="Compact"/>
            </w:pPr>
            <w:r>
              <w:t xml:space="preserve">Mesure à collecter</w:t>
            </w:r>
          </w:p>
        </w:tc>
        <w:tc>
          <w:tcPr/>
          <w:p>
            <w:pPr>
              <w:pStyle w:val="Compact"/>
            </w:pPr>
            <w:r>
              <w:t xml:space="preserve">Règle proposée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Inventaire</w:t>
            </w:r>
          </w:p>
        </w:tc>
        <w:tc>
          <w:tcPr/>
          <w:p>
            <w:pPr>
              <w:pStyle w:val="Compact"/>
            </w:pPr>
            <w:r>
              <w:t xml:space="preserve">Nombre de fichiers attendus/reçus, mois couverts, feuilles, taille et SHA-256</w:t>
            </w:r>
          </w:p>
        </w:tc>
        <w:tc>
          <w:tcPr/>
          <w:p>
            <w:pPr>
              <w:pStyle w:val="Compact"/>
            </w:pPr>
            <w:r>
              <w:t xml:space="preserve">Aucun mois attendu manquant sans décision documentée.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Schéma</w:t>
            </w:r>
          </w:p>
        </w:tc>
        <w:tc>
          <w:tcPr/>
          <w:p>
            <w:pPr>
              <w:pStyle w:val="Compact"/>
            </w:pPr>
            <w:r>
              <w:t xml:space="preserve">Colonnes nouvelles, absentes, types, taux de parsing</w:t>
            </w:r>
          </w:p>
        </w:tc>
        <w:tc>
          <w:tcPr/>
          <w:p>
            <w:pPr>
              <w:pStyle w:val="Compact"/>
            </w:pPr>
            <w:r>
              <w:t xml:space="preserve">Colonne obligatoire absente : blocage ; échec numérique &gt; 1 % : blocage technique actuel.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Déduplication</w:t>
            </w:r>
          </w:p>
        </w:tc>
        <w:tc>
          <w:tcPr/>
          <w:p>
            <w:pPr>
              <w:pStyle w:val="Compact"/>
            </w:pPr>
            <w:r>
              <w:t xml:space="preserve">Doublons à clé complète, clés incomplètes conservées</w:t>
            </w:r>
          </w:p>
        </w:tc>
        <w:tc>
          <w:tcPr/>
          <w:p>
            <w:pPr>
              <w:pStyle w:val="Compact"/>
            </w:pPr>
            <w:r>
              <w:t xml:space="preserve">Doublon complet résiduel : blocage ; clés incomplètes : volume et taux publiés au contrôle.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Périodicité</w:t>
            </w:r>
          </w:p>
        </w:tc>
        <w:tc>
          <w:tcPr/>
          <w:p>
            <w:pPr>
              <w:pStyle w:val="Compact"/>
            </w:pPr>
            <w:r>
              <w:t xml:space="preserve">Parts M/J/H/inconnue, lignes exclues par hypothèse</w:t>
            </w:r>
          </w:p>
        </w:tc>
        <w:tc>
          <w:tcPr/>
          <w:p>
            <w:pPr>
              <w:pStyle w:val="Compact"/>
            </w:pPr>
            <w:r>
              <w:t xml:space="preserve">Comparer à l'historique ; exécuter</w:t>
            </w:r>
            <w:r>
              <w:t xml:space="preserve"> </w:t>
            </w:r>
            <w:r>
              <w:rPr>
                <w:rStyle w:val="VerbatimChar"/>
              </w:rPr>
              <w:t xml:space="preserve">monthly</w:t>
            </w:r>
            <w:r>
              <w:t xml:space="preserve"> </w:t>
            </w:r>
            <w:r>
              <w:t xml:space="preserve">et</w:t>
            </w:r>
            <w:r>
              <w:t xml:space="preserve"> </w:t>
            </w:r>
            <w:r>
              <w:rPr>
                <w:rStyle w:val="VerbatimChar"/>
              </w:rPr>
              <w:t xml:space="preserve">daily</w:t>
            </w:r>
            <w:r>
              <w:t xml:space="preserve"> </w:t>
            </w:r>
            <w:r>
              <w:t xml:space="preserve">pour l'inconnue.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Salaire</w:t>
            </w:r>
          </w:p>
        </w:tc>
        <w:tc>
          <w:tcPr/>
          <w:p>
            <w:pPr>
              <w:pStyle w:val="Compact"/>
            </w:pPr>
            <w:r>
              <w:t xml:space="preserve">Volumes avant/après seuil, winsorisation, quantiles et extrêmes</w:t>
            </w:r>
          </w:p>
        </w:tc>
        <w:tc>
          <w:tcPr/>
          <w:p>
            <w:pPr>
              <w:pStyle w:val="Compact"/>
            </w:pPr>
            <w:r>
              <w:t xml:space="preserve">Toute rupture doit être expliquée par millésime/source, jamais corrigée automatiquement.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Panel</w:t>
            </w:r>
          </w:p>
        </w:tc>
        <w:tc>
          <w:tcPr/>
          <w:p>
            <w:pPr>
              <w:pStyle w:val="Compact"/>
            </w:pPr>
            <w:r>
              <w:t xml:space="preserve">Employeurs, débuts imputés, troncatures gauches, fins censurées</w:t>
            </w:r>
          </w:p>
        </w:tc>
        <w:tc>
          <w:tcPr/>
          <w:p>
            <w:pPr>
              <w:pStyle w:val="Compact"/>
            </w:pPr>
            <w:r>
              <w:t xml:space="preserve">Aucun « décès » d'entreprise inféré de la non-réponse.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Champ (K)</w:t>
            </w:r>
          </w:p>
        </w:tc>
        <w:tc>
          <w:tcPr/>
          <w:p>
            <w:pPr>
              <w:pStyle w:val="Compact"/>
            </w:pPr>
            <w:r>
              <w:t xml:space="preserve">Effectifs et estimations pour (K=6,12,24,\infty)</w:t>
            </w:r>
          </w:p>
        </w:tc>
        <w:tc>
          <w:tcPr/>
          <w:p>
            <w:pPr>
              <w:pStyle w:val="Compact"/>
            </w:pPr>
            <w:r>
              <w:t xml:space="preserve">Publier l'écart au scénario central ; choix final validé institutionnellement.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Réponse</w:t>
            </w:r>
          </w:p>
        </w:tc>
        <w:tc>
          <w:tcPr/>
          <w:p>
            <w:pPr>
              <w:pStyle w:val="Compact"/>
            </w:pPr>
            <w:r>
              <w:t xml:space="preserve">Taux (D), taux (S</w:t>
            </w:r>
          </w:p>
        </w:tc>
        <w:tc>
          <w:tcPr/>
          <w:p>
            <w:pPr>
              <w:pStyle w:val="Compact"/>
            </w:pPr>
            <w:r>
              <w:t xml:space="preserve">D=1), strates sans répondant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Modèles</w:t>
            </w:r>
          </w:p>
        </w:tc>
        <w:tc>
          <w:tcPr/>
          <w:p>
            <w:pPr>
              <w:pStyle w:val="Compact"/>
            </w:pPr>
            <w:r>
              <w:t xml:space="preserve">AUC, Brier, pente, calibration-large, SMD, supports (p/q)</w:t>
            </w:r>
          </w:p>
        </w:tc>
        <w:tc>
          <w:tcPr/>
          <w:p>
            <w:pPr>
              <w:pStyle w:val="Compact"/>
            </w:pPr>
            <w:r>
              <w:t xml:space="preserve">AUC descriptive ; calibration, équilibre, recouvrement et valeurs finies bloquants.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Poids</w:t>
            </w:r>
          </w:p>
        </w:tc>
        <w:tc>
          <w:tcPr/>
          <w:p>
            <w:pPr>
              <w:pStyle w:val="Compact"/>
            </w:pPr>
            <w:r>
              <w:t xml:space="preserve">Min/médiane/moyenne/max, CV, percentiles, clipping, trimming, ESS</w:t>
            </w:r>
          </w:p>
        </w:tc>
        <w:tc>
          <w:tcPr/>
          <w:p>
            <w:pPr>
              <w:pStyle w:val="Compact"/>
            </w:pPr>
            <w:r>
              <w:t xml:space="preserve">Identité (D\times S/(p\times q)) exacte ; poids positif uniquement pour les répondants.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Estimations</w:t>
            </w:r>
          </w:p>
        </w:tc>
        <w:tc>
          <w:tcPr/>
          <w:p>
            <w:pPr>
              <w:pStyle w:val="Compact"/>
            </w:pPr>
            <w:r>
              <w:t xml:space="preserve">Moyenne, dispersion, quantiles, Gini, masses et effectifs</w:t>
            </w:r>
          </w:p>
        </w:tc>
        <w:tc>
          <w:tcPr/>
          <w:p>
            <w:pPr>
              <w:pStyle w:val="Compact"/>
            </w:pPr>
            <w:r>
              <w:t xml:space="preserve">Valeurs finies, quantiles ordonnés, moyenne dans min–max.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Confidentialité</w:t>
            </w:r>
          </w:p>
        </w:tc>
        <w:tc>
          <w:tcPr/>
          <w:p>
            <w:pPr>
              <w:pStyle w:val="Compact"/>
            </w:pPr>
            <w:r>
              <w:t xml:space="preserve">Individus, employeurs, dominance et suppression secondaire</w:t>
            </w:r>
          </w:p>
        </w:tc>
        <w:tc>
          <w:tcPr/>
          <w:p>
            <w:pPr>
              <w:pStyle w:val="Compact"/>
            </w:pPr>
            <w:r>
              <w:t xml:space="preserve">Seuils actuels 30 individus, 3 employeurs, dominance ≤ 85 %, à faire homologuer.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</w:t>
            </w:r>
          </w:p>
        </w:tc>
        <w:tc>
          <w:tcPr/>
          <w:p>
            <w:pPr>
              <w:pStyle w:val="Compact"/>
            </w:pPr>
            <w:r>
              <w:t xml:space="preserve">Statut d'inférence et rapport de validation</w:t>
            </w:r>
          </w:p>
        </w:tc>
        <w:tc>
          <w:tcPr/>
          <w:p>
            <w:pPr>
              <w:pStyle w:val="Compact"/>
            </w:pPr>
            <w:r>
              <w:t xml:space="preserve">Toute erreur bloque ; aucune colonne d'IC tant que F.1 est en attente.</w:t>
            </w:r>
          </w:p>
        </w:tc>
      </w:tr>
    </w:tbl>
    <w:p>
      <w:pPr>
        <w:pStyle w:val="BodyText"/>
      </w:pPr>
      <w:r>
        <w:t xml:space="preserve">Les seuils actuels de calibration, clipping, trimming et confidentialité sont des paramètres</w:t>
      </w:r>
      <w:r>
        <w:t xml:space="preserve"> </w:t>
      </w:r>
      <w:r>
        <w:t xml:space="preserve">techniques de prépublication. Ils doivent être confirmés par la gouvernance statistique.</w:t>
      </w:r>
    </w:p>
    <w:bookmarkEnd w:id="15"/>
    <w:bookmarkStart w:id="16" w:name="X8cb04c811299227e763e58dd201a0c487ca9cdd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3.2 Table historique de suivi</w:t>
      </w:r>
    </w:p>
    <w:p>
      <w:pPr>
        <w:pStyle w:val="FirstParagraph"/>
      </w:pPr>
      <w:r>
        <w:t xml:space="preserve">Créer une table append-only, une ligne par période et session, contenant au minimum 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period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source_vintage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session_uuid</w:t>
      </w:r>
      <w:r>
        <w:t xml:space="preserve">,</w:t>
      </w:r>
      <w:r>
        <w:t xml:space="preserve"> </w:t>
      </w:r>
      <w:r>
        <w:rPr>
          <w:rStyle w:val="VerbatimChar"/>
        </w:rPr>
        <w:t xml:space="preserve">input_sha256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config_sha256</w:t>
      </w:r>
      <w:r>
        <w:t xml:space="preserve">,</w:t>
      </w:r>
      <w:r>
        <w:t xml:space="preserve"> </w:t>
      </w:r>
      <w:r>
        <w:rPr>
          <w:rStyle w:val="VerbatimChar"/>
        </w:rPr>
        <w:t xml:space="preserve">git_commit</w:t>
      </w:r>
      <w:r>
        <w:t xml:space="preserve"> </w:t>
      </w:r>
      <w:r>
        <w:t xml:space="preserve">et versions des dépendances ;</w:t>
      </w:r>
    </w:p>
    <w:p>
      <w:pPr>
        <w:pStyle w:val="Compact"/>
        <w:numPr>
          <w:ilvl w:val="0"/>
          <w:numId w:val="1003"/>
        </w:numPr>
      </w:pPr>
      <w:r>
        <w:t xml:space="preserve">nombre de fichiers, lignes, individus, employeurs et couples entreprise–mois ;</w:t>
      </w:r>
    </w:p>
    <w:p>
      <w:pPr>
        <w:pStyle w:val="Compact"/>
        <w:numPr>
          <w:ilvl w:val="0"/>
          <w:numId w:val="1003"/>
        </w:numPr>
      </w:pPr>
      <w:r>
        <w:t xml:space="preserve">taux de clés incomplètes, doublons complets, erreurs de parsing et périodicités ;</w:t>
      </w:r>
    </w:p>
    <w:p>
      <w:pPr>
        <w:pStyle w:val="Compact"/>
        <w:numPr>
          <w:ilvl w:val="0"/>
          <w:numId w:val="1003"/>
        </w:numPr>
      </w:pPr>
      <w:r>
        <w:t xml:space="preserve">taux (D), (S|D=1), supports de (p) et (q), calibration, Brier et SMD ;</w:t>
      </w:r>
    </w:p>
    <w:p>
      <w:pPr>
        <w:pStyle w:val="Compact"/>
        <w:numPr>
          <w:ilvl w:val="0"/>
          <w:numId w:val="1003"/>
        </w:numPr>
      </w:pPr>
      <w:r>
        <w:t xml:space="preserve">percentiles des poids, part clippée, part tronquée, ESS et ratio ESS/n ;</w:t>
      </w:r>
    </w:p>
    <w:p>
      <w:pPr>
        <w:pStyle w:val="Compact"/>
        <w:numPr>
          <w:ilvl w:val="0"/>
          <w:numId w:val="1003"/>
        </w:numPr>
      </w:pPr>
      <w:r>
        <w:t xml:space="preserve">volumes avant/après chaque exclusion ;</w:t>
      </w:r>
    </w:p>
    <w:p>
      <w:pPr>
        <w:pStyle w:val="Compact"/>
        <w:numPr>
          <w:ilvl w:val="0"/>
          <w:numId w:val="1003"/>
        </w:numPr>
      </w:pPr>
      <w:r>
        <w:t xml:space="preserve">valeurs des indicateurs centraux par mois et branche ;</w:t>
      </w:r>
    </w:p>
    <w:p>
      <w:pPr>
        <w:pStyle w:val="Compact"/>
        <w:numPr>
          <w:ilvl w:val="0"/>
          <w:numId w:val="1003"/>
        </w:numPr>
      </w:pPr>
      <w:r>
        <w:t xml:space="preserve">statut</w:t>
      </w:r>
      <w:r>
        <w:t xml:space="preserve"> </w:t>
      </w:r>
      <w:r>
        <w:rPr>
          <w:rStyle w:val="VerbatimChar"/>
        </w:rPr>
        <w:t xml:space="preserve">PASS/WARNING/FAIL</w:t>
      </w:r>
      <w:r>
        <w:t xml:space="preserve">, justification, décision, responsable et date de visa.</w:t>
      </w:r>
    </w:p>
    <w:p>
      <w:pPr>
        <w:pStyle w:val="FirstParagraph"/>
      </w:pPr>
      <w:r>
        <w:t xml:space="preserve">Les alertes historiques doivent s'appuyer sur des séries versionnées : médiane mobile et écart</w:t>
      </w:r>
      <w:r>
        <w:t xml:space="preserve"> </w:t>
      </w:r>
      <w:r>
        <w:t xml:space="preserve">absolu médian, ou intervalles interquartiles, avec prise en compte des révisions de source. Une</w:t>
      </w:r>
      <w:r>
        <w:t xml:space="preserve"> </w:t>
      </w:r>
      <w:r>
        <w:t xml:space="preserve">alerte ne doit jamais entraîner automatiquement la suppression d'une observation économique.</w:t>
      </w:r>
    </w:p>
    <w:bookmarkEnd w:id="16"/>
    <w:bookmarkEnd w:id="17"/>
    <w:bookmarkStart w:id="22" w:name="Xea24c91d5c6c45be1fbc5c198a76f7e3889c23f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4. Éléments indispensables pour la finalisation des estimations</w:t>
      </w:r>
    </w:p>
    <w:bookmarkStart w:id="18" w:name="X27f9146d21b6485424b90a7e6c694baa6bd9e74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4.1 Données CNPS à obtenir ou confirmer</w:t>
      </w:r>
    </w:p>
    <w:p>
      <w:pPr>
        <w:pStyle w:val="Compact"/>
        <w:numPr>
          <w:ilvl w:val="0"/>
          <w:numId w:val="1004"/>
        </w:numPr>
      </w:pPr>
      <w:r>
        <w:t xml:space="preserve">inventaire officiel des mois et fichiers attendus ;</w:t>
      </w:r>
    </w:p>
    <w:p>
      <w:pPr>
        <w:pStyle w:val="Compact"/>
        <w:numPr>
          <w:ilvl w:val="0"/>
          <w:numId w:val="1004"/>
        </w:numPr>
      </w:pPr>
      <w:r>
        <w:t xml:space="preserve">définition juridique et comptable de</w:t>
      </w:r>
      <w:r>
        <w:t xml:space="preserve"> </w:t>
      </w:r>
      <w:r>
        <w:rPr>
          <w:rStyle w:val="VerbatimChar"/>
        </w:rPr>
        <w:t xml:space="preserve">SALAIRE_BRUT</w:t>
      </w:r>
      <w:r>
        <w:t xml:space="preserve"> </w:t>
      </w:r>
      <w:r>
        <w:t xml:space="preserve">: primes, rappels, avantages en nature,</w:t>
      </w:r>
      <w:r>
        <w:t xml:space="preserve"> </w:t>
      </w:r>
      <w:r>
        <w:t xml:space="preserve">retenues salarié et assiette de cotisation ;</w:t>
      </w:r>
    </w:p>
    <w:p>
      <w:pPr>
        <w:pStyle w:val="Compact"/>
        <w:numPr>
          <w:ilvl w:val="0"/>
          <w:numId w:val="1004"/>
        </w:numPr>
      </w:pPr>
      <w:r>
        <w:t xml:space="preserve">registre de cessation/radiation des employeurs, ou décision explicite de conserver le</w:t>
      </w:r>
      <w:r>
        <w:t xml:space="preserve"> </w:t>
      </w:r>
      <w:r>
        <w:t xml:space="preserve">censurage à droite ;</w:t>
      </w:r>
    </w:p>
    <w:p>
      <w:pPr>
        <w:pStyle w:val="Compact"/>
        <w:numPr>
          <w:ilvl w:val="0"/>
          <w:numId w:val="1004"/>
        </w:numPr>
      </w:pPr>
      <w:r>
        <w:t xml:space="preserve">si possible, roster indépendant des salariés couverts par employeur et mois afin de représenter</w:t>
      </w:r>
      <w:r>
        <w:t xml:space="preserve"> </w:t>
      </w:r>
      <w:r>
        <w:t xml:space="preserve">les lignes entièrement omises ;</w:t>
      </w:r>
    </w:p>
    <w:p>
      <w:pPr>
        <w:pStyle w:val="Compact"/>
        <w:numPr>
          <w:ilvl w:val="0"/>
          <w:numId w:val="1004"/>
        </w:numPr>
      </w:pPr>
      <w:r>
        <w:t xml:space="preserve">code d'activité principal de l'employeur, sa nomenclature et sa date de validité ;</w:t>
      </w:r>
    </w:p>
    <w:p>
      <w:pPr>
        <w:pStyle w:val="Compact"/>
        <w:numPr>
          <w:ilvl w:val="0"/>
          <w:numId w:val="1004"/>
        </w:numPr>
      </w:pPr>
      <w:r>
        <w:t xml:space="preserve">distinction public/privé, formel/informel, établissement/entreprise et résident/non-résident ;</w:t>
      </w:r>
    </w:p>
    <w:p>
      <w:pPr>
        <w:pStyle w:val="Compact"/>
        <w:numPr>
          <w:ilvl w:val="0"/>
          <w:numId w:val="1004"/>
        </w:numPr>
      </w:pPr>
      <w:r>
        <w:t xml:space="preserve">calendrier des corrections et déclarations tardives pour passer d'une logique de paiement à</w:t>
      </w:r>
      <w:r>
        <w:t xml:space="preserve"> </w:t>
      </w:r>
      <w:r>
        <w:t xml:space="preserve">une logique d'exercice.</w:t>
      </w:r>
    </w:p>
    <w:p>
      <w:pPr>
        <w:pStyle w:val="FirstParagraph"/>
      </w:pPr>
      <w:r>
        <w:t xml:space="preserve">Sans roster salarié, (q) ne corrige que les salaires manquants sur des lignes existantes. Cette</w:t>
      </w:r>
      <w:r>
        <w:t xml:space="preserve"> </w:t>
      </w:r>
      <w:r>
        <w:t xml:space="preserve">limite doit figurer dans toute diffusion.</w:t>
      </w:r>
    </w:p>
    <w:bookmarkEnd w:id="18"/>
    <w:bookmarkStart w:id="19" w:name="X6233d2e72975da95c3486255467d4d20d68eef3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4.2 Décisions institutionnelles</w:t>
      </w:r>
    </w:p>
    <w:p>
      <w:pPr>
        <w:pStyle w:val="Compact"/>
        <w:numPr>
          <w:ilvl w:val="0"/>
          <w:numId w:val="1005"/>
        </w:numPr>
      </w:pPr>
      <w:r>
        <w:t xml:space="preserve">population cible : salariés CNPS observables ou ensemble des emplois salariés formels ;</w:t>
      </w:r>
    </w:p>
    <w:p>
      <w:pPr>
        <w:pStyle w:val="Compact"/>
        <w:numPr>
          <w:ilvl w:val="0"/>
          <w:numId w:val="1005"/>
        </w:numPr>
      </w:pPr>
      <w:r>
        <w:t xml:space="preserve">traitement des employeurs sans activité connue ;</w:t>
      </w:r>
    </w:p>
    <w:p>
      <w:pPr>
        <w:pStyle w:val="Compact"/>
        <w:numPr>
          <w:ilvl w:val="0"/>
          <w:numId w:val="1005"/>
        </w:numPr>
      </w:pPr>
      <w:r>
        <w:t xml:space="preserve">valeur centrale de (K) après sensibilité ;</w:t>
      </w:r>
    </w:p>
    <w:p>
      <w:pPr>
        <w:pStyle w:val="Compact"/>
        <w:numPr>
          <w:ilvl w:val="0"/>
          <w:numId w:val="1005"/>
        </w:numPr>
      </w:pPr>
      <w:r>
        <w:t xml:space="preserve">hypothèse centrale de périodicité inconnue ;</w:t>
      </w:r>
    </w:p>
    <w:p>
      <w:pPr>
        <w:pStyle w:val="Compact"/>
        <w:numPr>
          <w:ilvl w:val="0"/>
          <w:numId w:val="1005"/>
        </w:numPr>
      </w:pPr>
      <w:r>
        <w:t xml:space="preserve">seuils de confidentialité et règle de dominance ;</w:t>
      </w:r>
    </w:p>
    <w:p>
      <w:pPr>
        <w:pStyle w:val="Compact"/>
        <w:numPr>
          <w:ilvl w:val="0"/>
          <w:numId w:val="1005"/>
        </w:numPr>
      </w:pPr>
      <w:r>
        <w:t xml:space="preserve">traitement des révisions tardives ;</w:t>
      </w:r>
    </w:p>
    <w:p>
      <w:pPr>
        <w:pStyle w:val="Compact"/>
        <w:numPr>
          <w:ilvl w:val="0"/>
          <w:numId w:val="1005"/>
        </w:numPr>
      </w:pPr>
      <w:r>
        <w:t xml:space="preserve">niveau de nomenclature diffusé ;</w:t>
      </w:r>
    </w:p>
    <w:p>
      <w:pPr>
        <w:pStyle w:val="Compact"/>
        <w:numPr>
          <w:ilvl w:val="0"/>
          <w:numId w:val="1005"/>
        </w:numPr>
      </w:pPr>
      <w:r>
        <w:t xml:space="preserve">autorité responsable du visa final.</w:t>
      </w:r>
    </w:p>
    <w:bookmarkEnd w:id="19"/>
    <w:bookmarkStart w:id="21" w:name="X05eb1a6ff81e5f27f8988432739053595a6a296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4.3 Inférence F.1</w:t>
      </w:r>
    </w:p>
    <w:p>
      <w:pPr>
        <w:pStyle w:val="FirstParagraph"/>
      </w:pPr>
      <w:r>
        <w:t xml:space="preserve">Pour diffuser des erreurs-types, il faut spécifier et faire relire :</w:t>
      </w:r>
    </w:p>
    <w:p>
      <w:pPr>
        <w:pStyle w:val="Compact"/>
        <w:numPr>
          <w:ilvl w:val="0"/>
          <w:numId w:val="1006"/>
        </w:numPr>
      </w:pPr>
      <w:r>
        <w:t xml:space="preserve">la linéarisation conjointe des deux régressions logistiques L2 ;</w:t>
      </w:r>
    </w:p>
    <w:p>
      <w:pPr>
        <w:pStyle w:val="Compact"/>
        <w:numPr>
          <w:ilvl w:val="0"/>
          <w:numId w:val="1006"/>
        </w:numPr>
      </w:pPr>
      <w:r>
        <w:t xml:space="preserve">la covariance induite par les employeurs communs ;</w:t>
      </w:r>
    </w:p>
    <w:p>
      <w:pPr>
        <w:pStyle w:val="Compact"/>
        <w:numPr>
          <w:ilvl w:val="0"/>
          <w:numId w:val="1006"/>
        </w:numPr>
      </w:pPr>
      <w:r>
        <w:t xml:space="preserve">l'effet du clipping et du trimming ;</w:t>
      </w:r>
    </w:p>
    <w:p>
      <w:pPr>
        <w:pStyle w:val="Compact"/>
        <w:numPr>
          <w:ilvl w:val="0"/>
          <w:numId w:val="1006"/>
        </w:numPr>
      </w:pPr>
      <w:r>
        <w:t xml:space="preserve">les fonctions d'influence de la moyenne, des quantiles et du Gini ;</w:t>
      </w:r>
    </w:p>
    <w:p>
      <w:pPr>
        <w:pStyle w:val="Compact"/>
        <w:numPr>
          <w:ilvl w:val="0"/>
          <w:numId w:val="1006"/>
        </w:numPr>
      </w:pPr>
      <w:r>
        <w:t xml:space="preserve">la recette de couverture définie dans</w:t>
      </w:r>
      <w:r>
        <w:t xml:space="preserve"> </w:t>
      </w:r>
      <w:hyperlink r:id="rId20">
        <w:r>
          <w:rPr>
            <w:rStyle w:val="Hyperlink"/>
          </w:rPr>
          <w:t xml:space="preserve">le protocole DGP</w:t>
        </w:r>
      </w:hyperlink>
      <w:r>
        <w:t xml:space="preserve">.</w:t>
      </w:r>
    </w:p>
    <w:p>
      <w:pPr>
        <w:pStyle w:val="FirstParagraph"/>
      </w:pPr>
      <w:r>
        <w:t xml:space="preserve">Un bootstrap naïf d'employeurs ajouterait une variance de tirage incompatible avec le cadre de</w:t>
      </w:r>
      <w:r>
        <w:t xml:space="preserve"> </w:t>
      </w:r>
      <w:r>
        <w:t xml:space="preserve">population finie retenu.</w:t>
      </w:r>
    </w:p>
    <w:bookmarkEnd w:id="21"/>
    <w:bookmarkEnd w:id="22"/>
    <w:bookmarkStart w:id="33" w:name="X9a9b8454af0f0d67600c7f57bb9717b95375998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5. Passerelle CIAP vers la comptabilité nationale</w:t>
      </w:r>
    </w:p>
    <w:bookmarkStart w:id="25" w:name="X0cc016eb2cc30330ccc7d426d364d351f8d4912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5.1 Principe</w:t>
      </w:r>
    </w:p>
    <w:p>
      <w:pPr>
        <w:pStyle w:val="FirstParagraph"/>
      </w:pPr>
      <w:r>
        <w:t xml:space="preserve">La CIAP est la nomenclature ivoirienne d'activités et de produits, construite en cohérence avec</w:t>
      </w:r>
      <w:r>
        <w:t xml:space="preserve"> </w:t>
      </w:r>
      <w:r>
        <w:t xml:space="preserve">la CITI Rev. 4 et les nomenclatures AFRISTAT NAEMA/NOPEMA. L'ANStat indique que la NAPCN</w:t>
      </w:r>
      <w:r>
        <w:t xml:space="preserve"> </w:t>
      </w:r>
      <w:r>
        <w:t xml:space="preserve">utilisée pour les comptes nationaux dérive de la CIAP et comprend</w:t>
      </w:r>
      <w:r>
        <w:t xml:space="preserve"> </w:t>
      </w:r>
      <w:r>
        <w:rPr>
          <w:b/>
          <w:bCs/>
        </w:rPr>
        <w:t xml:space="preserve">48 branches, 135</w:t>
      </w:r>
      <w:r>
        <w:rPr>
          <w:b/>
          <w:bCs/>
        </w:rPr>
        <w:t xml:space="preserve"> </w:t>
      </w:r>
      <w:r>
        <w:rPr>
          <w:b/>
          <w:bCs/>
        </w:rPr>
        <w:t xml:space="preserve">sous-branches et 337 produits</w:t>
      </w:r>
      <w:r>
        <w:t xml:space="preserve">.</w:t>
      </w:r>
    </w:p>
    <w:p>
      <w:pPr>
        <w:pStyle w:val="BodyText"/>
      </w:pPr>
      <w:r>
        <w:t xml:space="preserve">Le rapprochement doit utiliser</w:t>
      </w:r>
      <w:r>
        <w:t xml:space="preserve"> </w:t>
      </w:r>
      <w:r>
        <w:rPr>
          <w:b/>
          <w:bCs/>
        </w:rPr>
        <w:t xml:space="preserve">l'activité principale de l'employeur ou de l'établissement</w:t>
      </w:r>
      <w:r>
        <w:t xml:space="preserve">.</w:t>
      </w:r>
      <w:r>
        <w:t xml:space="preserve"> </w:t>
      </w:r>
      <w:r>
        <w:t xml:space="preserve">La profession du salarié, la CSP et le produit vendu ne doivent pas être utilisés comme substitut</w:t>
      </w:r>
      <w:r>
        <w:t xml:space="preserve"> </w:t>
      </w:r>
      <w:r>
        <w:t xml:space="preserve">du code d'activité.</w:t>
      </w:r>
    </w:p>
    <w:p>
      <w:pPr>
        <w:pStyle w:val="BodyText"/>
      </w:pPr>
      <w:r>
        <w:t xml:space="preserve">Sources officielles :</w:t>
      </w:r>
    </w:p>
    <w:p>
      <w:pPr>
        <w:pStyle w:val="Compact"/>
        <w:numPr>
          <w:ilvl w:val="0"/>
          <w:numId w:val="1007"/>
        </w:numPr>
      </w:pPr>
      <w:hyperlink r:id="rId23">
        <w:r>
          <w:rPr>
            <w:rStyle w:val="Hyperlink"/>
          </w:rPr>
          <w:t xml:space="preserve">Classification ivoirienne des activités et des produits — ANStat</w:t>
        </w:r>
      </w:hyperlink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hyperlink r:id="rId24">
        <w:r>
          <w:rPr>
            <w:rStyle w:val="Hyperlink"/>
          </w:rPr>
          <w:t xml:space="preserve">Comptes nationaux annuels définitifs 2023 — ANStat</w:t>
        </w:r>
      </w:hyperlink>
      <w:r>
        <w:t xml:space="preserve">.</w:t>
      </w:r>
    </w:p>
    <w:bookmarkEnd w:id="25"/>
    <w:bookmarkStart w:id="26" w:name="X49cbefdea5426cb063f9590f3c59ac83d8de20a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5.2 Table de passage à constituer</w:t>
      </w:r>
    </w:p>
    <w:p>
      <w:pPr>
        <w:pStyle w:val="FirstParagraph"/>
      </w:pPr>
      <w:r>
        <w:t xml:space="preserve">La table doit être versionnée et comporter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Contenu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source_activity_code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source_activity_label</w:t>
            </w:r>
          </w:p>
        </w:tc>
        <w:tc>
          <w:tcPr/>
          <w:p>
            <w:pPr>
              <w:pStyle w:val="Compact"/>
            </w:pPr>
            <w:r>
              <w:t xml:space="preserve">Code et libellé tels que reçus de la CNPS.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source_nomenclature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source_version</w:t>
            </w:r>
          </w:p>
        </w:tc>
        <w:tc>
          <w:tcPr/>
          <w:p>
            <w:pPr>
              <w:pStyle w:val="Compact"/>
            </w:pPr>
            <w:r>
              <w:t xml:space="preserve">Nomenclature d'origine et millésime.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ciap_activity_code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ciap_activity_label</w:t>
            </w:r>
          </w:p>
        </w:tc>
        <w:tc>
          <w:tcPr/>
          <w:p>
            <w:pPr>
              <w:pStyle w:val="Compact"/>
            </w:pPr>
            <w:r>
              <w:t xml:space="preserve">Activité principale CIAP.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ciap_version</w:t>
            </w:r>
          </w:p>
        </w:tc>
        <w:tc>
          <w:tcPr/>
          <w:p>
            <w:pPr>
              <w:pStyle w:val="Compact"/>
            </w:pPr>
            <w:r>
              <w:t xml:space="preserve">Version officielle utilisée.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napcn_branch_code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napcn_branch_label</w:t>
            </w:r>
          </w:p>
        </w:tc>
        <w:tc>
          <w:tcPr/>
          <w:p>
            <w:pPr>
              <w:pStyle w:val="Compact"/>
            </w:pPr>
            <w:r>
              <w:t xml:space="preserve">Branche de comptes nationaux.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valid_from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valid_to</w:t>
            </w:r>
          </w:p>
        </w:tc>
        <w:tc>
          <w:tcPr/>
          <w:p>
            <w:pPr>
              <w:pStyle w:val="Compact"/>
            </w:pPr>
            <w:r>
              <w:t xml:space="preserve">Période de validité du pont.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match_method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official_exact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deterministic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manual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match_confidence</w:t>
            </w:r>
          </w:p>
        </w:tc>
        <w:tc>
          <w:tcPr/>
          <w:p>
            <w:pPr>
              <w:pStyle w:val="Compact"/>
            </w:pPr>
            <w:r>
              <w:t xml:space="preserve">Niveau de confiance documenté.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decision_status</w:t>
            </w:r>
          </w:p>
        </w:tc>
        <w:tc>
          <w:tcPr/>
          <w:p>
            <w:pPr>
              <w:pStyle w:val="Compact"/>
            </w:pPr>
            <w:r>
              <w:t xml:space="preserve">Validé, ambigu, non apparié.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review_date</w:t>
            </w:r>
          </w:p>
        </w:tc>
        <w:tc>
          <w:tcPr/>
          <w:p>
            <w:pPr>
              <w:pStyle w:val="Compact"/>
            </w:pPr>
            <w:r>
              <w:t xml:space="preserve">Visa humain.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source_url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source_sha256</w:t>
            </w:r>
          </w:p>
        </w:tc>
        <w:tc>
          <w:tcPr/>
          <w:p>
            <w:pPr>
              <w:pStyle w:val="Compact"/>
            </w:pPr>
            <w:r>
              <w:t xml:space="preserve">Provenance du référentiel.</w:t>
            </w:r>
          </w:p>
        </w:tc>
      </w:tr>
    </w:tbl>
    <w:p>
      <w:pPr>
        <w:pStyle w:val="BodyText"/>
      </w:pPr>
      <w:r>
        <w:t xml:space="preserve">Ordre d'appariement :</w:t>
      </w:r>
    </w:p>
    <w:p>
      <w:pPr>
        <w:pStyle w:val="Compact"/>
        <w:numPr>
          <w:ilvl w:val="0"/>
          <w:numId w:val="1008"/>
        </w:numPr>
      </w:pPr>
      <w:r>
        <w:t xml:space="preserve">correspondance de code officielle ;</w:t>
      </w:r>
    </w:p>
    <w:p>
      <w:pPr>
        <w:pStyle w:val="Compact"/>
        <w:numPr>
          <w:ilvl w:val="0"/>
          <w:numId w:val="1008"/>
        </w:numPr>
      </w:pPr>
      <w:r>
        <w:t xml:space="preserve">règle déterministe documentée sur libellé normalisé ;</w:t>
      </w:r>
    </w:p>
    <w:p>
      <w:pPr>
        <w:pStyle w:val="Compact"/>
        <w:numPr>
          <w:ilvl w:val="0"/>
          <w:numId w:val="1008"/>
        </w:numPr>
      </w:pPr>
      <w:r>
        <w:t xml:space="preserve">arbitrage humain ;</w:t>
      </w:r>
    </w:p>
    <w:p>
      <w:pPr>
        <w:pStyle w:val="Compact"/>
        <w:numPr>
          <w:ilvl w:val="0"/>
          <w:numId w:val="1008"/>
        </w:numPr>
      </w:pPr>
      <w:r>
        <w:t xml:space="preserve">catégorie « non apparié/ambigu ».</w:t>
      </w:r>
    </w:p>
    <w:p>
      <w:pPr>
        <w:pStyle w:val="FirstParagraph"/>
      </w:pPr>
      <w:r>
        <w:t xml:space="preserve">Aucun fuzzy matching silencieux ne doit affecter une branche de comptes nationaux.</w:t>
      </w:r>
    </w:p>
    <w:bookmarkEnd w:id="26"/>
    <w:bookmarkStart w:id="28" w:name="X924741bba5bfd683fd023b43a5693081cd7e1ac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t xml:space="preserve">5.3 Agrégat comptable comparable</w:t>
      </w:r>
    </w:p>
    <w:p>
      <w:pPr>
        <w:pStyle w:val="FirstParagraph"/>
      </w:pPr>
      <w:r>
        <w:t xml:space="preserve">Selon le SCN 2008 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D.1 = D.11 + D.12,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où D.11 représente les salaires et traitements, en espèces et en nature, et D.12 les</w:t>
      </w:r>
      <w:r>
        <w:t xml:space="preserve"> </w:t>
      </w:r>
      <w:r>
        <w:t xml:space="preserve">cotisations sociales à la charge des employeurs. La comparaison prioritaire est donc 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masse salariale brute CNPS ↔ D.11</w:t>
      </w:r>
      <w:r>
        <w:t xml:space="preserve">, après vérification du contenu exact de la variable CNPS 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masse CNPS ajustée + cotisations employeur ↔ D.1</w:t>
      </w:r>
      <w:r>
        <w:t xml:space="preserve">, si D.11 n'est pas disponible ;</w:t>
      </w:r>
    </w:p>
    <w:p>
      <w:pPr>
        <w:pStyle w:val="Compact"/>
        <w:numPr>
          <w:ilvl w:val="0"/>
          <w:numId w:val="1009"/>
        </w:numPr>
      </w:pPr>
      <w:r>
        <w:t xml:space="preserve">sinon, ratio clairement étiqueté « non strictement comparable ».</w:t>
      </w:r>
    </w:p>
    <w:p>
      <w:pPr>
        <w:pStyle w:val="FirstParagraph"/>
      </w:pPr>
      <w:r>
        <w:t xml:space="preserve">Le</w:t>
      </w:r>
      <w:r>
        <w:t xml:space="preserve"> </w:t>
      </w:r>
      <w:hyperlink r:id="rId27">
        <w:r>
          <w:rPr>
            <w:rStyle w:val="Hyperlink"/>
          </w:rPr>
          <w:t xml:space="preserve">SCN 2008 des Nations Unies</w:t>
        </w:r>
      </w:hyperlink>
      <w:r>
        <w:t xml:space="preserve"> </w:t>
      </w:r>
      <w:r>
        <w:t xml:space="preserve">précise également que la rémunération est enregistrée en droits constatés et peut inclure des</w:t>
      </w:r>
      <w:r>
        <w:t xml:space="preserve"> </w:t>
      </w:r>
      <w:r>
        <w:t xml:space="preserve">éléments en nature. Les rappels, primes, avantages, arriérés et dates d'exercice doivent donc être</w:t>
      </w:r>
      <w:r>
        <w:t xml:space="preserve"> </w:t>
      </w:r>
      <w:r>
        <w:t xml:space="preserve">traités explicitement.</w:t>
      </w:r>
    </w:p>
    <w:bookmarkEnd w:id="28"/>
    <w:bookmarkStart w:id="31" w:name="X63d5e52552c82ac04a2f1ee597357dc733eb5cd"/>
    <w:p>
      <w:pPr>
        <w:pStyle w:val="Heading3"/>
      </w:pPr>
      <w:r>
        <w:rPr>
          <w:rStyle w:val="SectionNumber"/>
        </w:rPr>
        <w:t xml:space="preserve">1.6.4</w:t>
      </w:r>
      <w:r>
        <w:tab/>
      </w:r>
      <w:r>
        <w:t xml:space="preserve">5.4 Données à demander à la comptabilité nationale</w:t>
      </w:r>
    </w:p>
    <w:p>
      <w:pPr>
        <w:pStyle w:val="FirstParagraph"/>
      </w:pPr>
      <w:r>
        <w:t xml:space="preserve">Pour chaque millésime et branche NAPCN :</w:t>
      </w:r>
    </w:p>
    <w:p>
      <w:pPr>
        <w:pStyle w:val="Compact"/>
        <w:numPr>
          <w:ilvl w:val="0"/>
          <w:numId w:val="1010"/>
        </w:numPr>
      </w:pPr>
      <w:r>
        <w:t xml:space="preserve">D.11 salaires et traitements ;</w:t>
      </w:r>
    </w:p>
    <w:p>
      <w:pPr>
        <w:pStyle w:val="Compact"/>
        <w:numPr>
          <w:ilvl w:val="0"/>
          <w:numId w:val="1010"/>
        </w:numPr>
      </w:pPr>
      <w:r>
        <w:t xml:space="preserve">D.12 cotisations sociales employeur ;</w:t>
      </w:r>
    </w:p>
    <w:p>
      <w:pPr>
        <w:pStyle w:val="Compact"/>
        <w:numPr>
          <w:ilvl w:val="0"/>
          <w:numId w:val="1010"/>
        </w:numPr>
      </w:pPr>
      <w:r>
        <w:t xml:space="preserve">D.1 rémunération des salariés ;</w:t>
      </w:r>
    </w:p>
    <w:p>
      <w:pPr>
        <w:pStyle w:val="Compact"/>
        <w:numPr>
          <w:ilvl w:val="0"/>
          <w:numId w:val="1010"/>
        </w:numPr>
      </w:pPr>
      <w:r>
        <w:t xml:space="preserve">emploi salarié ou équivalent temps plein, si une moyenne salariale doit être comparée ;</w:t>
      </w:r>
    </w:p>
    <w:p>
      <w:pPr>
        <w:pStyle w:val="Compact"/>
        <w:numPr>
          <w:ilvl w:val="0"/>
          <w:numId w:val="1010"/>
        </w:numPr>
      </w:pPr>
      <w:r>
        <w:t xml:space="preserve">valeur ajoutée seulement pour calculer une part salariale contextuelle ;</w:t>
      </w:r>
    </w:p>
    <w:p>
      <w:pPr>
        <w:pStyle w:val="Compact"/>
        <w:numPr>
          <w:ilvl w:val="0"/>
          <w:numId w:val="1010"/>
        </w:numPr>
      </w:pPr>
      <w:r>
        <w:t xml:space="preserve">ventilation formel/informel et public/privé, si disponible ;</w:t>
      </w:r>
    </w:p>
    <w:p>
      <w:pPr>
        <w:pStyle w:val="Compact"/>
        <w:numPr>
          <w:ilvl w:val="0"/>
          <w:numId w:val="1010"/>
        </w:numPr>
      </w:pPr>
      <w:r>
        <w:t xml:space="preserve">statut du compte : définitif, semi-définitif ou provisoire ;</w:t>
      </w:r>
    </w:p>
    <w:p>
      <w:pPr>
        <w:pStyle w:val="Compact"/>
        <w:numPr>
          <w:ilvl w:val="0"/>
          <w:numId w:val="1010"/>
        </w:numPr>
      </w:pPr>
      <w:r>
        <w:t xml:space="preserve">année de base, version SCN et date d'extraction.</w:t>
      </w:r>
    </w:p>
    <w:p>
      <w:pPr>
        <w:pStyle w:val="FirstParagraph"/>
      </w:pPr>
      <w:r>
        <w:t xml:space="preserve">Au 1er août 2026, les comptes définitifs 2023 et les comptes provisoires 2024 sont disponibles</w:t>
      </w:r>
      <w:r>
        <w:t xml:space="preserve"> </w:t>
      </w:r>
      <w:r>
        <w:t xml:space="preserve">sur le portail ANStat. Le millésime et le statut de révision doivent être figés dans chaque</w:t>
      </w:r>
      <w:r>
        <w:t xml:space="preserve"> </w:t>
      </w:r>
      <w:r>
        <w:t xml:space="preserve">comparaison :</w:t>
      </w:r>
    </w:p>
    <w:p>
      <w:pPr>
        <w:pStyle w:val="Compact"/>
        <w:numPr>
          <w:ilvl w:val="0"/>
          <w:numId w:val="1011"/>
        </w:numPr>
      </w:pPr>
      <w:hyperlink r:id="rId29">
        <w:r>
          <w:rPr>
            <w:rStyle w:val="Hyperlink"/>
          </w:rPr>
          <w:t xml:space="preserve">Comptes définitifs 2023</w:t>
        </w:r>
      </w:hyperlink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hyperlink r:id="rId30">
        <w:r>
          <w:rPr>
            <w:rStyle w:val="Hyperlink"/>
          </w:rPr>
          <w:t xml:space="preserve">Comptes provisoires 2024</w:t>
        </w:r>
      </w:hyperlink>
      <w:r>
        <w:t xml:space="preserve">.</w:t>
      </w:r>
    </w:p>
    <w:bookmarkEnd w:id="31"/>
    <w:bookmarkStart w:id="32" w:name="X57018d13878ff90290d06e68cdd2f5fb497463b"/>
    <w:p>
      <w:pPr>
        <w:pStyle w:val="Heading3"/>
      </w:pPr>
      <w:r>
        <w:rPr>
          <w:rStyle w:val="SectionNumber"/>
        </w:rPr>
        <w:t xml:space="preserve">1.6.5</w:t>
      </w:r>
      <w:r>
        <w:tab/>
      </w:r>
      <w:r>
        <w:t xml:space="preserve">5.5 Tableau de rapprochement à produire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Année</w:t>
            </w:r>
          </w:p>
        </w:tc>
        <w:tc>
          <w:tcPr/>
          <w:p>
            <w:pPr>
              <w:pStyle w:val="Compact"/>
            </w:pPr>
            <w:r>
              <w:t xml:space="preserve">Branche NAPCN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Masse CNPS observée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Masse CNPS IPW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CNPS IPW / D.11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Pont vers D.1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Écart</w:t>
            </w:r>
          </w:p>
        </w:tc>
        <w:tc>
          <w:tcPr/>
          <w:p>
            <w:pPr>
              <w:pStyle w:val="Compact"/>
            </w:pPr>
            <w:r>
              <w:t xml:space="preserve">Statut</w:t>
            </w:r>
          </w:p>
        </w:tc>
      </w:tr>
    </w:tbl>
    <w:p>
      <w:pPr>
        <w:pStyle w:val="BodyText"/>
      </w:pPr>
      <w:r>
        <w:t xml:space="preserve">Ajouter :</w:t>
      </w:r>
    </w:p>
    <w:p>
      <w:pPr>
        <w:pStyle w:val="Compact"/>
        <w:numPr>
          <w:ilvl w:val="0"/>
          <w:numId w:val="1012"/>
        </w:numPr>
      </w:pPr>
      <w:r>
        <w:t xml:space="preserve">taux d'appariement CIAP pondéré par masse et par effectif ;</w:t>
      </w:r>
    </w:p>
    <w:p>
      <w:pPr>
        <w:pStyle w:val="Compact"/>
        <w:numPr>
          <w:ilvl w:val="0"/>
          <w:numId w:val="1012"/>
        </w:numPr>
      </w:pPr>
      <w:r>
        <w:t xml:space="preserve">contribution des codes ambigus/non appariés ;</w:t>
      </w:r>
    </w:p>
    <w:p>
      <w:pPr>
        <w:pStyle w:val="Compact"/>
        <w:numPr>
          <w:ilvl w:val="0"/>
          <w:numId w:val="1012"/>
        </w:numPr>
      </w:pPr>
      <w:r>
        <w:t xml:space="preserve">écarts de niveau et de croissance ;</w:t>
      </w:r>
    </w:p>
    <w:p>
      <w:pPr>
        <w:pStyle w:val="Compact"/>
        <w:numPr>
          <w:ilvl w:val="0"/>
          <w:numId w:val="1012"/>
        </w:numPr>
      </w:pPr>
      <w:r>
        <w:t xml:space="preserve">comparaison avec et sans secteur public ;</w:t>
      </w:r>
    </w:p>
    <w:p>
      <w:pPr>
        <w:pStyle w:val="Compact"/>
        <w:numPr>
          <w:ilvl w:val="0"/>
          <w:numId w:val="1012"/>
        </w:numPr>
      </w:pPr>
      <w:r>
        <w:t xml:space="preserve">comparaison avec et sans rappels/déclarations tardives ;</w:t>
      </w:r>
    </w:p>
    <w:p>
      <w:pPr>
        <w:pStyle w:val="Compact"/>
        <w:numPr>
          <w:ilvl w:val="0"/>
          <w:numId w:val="1012"/>
        </w:numPr>
      </w:pPr>
      <w:r>
        <w:t xml:space="preserve">analyse de sensibilité (K), périodicité et trimming.</w:t>
      </w:r>
    </w:p>
    <w:p>
      <w:pPr>
        <w:pStyle w:val="FirstParagraph"/>
      </w:pPr>
      <w:r>
        <w:t xml:space="preserve">Les parts officielles de rémunération des salariés dans la valeur ajoutée formelle — 30,4 % en</w:t>
      </w:r>
      <w:r>
        <w:t xml:space="preserve"> </w:t>
      </w:r>
      <w:r>
        <w:t xml:space="preserve">2022 et 28,9 % en 2023 — sont des repères macroéconomiques contextuels. Elles ne valident pas</w:t>
      </w:r>
      <w:r>
        <w:t xml:space="preserve"> </w:t>
      </w:r>
      <w:r>
        <w:t xml:space="preserve">directement une moyenne salariale CNPS et ne doivent pas être utilisées comme cible de calage.</w:t>
      </w:r>
    </w:p>
    <w:bookmarkEnd w:id="32"/>
    <w:bookmarkEnd w:id="33"/>
    <w:bookmarkStart w:id="34" w:name="X4d6b4932dccb1505d8fe697858a27abb04209ef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6. Séquence opérationnelle de finalisation</w:t>
      </w:r>
    </w:p>
    <w:p>
      <w:pPr>
        <w:pStyle w:val="Compact"/>
        <w:numPr>
          <w:ilvl w:val="0"/>
          <w:numId w:val="1013"/>
        </w:numPr>
      </w:pPr>
      <w:r>
        <w:t xml:space="preserve">Se connecter au VPN et figer un snapshot en lecture seule des entrées.</w:t>
      </w:r>
    </w:p>
    <w:p>
      <w:pPr>
        <w:pStyle w:val="Compact"/>
        <w:numPr>
          <w:ilvl w:val="0"/>
          <w:numId w:val="1013"/>
        </w:numPr>
      </w:pPr>
      <w:r>
        <w:t xml:space="preserve">Calculer et archiver empreintes, inventaire et millésime de chaque source.</w:t>
      </w:r>
    </w:p>
    <w:p>
      <w:pPr>
        <w:pStyle w:val="Compact"/>
        <w:numPr>
          <w:ilvl w:val="0"/>
          <w:numId w:val="1013"/>
        </w:numPr>
      </w:pPr>
      <w:r>
        <w:t xml:space="preserve">Exécuter le pipeline complet ; ne pas exporter si une erreur de validation existe.</w:t>
      </w:r>
    </w:p>
    <w:p>
      <w:pPr>
        <w:pStyle w:val="Compact"/>
        <w:numPr>
          <w:ilvl w:val="0"/>
          <w:numId w:val="1013"/>
        </w:numPr>
      </w:pPr>
      <w:r>
        <w:t xml:space="preserve">Produire le tableau historique des contrôles et expliquer toute rupture.</w:t>
      </w:r>
    </w:p>
    <w:p>
      <w:pPr>
        <w:pStyle w:val="Compact"/>
        <w:numPr>
          <w:ilvl w:val="0"/>
          <w:numId w:val="1013"/>
        </w:numPr>
      </w:pPr>
      <w:r>
        <w:t xml:space="preserve">Rejouer (K=6,12,24,\infty), périodicité inconnue</w:t>
      </w:r>
      <w:r>
        <w:t xml:space="preserve"> </w:t>
      </w:r>
      <w:r>
        <w:rPr>
          <w:rStyle w:val="VerbatimChar"/>
        </w:rPr>
        <w:t xml:space="preserve">monthly/daily</w:t>
      </w:r>
      <w:r>
        <w:t xml:space="preserve"> </w:t>
      </w:r>
      <w:r>
        <w:t xml:space="preserve">et variantes de</w:t>
      </w:r>
      <w:r>
        <w:t xml:space="preserve"> </w:t>
      </w:r>
      <w:r>
        <w:t xml:space="preserve">clipping/trimming prévalidées.</w:t>
      </w:r>
    </w:p>
    <w:p>
      <w:pPr>
        <w:pStyle w:val="Compact"/>
        <w:numPr>
          <w:ilvl w:val="0"/>
          <w:numId w:val="1013"/>
        </w:numPr>
      </w:pPr>
      <w:r>
        <w:t xml:space="preserve">Faire valider la table CIAP–NAPCN puis agréger les masses annuelles.</w:t>
      </w:r>
    </w:p>
    <w:p>
      <w:pPr>
        <w:pStyle w:val="Compact"/>
        <w:numPr>
          <w:ilvl w:val="0"/>
          <w:numId w:val="1013"/>
        </w:numPr>
      </w:pPr>
      <w:r>
        <w:t xml:space="preserve">Réconcilier D.11/D.12/D.1 à concepts et périmètres constants.</w:t>
      </w:r>
    </w:p>
    <w:p>
      <w:pPr>
        <w:pStyle w:val="Compact"/>
        <w:numPr>
          <w:ilvl w:val="0"/>
          <w:numId w:val="1013"/>
        </w:numPr>
      </w:pPr>
      <w:r>
        <w:t xml:space="preserve">Faire viser population cible, confidentialité, limites et choix méthodologiques.</w:t>
      </w:r>
    </w:p>
    <w:p>
      <w:pPr>
        <w:pStyle w:val="Compact"/>
        <w:numPr>
          <w:ilvl w:val="0"/>
          <w:numId w:val="1013"/>
        </w:numPr>
      </w:pPr>
      <w:r>
        <w:t xml:space="preserve">Versionner immuablement les sorties, le rapport de validation et le manifeste de session.</w:t>
      </w:r>
    </w:p>
    <w:p>
      <w:pPr>
        <w:pStyle w:val="Compact"/>
        <w:numPr>
          <w:ilvl w:val="0"/>
          <w:numId w:val="1013"/>
        </w:numPr>
      </w:pPr>
      <w:r>
        <w:t xml:space="preserve">Diffuser uniquement les estimations ponctuelles jusqu'à validation de F.1.</w:t>
      </w:r>
    </w:p>
    <w:bookmarkEnd w:id="34"/>
    <w:bookmarkStart w:id="35" w:name="X54f32df5fb8bdea660694ad19108ceb058da43a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7. Points restant ouverts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Point</w:t>
            </w:r>
          </w:p>
        </w:tc>
        <w:tc>
          <w:tcPr/>
          <w:p>
            <w:pPr>
              <w:pStyle w:val="Compact"/>
            </w:pPr>
            <w:r>
              <w:t xml:space="preserve">Statut</w:t>
            </w:r>
          </w:p>
        </w:tc>
        <w:tc>
          <w:tcPr/>
          <w:p>
            <w:pPr>
              <w:pStyle w:val="Compact"/>
            </w:pPr>
            <w:r>
              <w:t xml:space="preserve">Condition de clôture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F.1 — variance et intervalles</w:t>
            </w:r>
          </w:p>
        </w:tc>
        <w:tc>
          <w:tcPr/>
          <w:p>
            <w:pPr>
              <w:pStyle w:val="Compact"/>
            </w:pPr>
            <w:r>
              <w:t xml:space="preserve">Non implémenté volontairement</w:t>
            </w:r>
          </w:p>
        </w:tc>
        <w:tc>
          <w:tcPr/>
          <w:p>
            <w:pPr>
              <w:pStyle w:val="Compact"/>
            </w:pPr>
            <w:r>
              <w:t xml:space="preserve">Spécification formelle, revue indépendante et couverture DGP.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Lignes salariés totalement omises</w:t>
            </w:r>
          </w:p>
        </w:tc>
        <w:tc>
          <w:tcPr/>
          <w:p>
            <w:pPr>
              <w:pStyle w:val="Compact"/>
            </w:pPr>
            <w:r>
              <w:t xml:space="preserve">Non identifiable avec les données actuelles</w:t>
            </w:r>
          </w:p>
        </w:tc>
        <w:tc>
          <w:tcPr/>
          <w:p>
            <w:pPr>
              <w:pStyle w:val="Compact"/>
            </w:pPr>
            <w:r>
              <w:t xml:space="preserve">Roster indépendant ou analyse de sensibilité institutionnelle.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Cessation employeur</w:t>
            </w:r>
          </w:p>
        </w:tc>
        <w:tc>
          <w:tcPr/>
          <w:p>
            <w:pPr>
              <w:pStyle w:val="Compact"/>
            </w:pPr>
            <w:r>
              <w:t xml:space="preserve">Censurée</w:t>
            </w:r>
          </w:p>
        </w:tc>
        <w:tc>
          <w:tcPr/>
          <w:p>
            <w:pPr>
              <w:pStyle w:val="Compact"/>
            </w:pPr>
            <w:r>
              <w:t xml:space="preserve">Registre de radiation/activité.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CIAP–NAPCN</w:t>
            </w:r>
          </w:p>
        </w:tc>
        <w:tc>
          <w:tcPr/>
          <w:p>
            <w:pPr>
              <w:pStyle w:val="Compact"/>
            </w:pPr>
            <w:r>
              <w:t xml:space="preserve">À obtenir/valider</w:t>
            </w:r>
          </w:p>
        </w:tc>
        <w:tc>
          <w:tcPr/>
          <w:p>
            <w:pPr>
              <w:pStyle w:val="Compact"/>
            </w:pPr>
            <w:r>
              <w:t xml:space="preserve">Table officielle versionnée et visée.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Seuils de confidentialité</w:t>
            </w:r>
          </w:p>
        </w:tc>
        <w:tc>
          <w:tcPr/>
          <w:p>
            <w:pPr>
              <w:pStyle w:val="Compact"/>
            </w:pPr>
            <w:r>
              <w:t xml:space="preserve">Garde-fous techniques</w:t>
            </w:r>
          </w:p>
        </w:tc>
        <w:tc>
          <w:tcPr/>
          <w:p>
            <w:pPr>
              <w:pStyle w:val="Compact"/>
            </w:pPr>
            <w:r>
              <w:t xml:space="preserve">Homologation ANStat/CNPS.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Sorties MinIO immuables</w:t>
            </w:r>
          </w:p>
        </w:tc>
        <w:tc>
          <w:tcPr/>
          <w:p>
            <w:pPr>
              <w:pStyle w:val="Compact"/>
            </w:pPr>
            <w:r>
              <w:t xml:space="preserve">Partiel</w:t>
            </w:r>
          </w:p>
        </w:tc>
        <w:tc>
          <w:tcPr/>
          <w:p>
            <w:pPr>
              <w:pStyle w:val="Compact"/>
            </w:pPr>
            <w:r>
              <w:t xml:space="preserve">Préfixes par UUID ou versionnement objet.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Valeurs réelles et sensibilités</w:t>
            </w:r>
          </w:p>
        </w:tc>
        <w:tc>
          <w:tcPr/>
          <w:p>
            <w:pPr>
              <w:pStyle w:val="Compact"/>
            </w:pPr>
            <w:r>
              <w:t xml:space="preserve">En attente du VPN</w:t>
            </w:r>
          </w:p>
        </w:tc>
        <w:tc>
          <w:tcPr/>
          <w:p>
            <w:pPr>
              <w:pStyle w:val="Compact"/>
            </w:pPr>
            <w:r>
              <w:t xml:space="preserve">Exécution complète et rapport de contrôle signé.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AIPW véritable</w:t>
            </w:r>
          </w:p>
        </w:tc>
        <w:tc>
          <w:tcPr/>
          <w:p>
            <w:pPr>
              <w:pStyle w:val="Compact"/>
            </w:pPr>
            <w:r>
              <w:t xml:space="preserve">Différé</w:t>
            </w:r>
          </w:p>
        </w:tc>
        <w:tc>
          <w:tcPr/>
          <w:p>
            <w:pPr>
              <w:pStyle w:val="Compact"/>
            </w:pPr>
            <w:r>
              <w:t xml:space="preserve">Estimand stabilisé, roster/m(X) individuel complet, cross-fitting et inférence adaptée.</w:t>
            </w:r>
          </w:p>
        </w:tc>
      </w:tr>
    </w:tbl>
    <w:bookmarkEnd w:id="35"/>
    <w:bookmarkStart w:id="36" w:name="X77cdb53442b1b0e006f2335bd862a4d7c6f33fe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8. Sécurité et passation</w:t>
      </w:r>
    </w:p>
    <w:p>
      <w:pPr>
        <w:pStyle w:val="Compact"/>
        <w:numPr>
          <w:ilvl w:val="0"/>
          <w:numId w:val="1014"/>
        </w:numPr>
      </w:pPr>
      <w:r>
        <w:t xml:space="preserve">Aucun appel MinIO n'a été effectué pendant cette finalisation.</w:t>
      </w:r>
    </w:p>
    <w:p>
      <w:pPr>
        <w:pStyle w:val="Compact"/>
        <w:numPr>
          <w:ilvl w:val="0"/>
          <w:numId w:val="1014"/>
        </w:numPr>
      </w:pPr>
      <w:r>
        <w:t xml:space="preserve">Le fichier local de variables d'environnement est ignoré par Git.</w:t>
      </w:r>
    </w:p>
    <w:p>
      <w:pPr>
        <w:pStyle w:val="Compact"/>
        <w:numPr>
          <w:ilvl w:val="0"/>
          <w:numId w:val="1014"/>
        </w:numPr>
      </w:pPr>
      <w:r>
        <w:t xml:space="preserve">Les identifiants déjà utilisés sur un poste de travail doivent être révoqués ou renouvelés</w:t>
      </w:r>
      <w:r>
        <w:t xml:space="preserve"> </w:t>
      </w:r>
      <w:r>
        <w:t xml:space="preserve">avant mise en production, sans jamais être copiés dans un rapport.</w:t>
      </w:r>
    </w:p>
    <w:p>
      <w:pPr>
        <w:pStyle w:val="Compact"/>
        <w:numPr>
          <w:ilvl w:val="0"/>
          <w:numId w:val="1014"/>
        </w:numPr>
      </w:pPr>
      <w:r>
        <w:t xml:space="preserve">Le mode production doit imposer TLS et des secrets fournis par l'environnement.</w:t>
      </w:r>
    </w:p>
    <w:p>
      <w:pPr>
        <w:pStyle w:val="Compact"/>
        <w:numPr>
          <w:ilvl w:val="0"/>
          <w:numId w:val="1014"/>
        </w:numPr>
      </w:pPr>
      <w:r>
        <w:t xml:space="preserve">Aucun commit, push ou changement de branche n'a été réalisé dans cette intervention.</w:t>
      </w:r>
    </w:p>
    <w:bookmarkEnd w:id="36"/>
    <w:bookmarkStart w:id="37" w:name="conclusion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Conclusion</w:t>
      </w:r>
    </w:p>
    <w:p>
      <w:pPr>
        <w:pStyle w:val="FirstParagraph"/>
      </w:pPr>
      <w:r>
        <w:t xml:space="preserve">La branche est prête pour une</w:t>
      </w:r>
      <w:r>
        <w:t xml:space="preserve"> </w:t>
      </w:r>
      <w:r>
        <w:rPr>
          <w:b/>
          <w:bCs/>
        </w:rPr>
        <w:t xml:space="preserve">recette sur données réelles</w:t>
      </w:r>
      <w:r>
        <w:t xml:space="preserve">, pas encore pour une diffusion</w:t>
      </w:r>
      <w:r>
        <w:t xml:space="preserve"> </w:t>
      </w:r>
      <w:r>
        <w:t xml:space="preserve">définitive. Le principal progrès est d'avoir remplacé une robustesse affichée mais invalide par</w:t>
      </w:r>
      <w:r>
        <w:t xml:space="preserve"> </w:t>
      </w:r>
      <w:r>
        <w:t xml:space="preserve">une chaîne IPW contrôlable, traçable et honnête sur ses hypothèses. La finalisation des valeurs</w:t>
      </w:r>
      <w:r>
        <w:t xml:space="preserve"> </w:t>
      </w:r>
      <w:r>
        <w:t xml:space="preserve">nécessite maintenant trois apports externes : les données réelles via VPN, la passerelle officielle</w:t>
      </w:r>
      <w:r>
        <w:t xml:space="preserve"> </w:t>
      </w:r>
      <w:r>
        <w:t xml:space="preserve">CIAP–NAPCN avec les agrégats D.11/D.12/D.1, et les décisions institutionnelles sur le champ,</w:t>
      </w:r>
      <w:r>
        <w:t xml:space="preserve"> </w:t>
      </w:r>
      <w:r>
        <w:t xml:space="preserve">la confidentialité et l'inférence.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fr-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unstats.un.org/unsd/nationalaccount/docs/SNA2008.pdf" TargetMode="External" /><Relationship Type="http://schemas.openxmlformats.org/officeDocument/2006/relationships/hyperlink" Id="rId24" Target="https://www.anstat.ci/assets/publications/files/CNA_DEFINITIFS_2023.pdf" TargetMode="External" /><Relationship Type="http://schemas.openxmlformats.org/officeDocument/2006/relationships/hyperlink" Id="rId23" Target="https://www.anstat.ci/normes-statistiques-details/9b77e8764a187efaa5d7a98298c933e27f4ab293be6eb70d9d9166bdcef777a6fc545fa52f4c9afd89a14d288334d7bb0134ef2540d841be48a3cf40a44de20ft9qScYIUD-Ftop-DO4xNNTJFnL-XOv4jeoMvbQjM7PQ" TargetMode="External" /><Relationship Type="http://schemas.openxmlformats.org/officeDocument/2006/relationships/hyperlink" Id="rId29" Target="https://www.anstat.ci/publication-details/c2b1499c71b7f5f06da1e85dd41470ec00c8972592dfab8f1fe63440441c692c587a0b3a71bdf88fe1e272eaa1aaad0be25bf1a01210815f6185d300b43c183fdNA-QJRlpAyfoIO71BT98gt1F4Z08KYa6EE_ln-Pjk4" TargetMode="External" /><Relationship Type="http://schemas.openxmlformats.org/officeDocument/2006/relationships/hyperlink" Id="rId30" Target="https://www.anstat.ci/publication-details/f70a06341cdd20a58340647a7d315cd52f5778fb052e68bd5c2a19d6c94be0e1011d226d2b8965d6b5941c6152fcdbbda868deab7b7b3d5c53206a2226b4bb07E3Vp9xFeFf9-_psjXZB2Rr3tJGy-YmJO2roFmF7TZqM" TargetMode="External" /><Relationship Type="http://schemas.openxmlformats.org/officeDocument/2006/relationships/hyperlink" Id="rId20" Target="protocole_tests_dgp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unstats.un.org/unsd/nationalaccount/docs/SNA2008.pdf" TargetMode="External" /><Relationship Type="http://schemas.openxmlformats.org/officeDocument/2006/relationships/hyperlink" Id="rId24" Target="https://www.anstat.ci/assets/publications/files/CNA_DEFINITIFS_2023.pdf" TargetMode="External" /><Relationship Type="http://schemas.openxmlformats.org/officeDocument/2006/relationships/hyperlink" Id="rId23" Target="https://www.anstat.ci/normes-statistiques-details/9b77e8764a187efaa5d7a98298c933e27f4ab293be6eb70d9d9166bdcef777a6fc545fa52f4c9afd89a14d288334d7bb0134ef2540d841be48a3cf40a44de20ft9qScYIUD-Ftop-DO4xNNTJFnL-XOv4jeoMvbQjM7PQ" TargetMode="External" /><Relationship Type="http://schemas.openxmlformats.org/officeDocument/2006/relationships/hyperlink" Id="rId29" Target="https://www.anstat.ci/publication-details/c2b1499c71b7f5f06da1e85dd41470ec00c8972592dfab8f1fe63440441c692c587a0b3a71bdf88fe1e272eaa1aaad0be25bf1a01210815f6185d300b43c183fdNA-QJRlpAyfoIO71BT98gt1F4Z08KYa6EE_ln-Pjk4" TargetMode="External" /><Relationship Type="http://schemas.openxmlformats.org/officeDocument/2006/relationships/hyperlink" Id="rId30" Target="https://www.anstat.ci/publication-details/f70a06341cdd20a58340647a7d315cd52f5778fb052e68bd5c2a19d6c94be0e1011d226d2b8965d6b5941c6152fcdbbda868deab7b7b3d5c53206a2226b4bb07E3Vp9xFeFf9-_psjXZB2Rr3tJGy-YmJO2roFmF7TZqM" TargetMode="External" /><Relationship Type="http://schemas.openxmlformats.org/officeDocument/2006/relationships/hyperlink" Id="rId20" Target="protocole_tests_dgp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 de transmission — Pipeline CNPS</dc:title>
  <dc:creator/>
  <dc:language>fr-FR</dc:language>
  <cp:keywords/>
  <dcterms:created xsi:type="dcterms:W3CDTF">2026-08-01T14:44:34Z</dcterms:created>
  <dcterms:modified xsi:type="dcterms:W3CDTF">2026-08-01T14:44:34Z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1er août 2026</vt:lpwstr>
  </property>
  <property fmtid="{D5CDD505-2E9C-101B-9397-08002B2CF9AE}" pid="3" name="subtitle">
    <vt:lpwstr>Audit, contrôles de suivi et rapprochement CIAP/comptabilité nationale</vt:lpwstr>
  </property>
  <property fmtid="{D5CDD505-2E9C-101B-9397-08002B2CF9AE}" pid="4" name="toc-title">
    <vt:lpwstr>Table des matières</vt:lpwstr>
  </property>
</Properties>
</file>