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20.png" ContentType="image/png"/>
  <Override PartName="/word/media/rId90.png" ContentType="image/png"/>
  <Override PartName="/word/media/rId93.png" ContentType="image/png"/>
  <Override PartName="/word/media/rId24.png" ContentType="image/png"/>
  <Override PartName="/word/media/rId27.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Cote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pPr>
        <w:pStyle w:val="BodyText"/>
      </w:pPr>
      <w:r>
        <w:t xml:space="preserve">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pPr>
        <w:pStyle w:val="BodyText"/>
      </w:pPr>
      <w:r>
        <w:t xml:space="preserve">Ce présent bulletin est consacré à la présentation des principaux indicateurs du marché du travail Ivoirien, au cours du deuxième trimestre de l’année 2024, tirés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V3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30" w:name="participation-au-marche-du-travail"/>
    <w:p>
      <w:pPr>
        <w:pStyle w:val="Titre1"/>
      </w:pPr>
      <w:r>
        <w:t xml:space="preserve">PARTICIPATION AU MARCHE DU TRAVAIL</w:t>
      </w:r>
    </w:p>
    <w:p>
      <w:pPr>
        <w:pStyle w:val="FirstParagraph"/>
      </w:pPr>
      <w:r>
        <w:t xml:space="preserve">Au deuxième trimestre de l’année 2024,</w:t>
      </w:r>
      <w:r>
        <w:t xml:space="preserve"> </w:t>
      </w:r>
      <w:r>
        <w:rPr>
          <w:b/>
          <w:bCs/>
        </w:rPr>
        <w:t xml:space="preserve">59,4</w:t>
      </w:r>
      <w:r>
        <w:t xml:space="preserve"> </w:t>
      </w:r>
      <w:r>
        <w:t xml:space="preserve">% de la population ivoirienne étaient en âge de travailler, dont</w:t>
      </w:r>
      <w:r>
        <w:t xml:space="preserve"> </w:t>
      </w:r>
      <w:r>
        <w:rPr>
          <w:b/>
          <w:bCs/>
        </w:rPr>
        <w:t xml:space="preserve">70,8</w:t>
      </w:r>
      <w:r>
        <w:t xml:space="preserve"> </w:t>
      </w:r>
      <w:r>
        <w:t xml:space="preserve">% participant à la main-d’œuvre. Ce taux de participation était plus élevé chez les hommes :</w:t>
      </w:r>
      <w:r>
        <w:t xml:space="preserve"> </w:t>
      </w:r>
      <w:r>
        <w:rPr>
          <w:b/>
          <w:bCs/>
        </w:rPr>
        <w:t xml:space="preserve">81,5</w:t>
      </w:r>
      <w:r>
        <w:t xml:space="preserve"> </w:t>
      </w:r>
      <w:r>
        <w:t xml:space="preserve">% contre</w:t>
      </w:r>
      <w:r>
        <w:t xml:space="preserve"> </w:t>
      </w:r>
      <w:r>
        <w:rPr>
          <w:b/>
          <w:bCs/>
        </w:rPr>
        <w:t xml:space="preserve">59,7</w:t>
      </w:r>
      <w:r>
        <w:t xml:space="preserve"> </w:t>
      </w:r>
      <w:r>
        <w:t xml:space="preserve">%</w:t>
      </w:r>
      <w:r>
        <w:t xml:space="preserve"> </w:t>
      </w:r>
      <w:r>
        <w:rPr>
          <w:b/>
          <w:bCs/>
        </w:rPr>
        <w:t xml:space="preserve">(Figure 1)</w:t>
      </w:r>
      <w:r>
        <w:t xml:space="preserve">. Par ailleurs, le taux de participation à la main-d’œuvre était plus élevé à Abidjan que dans les autres zones urbaines et en milieu rural. Il était de</w:t>
      </w:r>
      <w:r>
        <w:t xml:space="preserve"> </w:t>
      </w:r>
      <w:r>
        <w:rPr>
          <w:b/>
          <w:bCs/>
        </w:rPr>
        <w:t xml:space="preserve">80,3</w:t>
      </w:r>
      <w:r>
        <w:t xml:space="preserve"> </w:t>
      </w:r>
      <w:r>
        <w:t xml:space="preserve">% à Abidjan,</w:t>
      </w:r>
      <w:r>
        <w:t xml:space="preserve"> </w:t>
      </w:r>
      <w:r>
        <w:rPr>
          <w:b/>
          <w:bCs/>
        </w:rPr>
        <w:t xml:space="preserve">67,3</w:t>
      </w:r>
      <w:r>
        <w:t xml:space="preserve"> </w:t>
      </w:r>
      <w:r>
        <w:t xml:space="preserve">% dans les autres zones urbaines et</w:t>
      </w:r>
      <w:r>
        <w:t xml:space="preserve"> </w:t>
      </w:r>
      <w:r>
        <w:rPr>
          <w:b/>
          <w:bCs/>
        </w:rPr>
        <w:t xml:space="preserve">71,1</w:t>
      </w:r>
      <w:r>
        <w:t xml:space="preserve"> </w:t>
      </w:r>
      <w:r>
        <w:t xml:space="preserve">% en milieu rural</w:t>
      </w:r>
      <w:r>
        <w:t xml:space="preserve"> </w:t>
      </w:r>
      <w:r>
        <w:rPr>
          <w:b/>
          <w:bCs/>
        </w:rPr>
        <w:t xml:space="preserve">(Figure 2)</w:t>
      </w:r>
      <w:r>
        <w:t xml:space="preserve">.</w:t>
      </w:r>
    </w:p>
    <w:p>
      <w:pPr>
        <w:pStyle w:val="BodyText"/>
      </w:pPr>
      <w:r>
        <w:rPr>
          <w:b/>
          <w:bCs/>
        </w:rPr>
        <w:t xml:space="preserve">Figure 1 :</w:t>
      </w:r>
      <w:r>
        <w:t xml:space="preserve"> </w:t>
      </w:r>
      <w:r>
        <w:t xml:space="preserve">Participation à la main d’œuvre suivant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V3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Participation à la main d’œuvre suivant le milieu de residence</w:t>
      </w:r>
    </w:p>
    <w:p>
      <w:pPr>
        <w:pStyle w:val="BodyText"/>
      </w:pPr>
      <w:r>
        <w:drawing>
          <wp:inline>
            <wp:extent cx="4620126" cy="3696101"/>
            <wp:effectExtent b="0" l="0" r="0" t="0"/>
            <wp:docPr descr="" title="" id="28" name="Picture"/>
            <a:graphic>
              <a:graphicData uri="http://schemas.openxmlformats.org/drawingml/2006/picture">
                <pic:pic>
                  <pic:nvPicPr>
                    <pic:cNvPr descr="bulletin_T2_V3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61" w:name="emploi"/>
    <w:p>
      <w:pPr>
        <w:pStyle w:val="Titre1"/>
      </w:pPr>
      <w:r>
        <w:t xml:space="preserve">EMPLOI</w:t>
      </w:r>
    </w:p>
    <w:p>
      <w:pPr>
        <w:pStyle w:val="FirstParagraph"/>
      </w:pPr>
      <w:r>
        <w:t xml:space="preserve">Sur cette période,</w:t>
      </w:r>
      <w:r>
        <w:t xml:space="preserve"> </w:t>
      </w:r>
      <w:r>
        <w:rPr>
          <w:b/>
          <w:bCs/>
        </w:rPr>
        <w:t xml:space="preserve">94,8</w:t>
      </w:r>
      <w:r>
        <w:t xml:space="preserve"> </w:t>
      </w:r>
      <w:r>
        <w:t xml:space="preserve">% de la main-d’œuvre occupaient un emploi. Chez les femmes, cette proportion était de</w:t>
      </w:r>
      <w:r>
        <w:t xml:space="preserve"> </w:t>
      </w:r>
      <w:r>
        <w:rPr>
          <w:b/>
          <w:bCs/>
        </w:rPr>
        <w:t xml:space="preserve">91,9</w:t>
      </w:r>
      <w:r>
        <w:t xml:space="preserve"> </w:t>
      </w:r>
      <w:r>
        <w:t xml:space="preserve">%, tandis qu’elle atteignait</w:t>
      </w:r>
      <w:r>
        <w:t xml:space="preserve"> </w:t>
      </w:r>
      <w:r>
        <w:rPr>
          <w:b/>
          <w:bCs/>
        </w:rPr>
        <w:t xml:space="preserve">96,8</w:t>
      </w:r>
      <w:r>
        <w:t xml:space="preserve"> </w:t>
      </w:r>
      <w:r>
        <w:t xml:space="preserve">% chez les hommes</w:t>
      </w:r>
      <w:r>
        <w:t xml:space="preserve"> </w:t>
      </w:r>
      <w:r>
        <w:rPr>
          <w:b/>
          <w:bCs/>
        </w:rPr>
        <w:t xml:space="preserve">(Figure 3)</w:t>
      </w:r>
      <w:r>
        <w:t xml:space="preserve">. De plus, la part des personnes en emploi augmentait avec l’âge</w:t>
      </w:r>
      <w:r>
        <w:t xml:space="preserve"> </w:t>
      </w:r>
      <w:r>
        <w:rPr>
          <w:b/>
          <w:bCs/>
        </w:rPr>
        <w:t xml:space="preserve">(Figure 4)</w:t>
      </w:r>
      <w:r>
        <w:t xml:space="preserve">.</w:t>
      </w:r>
    </w:p>
    <w:p>
      <w:pPr>
        <w:pStyle w:val="BodyText"/>
      </w:pPr>
      <w:r>
        <w:rPr>
          <w:b/>
          <w:bCs/>
        </w:rPr>
        <w:t xml:space="preserve">Figure 3 :</w:t>
      </w:r>
      <w:r>
        <w:t xml:space="preserve"> </w:t>
      </w:r>
      <w:r>
        <w:t xml:space="preserve">Population en emploi dans la main d’œuvre selon le sexe</w:t>
      </w:r>
    </w:p>
    <w:p>
      <w:pPr>
        <w:pStyle w:val="BodyText"/>
      </w:pPr>
      <w:r>
        <w:drawing>
          <wp:inline>
            <wp:extent cx="4620126" cy="3696101"/>
            <wp:effectExtent b="0" l="0" r="0" t="0"/>
            <wp:docPr descr="" title="" id="32" name="Picture"/>
            <a:graphic>
              <a:graphicData uri="http://schemas.openxmlformats.org/drawingml/2006/picture">
                <pic:pic>
                  <pic:nvPicPr>
                    <pic:cNvPr descr="bulletin_T2_V3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4 :</w:t>
      </w:r>
      <w:r>
        <w:t xml:space="preserve"> </w:t>
      </w:r>
      <w:r>
        <w:t xml:space="preserve">Population en emploi dans la main d’oeuvre par groupe d’age</w:t>
      </w:r>
    </w:p>
    <w:p>
      <w:pPr>
        <w:pStyle w:val="BodyText"/>
      </w:pPr>
      <w:r>
        <w:drawing>
          <wp:inline>
            <wp:extent cx="4620126" cy="3696101"/>
            <wp:effectExtent b="0" l="0" r="0" t="0"/>
            <wp:docPr descr="" title="" id="35" name="Picture"/>
            <a:graphic>
              <a:graphicData uri="http://schemas.openxmlformats.org/drawingml/2006/picture">
                <pic:pic>
                  <pic:nvPicPr>
                    <pic:cNvPr descr="bulletin_T2_V3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5</w:t>
      </w:r>
      <w:r>
        <w:t xml:space="preserve"> </w:t>
      </w:r>
      <w:r>
        <w:t xml:space="preserve">illustre la répartition de la population en emploi selon le milieu de résidence. On observait une proportion plus élevée de personnes en emploi en milieu rural qu’en milieu urbain, avec respectivement</w:t>
      </w:r>
      <w:r>
        <w:t xml:space="preserve"> </w:t>
      </w:r>
      <w:r>
        <w:rPr>
          <w:b/>
          <w:bCs/>
        </w:rPr>
        <w:t xml:space="preserve">96,6</w:t>
      </w:r>
      <w:r>
        <w:t xml:space="preserve"> </w:t>
      </w:r>
      <w:r>
        <w:t xml:space="preserve">%,</w:t>
      </w:r>
      <w:r>
        <w:t xml:space="preserve"> </w:t>
      </w:r>
      <w:r>
        <w:rPr>
          <w:b/>
          <w:bCs/>
        </w:rPr>
        <w:t xml:space="preserve">94,8</w:t>
      </w:r>
      <w:r>
        <w:t xml:space="preserve"> </w:t>
      </w:r>
      <w:r>
        <w:t xml:space="preserve">% et</w:t>
      </w:r>
      <w:r>
        <w:t xml:space="preserve"> </w:t>
      </w:r>
      <w:r>
        <w:rPr>
          <w:b/>
          <w:bCs/>
        </w:rPr>
        <w:t xml:space="preserve">89,3</w:t>
      </w:r>
      <w:r>
        <w:t xml:space="preserve"> </w:t>
      </w:r>
      <w:r>
        <w:t xml:space="preserve">% en milieu rural, dans les autres zones urbaines et à Abidjan.</w:t>
      </w:r>
    </w:p>
    <w:p>
      <w:pPr>
        <w:pStyle w:val="BodyText"/>
      </w:pPr>
      <w:r>
        <w:rPr>
          <w:b/>
          <w:bCs/>
        </w:rPr>
        <w:t xml:space="preserve">Figure 5 :</w:t>
      </w:r>
      <w:r>
        <w:t xml:space="preserve"> </w:t>
      </w:r>
      <w:r>
        <w:t xml:space="preserve">Population en emploi dans la main d’oeuvre selon le milieu de residence</w:t>
      </w:r>
    </w:p>
    <w:p>
      <w:pPr>
        <w:pStyle w:val="BodyText"/>
      </w:pPr>
      <w:r>
        <w:drawing>
          <wp:inline>
            <wp:extent cx="4620126" cy="3696101"/>
            <wp:effectExtent b="0" l="0" r="0" t="0"/>
            <wp:docPr descr="" title="" id="38" name="Picture"/>
            <a:graphic>
              <a:graphicData uri="http://schemas.openxmlformats.org/drawingml/2006/picture">
                <pic:pic>
                  <pic:nvPicPr>
                    <pic:cNvPr descr="bulletin_T2_V3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6" w:name="statut-de-lemploi"/>
    <w:p>
      <w:pPr>
        <w:pStyle w:val="Titre2"/>
      </w:pPr>
      <w:r>
        <w:t xml:space="preserve">Statut de l’emploi</w:t>
      </w:r>
    </w:p>
    <w:p>
      <w:pPr>
        <w:pStyle w:val="FirstParagraph"/>
      </w:pPr>
      <w:r>
        <w:t xml:space="preserve">Parmi les personnes en emploi au deuxième trimestre 2024, on observait une proportion plus importante de travailleurs indépendants que de travailleurs dépendants, soit</w:t>
      </w:r>
      <w:r>
        <w:t xml:space="preserve"> </w:t>
      </w:r>
      <w:r>
        <w:rPr>
          <w:b/>
          <w:bCs/>
        </w:rPr>
        <w:t xml:space="preserve">66,8</w:t>
      </w:r>
      <w:r>
        <w:t xml:space="preserve"> </w:t>
      </w:r>
      <w:r>
        <w:t xml:space="preserve">% de travailleurs indépendants contre</w:t>
      </w:r>
      <w:r>
        <w:t xml:space="preserve"> </w:t>
      </w:r>
      <w:r>
        <w:rPr>
          <w:b/>
          <w:bCs/>
        </w:rPr>
        <w:t xml:space="preserve">32,2</w:t>
      </w:r>
      <w:r>
        <w:t xml:space="preserve"> </w:t>
      </w:r>
      <w:r>
        <w:t xml:space="preserve">% de travailleurs dépendants</w:t>
      </w:r>
      <w:r>
        <w:t xml:space="preserve"> </w:t>
      </w:r>
      <w:r>
        <w:rPr>
          <w:b/>
          <w:bCs/>
        </w:rPr>
        <w:t xml:space="preserve">(Figure 6)</w:t>
      </w:r>
      <w:r>
        <w:t xml:space="preserve">.La majorité des travailleurs indépendants n’employaient pas et résidaient principalement en milieu rural, tandis que les employés se concentraient davantage en milieu urbain</w:t>
      </w:r>
      <w:r>
        <w:t xml:space="preserve"> </w:t>
      </w:r>
      <w:r>
        <w:rPr>
          <w:b/>
          <w:bCs/>
        </w:rPr>
        <w:t xml:space="preserve">(Figure 7)</w:t>
      </w:r>
      <w:r>
        <w:t xml:space="preserve">.</w:t>
      </w:r>
    </w:p>
    <w:p>
      <w:pPr>
        <w:pStyle w:val="BodyText"/>
      </w:pPr>
      <w:r>
        <w:rPr>
          <w:b/>
          <w:bCs/>
        </w:rPr>
        <w:t xml:space="preserve">Figure 6 :</w:t>
      </w:r>
      <w:r>
        <w:t xml:space="preserve"> </w:t>
      </w:r>
      <w:r>
        <w:t xml:space="preserve">Population en emploi dans la main d’oeuvre par statut</w:t>
      </w:r>
    </w:p>
    <w:p>
      <w:pPr>
        <w:pStyle w:val="BodyText"/>
      </w:pPr>
      <w:r>
        <w:drawing>
          <wp:inline>
            <wp:extent cx="5544151" cy="3696101"/>
            <wp:effectExtent b="0" l="0" r="0" t="0"/>
            <wp:docPr descr="" title="" id="41" name="Picture"/>
            <a:graphic>
              <a:graphicData uri="http://schemas.openxmlformats.org/drawingml/2006/picture">
                <pic:pic>
                  <pic:nvPicPr>
                    <pic:cNvPr descr="bulletin_T2_V3_files/figure-docx/unnamed-chunk-19-1.png" id="42"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bCs/>
        </w:rPr>
        <w:t xml:space="preserve">Figure 7 :</w:t>
      </w:r>
      <w:r>
        <w:t xml:space="preserve"> </w:t>
      </w:r>
      <w:r>
        <w:t xml:space="preserve">Population en emploi par statut et milieu de residence</w:t>
      </w:r>
    </w:p>
    <w:p>
      <w:pPr>
        <w:pStyle w:val="BodyText"/>
      </w:pPr>
      <w:r>
        <w:drawing>
          <wp:inline>
            <wp:extent cx="4620126" cy="3696101"/>
            <wp:effectExtent b="0" l="0" r="0" t="0"/>
            <wp:docPr descr="" title="" id="44" name="Picture"/>
            <a:graphic>
              <a:graphicData uri="http://schemas.openxmlformats.org/drawingml/2006/picture">
                <pic:pic>
                  <pic:nvPicPr>
                    <pic:cNvPr descr="bulletin_T2_V3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3" w:name="branches-dactivités"/>
    <w:p>
      <w:pPr>
        <w:pStyle w:val="Titre2"/>
      </w:pPr>
      <w:r>
        <w:t xml:space="preserve">Branches d’activités</w:t>
      </w:r>
    </w:p>
    <w:p>
      <w:pPr>
        <w:pStyle w:val="FirstParagraph"/>
      </w:pPr>
      <w:r>
        <w:t xml:space="preserve">Au deuxième trimestre 2024, l’emploi se concentrait principalement dans l’agriculture et les services, alors que l’industrie était le secteur comptant la plus faible proportion de personne en emploi</w:t>
      </w:r>
      <w:r>
        <w:t xml:space="preserve"> </w:t>
      </w:r>
      <w:r>
        <w:rPr>
          <w:b/>
          <w:bCs/>
        </w:rPr>
        <w:t xml:space="preserve">(Figure 8)</w:t>
      </w:r>
      <w:r>
        <w:t xml:space="preserve">.</w:t>
      </w:r>
    </w:p>
    <w:p>
      <w:pPr>
        <w:pStyle w:val="BodyText"/>
      </w:pPr>
      <w:r>
        <w:rPr>
          <w:b/>
          <w:bCs/>
        </w:rPr>
        <w:t xml:space="preserve">Figure 8:</w:t>
      </w:r>
      <w:r>
        <w:t xml:space="preserve"> </w:t>
      </w:r>
      <w:r>
        <w:t xml:space="preserve">Population en emploi par branche d’activité</w:t>
      </w:r>
    </w:p>
    <w:p>
      <w:pPr>
        <w:pStyle w:val="BodyText"/>
      </w:pPr>
      <w:r>
        <w:drawing>
          <wp:inline>
            <wp:extent cx="4620126" cy="3696101"/>
            <wp:effectExtent b="0" l="0" r="0" t="0"/>
            <wp:docPr descr="" title="" id="48" name="Picture"/>
            <a:graphic>
              <a:graphicData uri="http://schemas.openxmlformats.org/drawingml/2006/picture">
                <pic:pic>
                  <pic:nvPicPr>
                    <pic:cNvPr descr="bulletin_T2_V3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Selon le milieu de résidence</w:t>
      </w:r>
      <w:r>
        <w:t xml:space="preserve"> </w:t>
      </w:r>
      <w:r>
        <w:rPr>
          <w:b/>
          <w:bCs/>
        </w:rPr>
        <w:t xml:space="preserve">(Figure 9)</w:t>
      </w:r>
      <w:r>
        <w:t xml:space="preserve">, les emplois du secteur agricole étaient majoritairement exercés en milieu rural (</w:t>
      </w:r>
      <w:r>
        <w:rPr>
          <w:b/>
          <w:bCs/>
        </w:rPr>
        <w:t xml:space="preserve">71,2</w:t>
      </w:r>
      <w:r>
        <w:t xml:space="preserve"> </w:t>
      </w:r>
      <w:r>
        <w:t xml:space="preserve">%). On ne comptait que</w:t>
      </w:r>
      <w:r>
        <w:t xml:space="preserve"> </w:t>
      </w:r>
      <w:r>
        <w:rPr>
          <w:b/>
          <w:bCs/>
        </w:rPr>
        <w:t xml:space="preserve">1,8</w:t>
      </w:r>
      <w:r>
        <w:t xml:space="preserve"> </w:t>
      </w:r>
      <w:r>
        <w:t xml:space="preserve">% de ces emplois à Abidjan et</w:t>
      </w:r>
      <w:r>
        <w:t xml:space="preserve"> </w:t>
      </w:r>
      <w:r>
        <w:rPr>
          <w:b/>
          <w:bCs/>
        </w:rPr>
        <w:t xml:space="preserve">19,9</w:t>
      </w:r>
      <w:r>
        <w:t xml:space="preserve"> </w:t>
      </w:r>
      <w:r>
        <w:t xml:space="preserve">% dans les autres zones urbaines. Cependant, pour tous les autres secteurs d’activités : Industrie, commerce et les services, la majorité des emplois étaient tenus à Abidjan principalement, et dans les autres milieux urbains.</w:t>
      </w:r>
    </w:p>
    <w:p>
      <w:pPr>
        <w:pStyle w:val="BodyText"/>
      </w:pPr>
      <w:r>
        <w:rPr>
          <w:b/>
          <w:bCs/>
        </w:rPr>
        <w:t xml:space="preserve">Figure 9 :</w:t>
      </w:r>
      <w:r>
        <w:t xml:space="preserve"> </w:t>
      </w:r>
      <w:r>
        <w:t xml:space="preserve">Population en emploi par branche d’activité et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V3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0" w:name="pluriactivité"/>
    <w:p>
      <w:pPr>
        <w:pStyle w:val="Titre2"/>
      </w:pPr>
      <w:r>
        <w:t xml:space="preserve">Pluriactivité</w:t>
      </w:r>
    </w:p>
    <w:p>
      <w:pPr>
        <w:pStyle w:val="FirstParagraph"/>
      </w:pPr>
      <w:r>
        <w:t xml:space="preserve">Parmi les personnes en emploi au deuxième trimestre 2024,</w:t>
      </w:r>
      <w:r>
        <w:t xml:space="preserve"> </w:t>
      </w:r>
      <w:r>
        <w:rPr>
          <w:b/>
          <w:bCs/>
        </w:rPr>
        <w:t xml:space="preserve">15,8</w:t>
      </w:r>
      <w:r>
        <w:t xml:space="preserve"> </w:t>
      </w:r>
      <w:r>
        <w:t xml:space="preserve">% exerçaient au moins un emploi supplémentaire en plus de leur activité principale. Les hommes étaient plus souvent concernés par la pluriactivité que les femmes, avec</w:t>
      </w:r>
      <w:r>
        <w:t xml:space="preserve"> </w:t>
      </w:r>
      <w:r>
        <w:rPr>
          <w:b/>
          <w:bCs/>
        </w:rPr>
        <w:t xml:space="preserve">18</w:t>
      </w:r>
      <w:r>
        <w:t xml:space="preserve"> </w:t>
      </w:r>
      <w:r>
        <w:t xml:space="preserve">% des hommes en emploi et</w:t>
      </w:r>
      <w:r>
        <w:t xml:space="preserve"> </w:t>
      </w:r>
      <w:r>
        <w:rPr>
          <w:b/>
          <w:bCs/>
        </w:rPr>
        <w:t xml:space="preserve">12,6</w:t>
      </w:r>
      <w:r>
        <w:t xml:space="preserve"> </w:t>
      </w:r>
      <w:r>
        <w:t xml:space="preserve">% des femmes en emploi ayant au moins une activité supplémentaire</w:t>
      </w:r>
      <w:r>
        <w:t xml:space="preserve"> </w:t>
      </w:r>
      <w:r>
        <w:rPr>
          <w:b/>
          <w:bCs/>
        </w:rPr>
        <w:t xml:space="preserve">(Figure 10)</w:t>
      </w:r>
      <w:r>
        <w:t xml:space="preserve">.</w:t>
      </w:r>
    </w:p>
    <w:p>
      <w:pPr>
        <w:pStyle w:val="BodyText"/>
      </w:pPr>
      <w:r>
        <w:rPr>
          <w:b/>
          <w:bCs/>
        </w:rPr>
        <w:t xml:space="preserve">Figure 10 :</w:t>
      </w:r>
      <w:r>
        <w:t xml:space="preserve"> </w:t>
      </w:r>
      <w:r>
        <w:t xml:space="preserve">Pluriactivité par sexe</w:t>
      </w:r>
    </w:p>
    <w:p>
      <w:pPr>
        <w:pStyle w:val="BodyText"/>
      </w:pPr>
      <w:r>
        <w:drawing>
          <wp:inline>
            <wp:extent cx="3696101" cy="3696101"/>
            <wp:effectExtent b="0" l="0" r="0" t="0"/>
            <wp:docPr descr="" title="" id="55" name="Picture"/>
            <a:graphic>
              <a:graphicData uri="http://schemas.openxmlformats.org/drawingml/2006/picture">
                <pic:pic>
                  <pic:nvPicPr>
                    <pic:cNvPr descr="bulletin_T2_V3_files/figure-docx/unnamed-chunk-27-1.png" id="56" name="Picture"/>
                    <pic:cNvPicPr>
                      <a:picLocks noChangeArrowheads="1" noChangeAspect="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 ailleurs, la pluriactivité était plus fréquente chez les personnes en emploi vivant en milieu rural que chez celles résidant en milieu urbain</w:t>
      </w:r>
      <w:r>
        <w:t xml:space="preserve"> </w:t>
      </w:r>
      <w:r>
        <w:rPr>
          <w:b/>
          <w:bCs/>
        </w:rPr>
        <w:t xml:space="preserve">(Figure 11)</w:t>
      </w:r>
      <w:r>
        <w:t xml:space="preserve">.</w:t>
      </w:r>
    </w:p>
    <w:p>
      <w:pPr>
        <w:pStyle w:val="BodyText"/>
      </w:pPr>
      <w:r>
        <w:rPr>
          <w:b/>
          <w:bCs/>
        </w:rPr>
        <w:t xml:space="preserve">Figure 11 :</w:t>
      </w:r>
      <w:r>
        <w:t xml:space="preserve"> </w:t>
      </w:r>
      <w:r>
        <w:t xml:space="preserve">Pluriactivité suivant le milieu de residence</w:t>
      </w:r>
    </w:p>
    <w:p>
      <w:pPr>
        <w:pStyle w:val="BodyText"/>
      </w:pPr>
      <w:r>
        <w:drawing>
          <wp:inline>
            <wp:extent cx="4620126" cy="3696101"/>
            <wp:effectExtent b="0" l="0" r="0" t="0"/>
            <wp:docPr descr="" title="" id="58" name="Picture"/>
            <a:graphic>
              <a:graphicData uri="http://schemas.openxmlformats.org/drawingml/2006/picture">
                <pic:pic>
                  <pic:nvPicPr>
                    <pic:cNvPr descr="bulletin_T2_V3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1" w:name="informalite"/>
    <w:p>
      <w:pPr>
        <w:pStyle w:val="Titre1"/>
      </w:pPr>
      <w:r>
        <w:t xml:space="preserve">INFORMALITE</w:t>
      </w:r>
    </w:p>
    <w:p>
      <w:pPr>
        <w:pStyle w:val="FirstParagraph"/>
      </w:pPr>
      <w:r>
        <w:t xml:space="preserve">Au deuxième trimestre 2024,</w:t>
      </w:r>
      <w:r>
        <w:t xml:space="preserve"> </w:t>
      </w:r>
      <w:r>
        <w:rPr>
          <w:b/>
          <w:bCs/>
        </w:rPr>
        <w:t xml:space="preserve">84,8</w:t>
      </w:r>
      <w:r>
        <w:t xml:space="preserve"> </w:t>
      </w:r>
      <w:r>
        <w:t xml:space="preserve">% des emplois étaient informels. Les emplois informels étaient plus fréquents chez les femmes, avec</w:t>
      </w:r>
      <w:r>
        <w:t xml:space="preserve"> </w:t>
      </w:r>
      <w:r>
        <w:rPr>
          <w:b/>
          <w:bCs/>
        </w:rPr>
        <w:t xml:space="preserve">83</w:t>
      </w:r>
      <w:r>
        <w:t xml:space="preserve"> </w:t>
      </w:r>
      <w:r>
        <w:t xml:space="preserve">% chez les hommes contre</w:t>
      </w:r>
      <w:r>
        <w:t xml:space="preserve"> </w:t>
      </w:r>
      <w:r>
        <w:rPr>
          <w:b/>
          <w:bCs/>
        </w:rPr>
        <w:t xml:space="preserve">87,6</w:t>
      </w:r>
      <w:r>
        <w:t xml:space="preserve"> </w:t>
      </w:r>
      <w:r>
        <w:t xml:space="preserve">% chez les femmes</w:t>
      </w:r>
      <w:r>
        <w:t xml:space="preserve"> </w:t>
      </w:r>
      <w:r>
        <w:rPr>
          <w:b/>
          <w:bCs/>
        </w:rPr>
        <w:t xml:space="preserve">(Figure 12)</w:t>
      </w:r>
      <w:r>
        <w:t xml:space="preserve">.</w:t>
      </w:r>
    </w:p>
    <w:p>
      <w:pPr>
        <w:pStyle w:val="BodyText"/>
      </w:pPr>
      <w:r>
        <w:rPr>
          <w:b/>
          <w:bCs/>
        </w:rPr>
        <w:t xml:space="preserve">Figure 12 :</w:t>
      </w:r>
      <w:r>
        <w:t xml:space="preserve"> </w:t>
      </w:r>
      <w:r>
        <w:t xml:space="preserve">informalité de l’emploi suivant le sexe</w:t>
      </w:r>
    </w:p>
    <w:p>
      <w:pPr>
        <w:pStyle w:val="BodyText"/>
      </w:pPr>
      <w:r>
        <w:drawing>
          <wp:inline>
            <wp:extent cx="3696101" cy="3696101"/>
            <wp:effectExtent b="0" l="0" r="0" t="0"/>
            <wp:docPr descr="" title="" id="63" name="Picture"/>
            <a:graphic>
              <a:graphicData uri="http://schemas.openxmlformats.org/drawingml/2006/picture">
                <pic:pic>
                  <pic:nvPicPr>
                    <pic:cNvPr descr="bulletin_T2_V3_files/figure-docx/unnamed-chunk-33-1.png" id="64" name="Picture"/>
                    <pic:cNvPicPr>
                      <a:picLocks noChangeArrowheads="1" noChangeAspect="1"/>
                    </pic:cNvPicPr>
                  </pic:nvPicPr>
                  <pic:blipFill>
                    <a:blip r:embed="rId6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Le milieu rural était la zone géographique présentant la plus forte proportion d’emplois informels. En effet,</w:t>
      </w:r>
      <w:r>
        <w:t xml:space="preserve"> </w:t>
      </w:r>
      <w:r>
        <w:rPr>
          <w:b/>
          <w:bCs/>
        </w:rPr>
        <w:t xml:space="preserve">90,9</w:t>
      </w:r>
      <w:r>
        <w:t xml:space="preserve"> </w:t>
      </w:r>
      <w:r>
        <w:t xml:space="preserve">% des emplois en milieu rural relevaient de l’informel, contre</w:t>
      </w:r>
      <w:r>
        <w:t xml:space="preserve"> </w:t>
      </w:r>
      <w:r>
        <w:rPr>
          <w:b/>
          <w:bCs/>
        </w:rPr>
        <w:t xml:space="preserve">87,7</w:t>
      </w:r>
      <w:r>
        <w:t xml:space="preserve"> </w:t>
      </w:r>
      <w:r>
        <w:t xml:space="preserve">% à Abidjan et</w:t>
      </w:r>
      <w:r>
        <w:t xml:space="preserve"> </w:t>
      </w:r>
      <w:r>
        <w:rPr>
          <w:b/>
          <w:bCs/>
        </w:rPr>
        <w:t xml:space="preserve">76,3</w:t>
      </w:r>
      <w:r>
        <w:t xml:space="preserve"> </w:t>
      </w:r>
      <w:r>
        <w:t xml:space="preserve">% dans les autres zones urbaines</w:t>
      </w:r>
      <w:r>
        <w:t xml:space="preserve"> </w:t>
      </w:r>
      <w:r>
        <w:rPr>
          <w:b/>
          <w:bCs/>
        </w:rPr>
        <w:t xml:space="preserve">(Figure 13)</w:t>
      </w:r>
      <w:r>
        <w:t xml:space="preserve">.</w:t>
      </w:r>
    </w:p>
    <w:p>
      <w:pPr>
        <w:pStyle w:val="BodyText"/>
      </w:pPr>
      <w:r>
        <w:rPr>
          <w:b/>
          <w:bCs/>
        </w:rPr>
        <w:t xml:space="preserve">Figure 13 :</w:t>
      </w:r>
      <w:r>
        <w:t xml:space="preserve"> </w:t>
      </w:r>
      <w:r>
        <w:t xml:space="preserve">Informalité de l’emploi suivant le milieu de résidence</w:t>
      </w:r>
    </w:p>
    <w:p>
      <w:pPr>
        <w:pStyle w:val="BodyText"/>
      </w:pPr>
      <w:r>
        <w:drawing>
          <wp:inline>
            <wp:extent cx="4620126" cy="3696101"/>
            <wp:effectExtent b="0" l="0" r="0" t="0"/>
            <wp:docPr descr="" title="" id="66" name="Picture"/>
            <a:graphic>
              <a:graphicData uri="http://schemas.openxmlformats.org/drawingml/2006/picture">
                <pic:pic>
                  <pic:nvPicPr>
                    <pic:cNvPr descr="bulletin_T2_V3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les personnes moins instruites étaient plus enclines à occuper des emplois informels</w:t>
      </w:r>
      <w:r>
        <w:t xml:space="preserve"> </w:t>
      </w:r>
      <w:r>
        <w:rPr>
          <w:b/>
          <w:bCs/>
        </w:rPr>
        <w:t xml:space="preserve">(Figure 14)</w:t>
      </w:r>
      <w:r>
        <w:t xml:space="preserve">.</w:t>
      </w:r>
    </w:p>
    <w:p>
      <w:pPr>
        <w:pStyle w:val="BodyText"/>
      </w:pPr>
      <w:r>
        <w:rPr>
          <w:b/>
          <w:bCs/>
        </w:rPr>
        <w:t xml:space="preserve">Figure 14 :</w:t>
      </w:r>
      <w:r>
        <w:t xml:space="preserve"> </w:t>
      </w:r>
      <w:r>
        <w:t xml:space="preserve">Informalité de l’emploi suivant le niveau d’instruction</w:t>
      </w:r>
    </w:p>
    <w:p>
      <w:pPr>
        <w:pStyle w:val="BodyText"/>
      </w:pPr>
      <w:r>
        <w:drawing>
          <wp:inline>
            <wp:extent cx="5753100" cy="2030505"/>
            <wp:effectExtent b="0" l="0" r="0" t="0"/>
            <wp:docPr descr="" title="" id="69" name="Picture"/>
            <a:graphic>
              <a:graphicData uri="http://schemas.openxmlformats.org/drawingml/2006/picture">
                <pic:pic>
                  <pic:nvPicPr>
                    <pic:cNvPr descr="bulletin_T2_V3_files/figure-docx/unnamed-chunk-37-1.png" id="70" name="Picture"/>
                    <pic:cNvPicPr>
                      <a:picLocks noChangeArrowheads="1" noChangeAspect="1"/>
                    </pic:cNvPicPr>
                  </pic:nvPicPr>
                  <pic:blipFill>
                    <a:blip r:embed="rId68"/>
                    <a:stretch>
                      <a:fillRect/>
                    </a:stretch>
                  </pic:blipFill>
                  <pic:spPr bwMode="auto">
                    <a:xfrm>
                      <a:off x="0" y="0"/>
                      <a:ext cx="5753100" cy="2030505"/>
                    </a:xfrm>
                    <a:prstGeom prst="rect">
                      <a:avLst/>
                    </a:prstGeom>
                    <a:noFill/>
                    <a:ln w="9525">
                      <a:noFill/>
                      <a:headEnd/>
                      <a:tailEnd/>
                    </a:ln>
                  </pic:spPr>
                </pic:pic>
              </a:graphicData>
            </a:graphic>
          </wp:inline>
        </w:drawing>
      </w:r>
    </w:p>
    <w:bookmarkEnd w:id="71"/>
    <w:bookmarkStart w:id="89" w:name="sous--utilisation-de-la-main-doeuvre"/>
    <w:p>
      <w:pPr>
        <w:pStyle w:val="Titre1"/>
      </w:pPr>
      <w:r>
        <w:t xml:space="preserve">SOUS- UTILISATION DE LA MAIN D’OEUVRE</w:t>
      </w:r>
    </w:p>
    <w:bookmarkStart w:id="84" w:name="taux-de-chomage"/>
    <w:p>
      <w:pPr>
        <w:pStyle w:val="Titre2"/>
      </w:pPr>
      <w:r>
        <w:t xml:space="preserve">Taux de chomage</w:t>
      </w:r>
    </w:p>
    <w:p>
      <w:pPr>
        <w:pStyle w:val="FirstParagraph"/>
      </w:pPr>
      <w:r>
        <w:t xml:space="preserve">Au deuxième trimestre 2024, le taux de chômage s’établissait à</w:t>
      </w:r>
      <w:r>
        <w:t xml:space="preserve"> </w:t>
      </w:r>
      <w:r>
        <w:rPr>
          <w:b/>
          <w:bCs/>
        </w:rPr>
        <w:t xml:space="preserve">5,2</w:t>
      </w:r>
      <w:r>
        <w:t xml:space="preserve"> </w:t>
      </w:r>
      <w:r>
        <w:t xml:space="preserve">%. Il atteignait</w:t>
      </w:r>
      <w:r>
        <w:t xml:space="preserve"> </w:t>
      </w:r>
      <w:r>
        <w:rPr>
          <w:b/>
          <w:bCs/>
        </w:rPr>
        <w:t xml:space="preserve">3,2</w:t>
      </w:r>
      <w:r>
        <w:t xml:space="preserve"> </w:t>
      </w:r>
      <w:r>
        <w:t xml:space="preserve">% chez les hommes contre</w:t>
      </w:r>
      <w:r>
        <w:t xml:space="preserve"> </w:t>
      </w:r>
      <w:r>
        <w:rPr>
          <w:b/>
          <w:bCs/>
        </w:rPr>
        <w:t xml:space="preserve">8,1</w:t>
      </w:r>
      <w:r>
        <w:t xml:space="preserve"> </w:t>
      </w:r>
      <w:r>
        <w:t xml:space="preserve">% chez les femmes</w:t>
      </w:r>
      <w:r>
        <w:t xml:space="preserve"> </w:t>
      </w:r>
      <w:r>
        <w:rPr>
          <w:b/>
          <w:bCs/>
        </w:rPr>
        <w:t xml:space="preserve">(Figure 15)</w:t>
      </w:r>
      <w:r>
        <w:t xml:space="preserve">.</w:t>
      </w:r>
    </w:p>
    <w:p>
      <w:pPr>
        <w:pStyle w:val="BodyText"/>
      </w:pPr>
      <w:r>
        <w:rPr>
          <w:b/>
          <w:bCs/>
        </w:rPr>
        <w:t xml:space="preserve">Figure 15 :</w:t>
      </w:r>
      <w:r>
        <w:t xml:space="preserve"> </w:t>
      </w:r>
      <w:r>
        <w:t xml:space="preserve">Taux de chomage suivant le sexe</w:t>
      </w:r>
    </w:p>
    <w:p>
      <w:pPr>
        <w:pStyle w:val="BodyText"/>
      </w:pPr>
      <w:r>
        <w:drawing>
          <wp:inline>
            <wp:extent cx="3696101" cy="2772075"/>
            <wp:effectExtent b="0" l="0" r="0" t="0"/>
            <wp:docPr descr="" title="" id="73" name="Picture"/>
            <a:graphic>
              <a:graphicData uri="http://schemas.openxmlformats.org/drawingml/2006/picture">
                <pic:pic>
                  <pic:nvPicPr>
                    <pic:cNvPr descr="bulletin_T2_V3_files/figure-docx/unnamed-chunk-40-1.png" id="74" name="Picture"/>
                    <pic:cNvPicPr>
                      <a:picLocks noChangeArrowheads="1" noChangeAspect="1"/>
                    </pic:cNvPicPr>
                  </pic:nvPicPr>
                  <pic:blipFill>
                    <a:blip r:embed="rId7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Par ailleurs, le taux de chômage diminuait avec l’âge</w:t>
      </w:r>
      <w:r>
        <w:t xml:space="preserve"> </w:t>
      </w:r>
      <w:r>
        <w:rPr>
          <w:b/>
          <w:bCs/>
        </w:rPr>
        <w:t xml:space="preserve">(Figure 16)</w:t>
      </w:r>
      <w:r>
        <w:t xml:space="preserve"> </w:t>
      </w:r>
      <w:r>
        <w:t xml:space="preserve">et augmentait, plus ou moins, avec le niveau d’instruction</w:t>
      </w:r>
      <w:r>
        <w:t xml:space="preserve"> </w:t>
      </w:r>
      <w:r>
        <w:rPr>
          <w:b/>
          <w:bCs/>
        </w:rPr>
        <w:t xml:space="preserve">(Figure 17)</w:t>
      </w:r>
      <w:r>
        <w:t xml:space="preserve">.</w:t>
      </w:r>
    </w:p>
    <w:p>
      <w:pPr>
        <w:pStyle w:val="BodyText"/>
      </w:pPr>
      <w:r>
        <w:rPr>
          <w:b/>
          <w:bCs/>
        </w:rPr>
        <w:t xml:space="preserve">Figure 16 :</w:t>
      </w:r>
      <w:r>
        <w:t xml:space="preserve"> </w:t>
      </w:r>
      <w:r>
        <w:t xml:space="preserve">Taux de chomage suivant l’age</w:t>
      </w:r>
    </w:p>
    <w:p>
      <w:pPr>
        <w:pStyle w:val="BodyText"/>
      </w:pPr>
      <w:r>
        <w:drawing>
          <wp:inline>
            <wp:extent cx="4620126" cy="2772075"/>
            <wp:effectExtent b="0" l="0" r="0" t="0"/>
            <wp:docPr descr="" title="" id="76" name="Picture"/>
            <a:graphic>
              <a:graphicData uri="http://schemas.openxmlformats.org/drawingml/2006/picture">
                <pic:pic>
                  <pic:nvPicPr>
                    <pic:cNvPr descr="bulletin_T2_V3_files/figure-docx/unnamed-chunk-41-1.png" id="77" name="Picture"/>
                    <pic:cNvPicPr>
                      <a:picLocks noChangeArrowheads="1" noChangeAspect="1"/>
                    </pic:cNvPicPr>
                  </pic:nvPicPr>
                  <pic:blipFill>
                    <a:blip r:embed="rId7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17 :</w:t>
      </w:r>
      <w:r>
        <w:t xml:space="preserve"> </w:t>
      </w:r>
      <w:r>
        <w:t xml:space="preserve">Taux de chomage suivant le niveau d’instruction</w:t>
      </w:r>
    </w:p>
    <w:p>
      <w:pPr>
        <w:pStyle w:val="BodyText"/>
      </w:pPr>
      <w:r>
        <w:drawing>
          <wp:inline>
            <wp:extent cx="4620126" cy="3234088"/>
            <wp:effectExtent b="0" l="0" r="0" t="0"/>
            <wp:docPr descr="" title="" id="79" name="Picture"/>
            <a:graphic>
              <a:graphicData uri="http://schemas.openxmlformats.org/drawingml/2006/picture">
                <pic:pic>
                  <pic:nvPicPr>
                    <pic:cNvPr descr="bulletin_T2_V3_files/figure-docx/unnamed-chunk-42-1.png" id="80" name="Picture"/>
                    <pic:cNvPicPr>
                      <a:picLocks noChangeArrowheads="1" noChangeAspect="1"/>
                    </pic:cNvPicPr>
                  </pic:nvPicPr>
                  <pic:blipFill>
                    <a:blip r:embed="rId78"/>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Avec un taux de chômage de</w:t>
      </w:r>
      <w:r>
        <w:t xml:space="preserve"> </w:t>
      </w:r>
      <w:r>
        <w:rPr>
          <w:b/>
          <w:bCs/>
        </w:rPr>
        <w:t xml:space="preserve">10,7</w:t>
      </w:r>
      <w:r>
        <w:t xml:space="preserve"> </w:t>
      </w:r>
      <w:r>
        <w:t xml:space="preserve">% à Abidjan,</w:t>
      </w:r>
      <w:r>
        <w:t xml:space="preserve"> </w:t>
      </w:r>
      <w:r>
        <w:rPr>
          <w:b/>
          <w:bCs/>
        </w:rPr>
        <w:t xml:space="preserve">5,2</w:t>
      </w:r>
      <w:r>
        <w:t xml:space="preserve"> </w:t>
      </w:r>
      <w:r>
        <w:t xml:space="preserve">% dans les autres zones urbaines et</w:t>
      </w:r>
      <w:r>
        <w:t xml:space="preserve"> </w:t>
      </w:r>
      <w:r>
        <w:rPr>
          <w:b/>
          <w:bCs/>
        </w:rPr>
        <w:t xml:space="preserve">3,4</w:t>
      </w:r>
      <w:r>
        <w:t xml:space="preserve"> </w:t>
      </w:r>
      <w:r>
        <w:t xml:space="preserve">% en milieu rural</w:t>
      </w:r>
      <w:r>
        <w:t xml:space="preserve"> </w:t>
      </w:r>
      <w:r>
        <w:rPr>
          <w:b/>
          <w:bCs/>
        </w:rPr>
        <w:t xml:space="preserve">(Figure 18)</w:t>
      </w:r>
      <w:r>
        <w:t xml:space="preserve">, le milieu rural présentait le taux de chômage le plus faible.</w:t>
      </w:r>
    </w:p>
    <w:p>
      <w:pPr>
        <w:pStyle w:val="BodyText"/>
      </w:pPr>
      <w:r>
        <w:rPr>
          <w:b/>
          <w:bCs/>
        </w:rPr>
        <w:t xml:space="preserve">Figure 18 :</w:t>
      </w:r>
      <w:r>
        <w:t xml:space="preserve"> </w:t>
      </w:r>
      <w:r>
        <w:t xml:space="preserve">Taux de chomage suivant le milieu de residence</w:t>
      </w:r>
    </w:p>
    <w:p>
      <w:pPr>
        <w:pStyle w:val="BodyText"/>
      </w:pPr>
      <w:r>
        <w:drawing>
          <wp:inline>
            <wp:extent cx="3696101" cy="3696101"/>
            <wp:effectExtent b="0" l="0" r="0" t="0"/>
            <wp:docPr descr="" title="" id="82" name="Picture"/>
            <a:graphic>
              <a:graphicData uri="http://schemas.openxmlformats.org/drawingml/2006/picture">
                <pic:pic>
                  <pic:nvPicPr>
                    <pic:cNvPr descr="bulletin_T2_V3_files/figure-docx/unnamed-chunk-45-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bookmarkEnd w:id="84"/>
    <w:bookmarkStart w:id="88" w:name="X5fd5594f6cd43633cd3eba6da14495f788dc0ac"/>
    <w:p>
      <w:pPr>
        <w:pStyle w:val="Titre2"/>
      </w:pPr>
      <w:r>
        <w:t xml:space="preserve">Taux combiné du chomage et de la main d’oeuvre potentielle</w:t>
      </w:r>
    </w:p>
    <w:p>
      <w:pPr>
        <w:pStyle w:val="FirstParagraph"/>
      </w:pPr>
      <w:r>
        <w:t xml:space="preserve">Le taux combiné du chomage et de la main d’oeuvre potentielle était de</w:t>
      </w:r>
      <w:r>
        <w:t xml:space="preserve"> </w:t>
      </w:r>
      <w:r>
        <w:rPr>
          <w:b/>
          <w:bCs/>
        </w:rPr>
        <w:t xml:space="preserve">14.94</w:t>
      </w:r>
      <w:r>
        <w:t xml:space="preserve"> </w:t>
      </w:r>
      <w:r>
        <w:t xml:space="preserve">% au deuxième trimestre 2024.</w:t>
      </w:r>
    </w:p>
    <w:p>
      <w:pPr>
        <w:pStyle w:val="BodyText"/>
      </w:pPr>
      <w:r>
        <w:rPr>
          <w:b/>
          <w:bCs/>
        </w:rPr>
        <w:t xml:space="preserve">Figure 19 :</w:t>
      </w:r>
      <w:r>
        <w:t xml:space="preserve"> </w:t>
      </w:r>
      <w:r>
        <w:t xml:space="preserve">Indicateurs du chomage et la sous-utilisation de la main d’oeuvre</w:t>
      </w:r>
    </w:p>
    <w:p>
      <w:pPr>
        <w:pStyle w:val="BodyText"/>
      </w:pPr>
      <w:r>
        <w:drawing>
          <wp:inline>
            <wp:extent cx="3696101" cy="2772075"/>
            <wp:effectExtent b="0" l="0" r="0" t="0"/>
            <wp:docPr descr="" title="" id="86" name="Picture"/>
            <a:graphic>
              <a:graphicData uri="http://schemas.openxmlformats.org/drawingml/2006/picture">
                <pic:pic>
                  <pic:nvPicPr>
                    <pic:cNvPr descr="bulletin_T2_V3_files/figure-docx/unnamed-chunk-48-1.png" id="87" name="Picture"/>
                    <pic:cNvPicPr>
                      <a:picLocks noChangeArrowheads="1" noChangeAspect="1"/>
                    </pic:cNvPicPr>
                  </pic:nvPicPr>
                  <pic:blipFill>
                    <a:blip r:embed="rId85"/>
                    <a:stretch>
                      <a:fillRect/>
                    </a:stretch>
                  </pic:blipFill>
                  <pic:spPr bwMode="auto">
                    <a:xfrm>
                      <a:off x="0" y="0"/>
                      <a:ext cx="3696101" cy="2772075"/>
                    </a:xfrm>
                    <a:prstGeom prst="rect">
                      <a:avLst/>
                    </a:prstGeom>
                    <a:noFill/>
                    <a:ln w="9525">
                      <a:noFill/>
                      <a:headEnd/>
                      <a:tailEnd/>
                    </a:ln>
                  </pic:spPr>
                </pic:pic>
              </a:graphicData>
            </a:graphic>
          </wp:inline>
        </w:drawing>
      </w:r>
    </w:p>
    <w:bookmarkEnd w:id="88"/>
    <w:bookmarkEnd w:id="89"/>
    <w:bookmarkStart w:id="96" w:name="Xde10f3c7f8d552ad2e253e16c8fd1e1331a4da0"/>
    <w:p>
      <w:pPr>
        <w:pStyle w:val="Titre1"/>
      </w:pPr>
      <w:r>
        <w:t xml:space="preserve">JEUNE NI EN EMPLOI, NI EN EDUCATION ET NI EN FORMATION</w:t>
      </w:r>
    </w:p>
    <w:p>
      <w:pPr>
        <w:pStyle w:val="FirstParagraph"/>
      </w:pPr>
      <w:r>
        <w:t xml:space="preserve">Au deuxième trimestre 2024, la proportion de jeunes ni en emploi, ni en éducation, ni en formation (NEETs) âgés de 16 à 24 ans était de</w:t>
      </w:r>
      <w:r>
        <w:t xml:space="preserve"> </w:t>
      </w:r>
      <w:r>
        <w:rPr>
          <w:b/>
          <w:bCs/>
        </w:rPr>
        <w:t xml:space="preserve">23,9</w:t>
      </w:r>
      <w:r>
        <w:t xml:space="preserve"> </w:t>
      </w:r>
      <w:r>
        <w:t xml:space="preserve">%. Cette proportion était plus élevée chez les jeunes femmes de cette tranche d’âge que chez les jeunes hommes, avec</w:t>
      </w:r>
      <w:r>
        <w:t xml:space="preserve"> </w:t>
      </w:r>
      <w:r>
        <w:rPr>
          <w:b/>
          <w:bCs/>
        </w:rPr>
        <w:t xml:space="preserve">15,8</w:t>
      </w:r>
      <w:r>
        <w:t xml:space="preserve"> </w:t>
      </w:r>
      <w:r>
        <w:t xml:space="preserve">% contre</w:t>
      </w:r>
      <w:r>
        <w:t xml:space="preserve"> </w:t>
      </w:r>
      <w:r>
        <w:rPr>
          <w:b/>
          <w:bCs/>
        </w:rPr>
        <w:t xml:space="preserve">32</w:t>
      </w:r>
      <w:r>
        <w:t xml:space="preserve"> </w:t>
      </w:r>
      <w:r>
        <w:t xml:space="preserve">%</w:t>
      </w:r>
      <w:r>
        <w:t xml:space="preserve"> </w:t>
      </w:r>
      <w:r>
        <w:rPr>
          <w:b/>
          <w:bCs/>
        </w:rPr>
        <w:t xml:space="preserve">(Figure 20)</w:t>
      </w:r>
      <w:r>
        <w:t xml:space="preserve">. En outre,le milieu rural comptait la plus forte proportion de NEET agés de 16 à 24 ans</w:t>
      </w:r>
      <w:r>
        <w:t xml:space="preserve"> </w:t>
      </w:r>
      <w:r>
        <w:rPr>
          <w:b/>
          <w:bCs/>
        </w:rPr>
        <w:t xml:space="preserve">(Figure 21)</w:t>
      </w:r>
      <w:r>
        <w:t xml:space="preserve">.</w:t>
      </w:r>
    </w:p>
    <w:p>
      <w:pPr>
        <w:pStyle w:val="BodyText"/>
      </w:pPr>
      <w:r>
        <w:rPr>
          <w:b/>
          <w:bCs/>
        </w:rPr>
        <w:t xml:space="preserve">Figure 20 :</w:t>
      </w:r>
      <w:r>
        <w:t xml:space="preserve"> </w:t>
      </w:r>
      <w:r>
        <w:t xml:space="preserve">Proportion des NEETs cheZ les 16-24 ans selon le sexe</w:t>
      </w:r>
    </w:p>
    <w:p>
      <w:pPr>
        <w:pStyle w:val="BodyText"/>
      </w:pPr>
      <w:r>
        <w:drawing>
          <wp:inline>
            <wp:extent cx="3696101" cy="3696101"/>
            <wp:effectExtent b="0" l="0" r="0" t="0"/>
            <wp:docPr descr="" title="" id="91" name="Picture"/>
            <a:graphic>
              <a:graphicData uri="http://schemas.openxmlformats.org/drawingml/2006/picture">
                <pic:pic>
                  <pic:nvPicPr>
                    <pic:cNvPr descr="bulletin_T2_V3_files/figure-docx/unnamed-chunk-51-1.png" id="92" name="Picture"/>
                    <pic:cNvPicPr>
                      <a:picLocks noChangeArrowheads="1" noChangeAspect="1"/>
                    </pic:cNvPicPr>
                  </pic:nvPicPr>
                  <pic:blipFill>
                    <a:blip r:embed="rId90"/>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b/>
          <w:bCs/>
        </w:rPr>
        <w:t xml:space="preserve">Figure 21 :</w:t>
      </w:r>
      <w:r>
        <w:t xml:space="preserve"> </w:t>
      </w:r>
      <w:r>
        <w:t xml:space="preserve">Proportion des NEETs cheZ les 16-24ans selon le milieu de residence</w:t>
      </w:r>
    </w:p>
    <w:p>
      <w:pPr>
        <w:pStyle w:val="BodyText"/>
      </w:pPr>
      <w:r>
        <w:drawing>
          <wp:inline>
            <wp:extent cx="3696101" cy="3696101"/>
            <wp:effectExtent b="0" l="0" r="0" t="0"/>
            <wp:docPr descr="" title="" id="94" name="Picture"/>
            <a:graphic>
              <a:graphicData uri="http://schemas.openxmlformats.org/drawingml/2006/picture">
                <pic:pic>
                  <pic:nvPicPr>
                    <pic:cNvPr descr="bulletin_T2_V3_files/figure-docx/unnamed-chunk-52-1.png" id="95" name="Picture"/>
                    <pic:cNvPicPr>
                      <a:picLocks noChangeArrowheads="1" noChangeAspect="1"/>
                    </pic:cNvPicPr>
                  </pic:nvPicPr>
                  <pic:blipFill>
                    <a:blip r:embed="rId93"/>
                    <a:stretch>
                      <a:fillRect/>
                    </a:stretch>
                  </pic:blipFill>
                  <pic:spPr bwMode="auto">
                    <a:xfrm>
                      <a:off x="0" y="0"/>
                      <a:ext cx="3696101" cy="3696101"/>
                    </a:xfrm>
                    <a:prstGeom prst="rect">
                      <a:avLst/>
                    </a:prstGeom>
                    <a:noFill/>
                    <a:ln w="9525">
                      <a:noFill/>
                      <a:headEnd/>
                      <a:tailEnd/>
                    </a:ln>
                  </pic:spPr>
                </pic:pic>
              </a:graphicData>
            </a:graphic>
          </wp:inline>
        </w:drawing>
      </w:r>
    </w:p>
    <w:p>
      <w:r>
        <w:br w:type="page"/>
      </w:r>
    </w:p>
    <w:bookmarkEnd w:id="96"/>
    <w:bookmarkStart w:id="97" w:name="lexique"/>
    <w:p>
      <w:pPr>
        <w:pStyle w:val="Titre1"/>
      </w:pPr>
      <w:r>
        <w:t xml:space="preserve">LEXIQUE</w:t>
      </w:r>
    </w:p>
    <w:p>
      <w:pPr>
        <w:pStyle w:val="FirstParagraph"/>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Population en âge de travailler :</w:t>
      </w:r>
      <w:r>
        <w:t xml:space="preserve"> </w:t>
      </w:r>
      <w:r>
        <w:t xml:space="preserve">La population en âge de travailler regroupe l’ensemble des individus du territoire national âgé de 16 ans ou plus.</w:t>
      </w:r>
    </w:p>
    <w:p>
      <w:pPr>
        <w:pStyle w:val="BodyText"/>
      </w:pPr>
      <w:r>
        <w:rPr>
          <w:b/>
          <w:bCs/>
        </w:rPr>
        <w:t xml:space="preserve">Pluriactivité :</w:t>
      </w:r>
      <w:r>
        <w:t xml:space="preserve"> </w:t>
      </w:r>
      <w:r>
        <w:t xml:space="preserve">Personnes déjà en emploi tenant au moins une activité supplémentaire.</w:t>
      </w:r>
    </w:p>
    <w:p>
      <w:pPr>
        <w:pStyle w:val="BodyText"/>
      </w:pPr>
      <w:r>
        <w:rPr>
          <w:b/>
          <w:bCs/>
        </w:rPr>
        <w:t xml:space="preserve">Emploi formel :</w:t>
      </w:r>
      <w:r>
        <w:t xml:space="preserve"> </w:t>
      </w:r>
      <w:r>
        <w:t xml:space="preserve">Emploi bénéficiant d’une reconnaissance légale et une régulation officielle par les institutions du travail.</w:t>
      </w:r>
    </w:p>
    <w:p>
      <w:pPr>
        <w:pStyle w:val="BodyText"/>
      </w:pPr>
      <w:r>
        <w:rPr>
          <w:b/>
          <w:bCs/>
        </w:rPr>
        <w:t xml:space="preserve">Emploi informel :</w:t>
      </w:r>
      <w:r>
        <w:t xml:space="preserve"> </w:t>
      </w:r>
      <w:r>
        <w:t xml:space="preserve">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pPr>
        <w:pStyle w:val="BodyText"/>
      </w:pPr>
      <w:r>
        <w:rPr>
          <w:b/>
          <w:bCs/>
        </w:rPr>
        <w:t xml:space="preserve">Main d’œuvre potentielle :</w:t>
      </w:r>
      <w:r>
        <w:t xml:space="preserve"> </w:t>
      </w:r>
      <w:r>
        <w:t xml:space="preserve">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 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 d’œuvre.</w:t>
      </w:r>
    </w:p>
    <w:p>
      <w:pPr>
        <w:pStyle w:val="BodyText"/>
      </w:pPr>
      <w:r>
        <w:rPr>
          <w:b/>
          <w:bCs/>
        </w:rPr>
        <w:t xml:space="preserve">SU3 :</w:t>
      </w:r>
      <w:r>
        <w:t xml:space="preserve"> </w:t>
      </w:r>
      <w:r>
        <w:t xml:space="preserve">Taux de chômage élargi à la main d’œuvre potentielle (chômeur découragé ; ne faisant pas de recherche d’emploi).</w:t>
      </w:r>
    </w:p>
    <w:p>
      <w:pPr>
        <w:pStyle w:val="BodyText"/>
      </w:pPr>
      <w:r>
        <w:rPr>
          <w:b/>
          <w:bCs/>
        </w:rPr>
        <w:t xml:space="preserve">SU4 :</w:t>
      </w:r>
      <w:r>
        <w:t xml:space="preserve"> </w:t>
      </w:r>
      <w:r>
        <w:t xml:space="preserve">Taux de chômage élargi à la sous-utilisation de la main d’œuvre et à la main d’œuvre potentielle</w:t>
      </w:r>
    </w:p>
    <w:bookmarkEnd w:id="97"/>
    <w:sectPr w:rsidR="008945A6" w:rsidSect="00E93790">
      <w:headerReference r:id="rId11" w:type="default"/>
      <w:footerReference r:id="rId13" w:type="default"/>
      <w:headerReference r:id="rId9" w:type="first"/>
      <w:footerReference r:id="rId15"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1.xml" Type="http://schemas.openxmlformats.org/officeDocument/2006/relationships/footer" /><Relationship Id="rId14" Target="footer3.xml" Type="http://schemas.openxmlformats.org/officeDocument/2006/relationships/footer" /><Relationship Id="rId15" Target="footer2.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2025-08-14T19:36:00Z</dcterms:created>
  <dcterms:modified xsi:type="dcterms:W3CDTF">2025-08-14T19:36:00Z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