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8464B" w14:textId="77777777" w:rsidR="002F3C33" w:rsidRDefault="00000000">
      <w:r>
        <w:br w:type="page"/>
      </w:r>
    </w:p>
    <w:p w14:paraId="11ED749B" w14:textId="77777777" w:rsidR="002F3C33" w:rsidRDefault="00000000">
      <w:pPr>
        <w:pStyle w:val="Titre1"/>
      </w:pPr>
      <w:bookmarkStart w:id="0" w:name="preambule"/>
      <w:r>
        <w:lastRenderedPageBreak/>
        <w:t>PREAMBULE</w:t>
      </w:r>
    </w:p>
    <w:p w14:paraId="5D9F0B1D" w14:textId="77777777" w:rsidR="002F3C33" w:rsidRDefault="00000000">
      <w:r>
        <w:t>Sur les deux dernières décennies, la Côte d’Ivoire a connu une croissance rapide et soutenue de son économie. Cependant, malgré ces avancées considérables dans plusieurs secteurs, des défis subsistent, notamment en matière d’emploi.</w:t>
      </w:r>
    </w:p>
    <w:p w14:paraId="397A4934" w14:textId="77777777" w:rsidR="002F3C33" w:rsidRDefault="00000000">
      <w:r>
        <w:t>Disposer de statistiques à fréquences réduites et alignées aux standards internationaux pour un diagnostic plus complet du marché du travail Ivoirien, figure au nombre de ces défis, en vue d’une meilleure information des politiques publiques axées sur l’emploi.</w:t>
      </w:r>
    </w:p>
    <w:p w14:paraId="2357186C" w14:textId="77777777" w:rsidR="002F3C33" w:rsidRDefault="00000000">
      <w:r>
        <w:t>À cet effet, l’Etat ivoirien, en collaboration avec ses partenaires au développement, a initié une réforme profonde de son dispositif de collecte, d’analyse et de diffusion des données sur l’emploi, portée par son Agence Nationale de la Statistique (ANStat), à travers l’Enquête Nationale sur l’Emploi auprès des Ménages (ENEM).</w:t>
      </w:r>
    </w:p>
    <w:p w14:paraId="5F50BA7A" w14:textId="77777777" w:rsidR="002F3C33" w:rsidRDefault="00000000">
      <w:r>
        <w:t>Ce présent bulletin est consacré à la présentation des principaux indicateurs du marché du travail ivoirien, au cours du premier trimestre de l’année 2025, à partir des données de l’ENE-M.</w:t>
      </w:r>
    </w:p>
    <w:p w14:paraId="370ED2F5" w14:textId="77777777" w:rsidR="002F3C33" w:rsidRDefault="00000000">
      <w:r>
        <w:br w:type="page"/>
      </w:r>
    </w:p>
    <w:p w14:paraId="4EBFC56A" w14:textId="77777777" w:rsidR="002F3C33" w:rsidRDefault="00000000">
      <w:r>
        <w:rPr>
          <w:noProof/>
        </w:rPr>
        <w:lastRenderedPageBreak/>
        <w:drawing>
          <wp:inline distT="0" distB="0" distL="0" distR="0" wp14:anchorId="539B43D9" wp14:editId="4AC04A14">
            <wp:extent cx="5753100" cy="215265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bulletin_T4_T12025_files/figure-docx/unnamed-chunk-5-1.png"/>
                    <pic:cNvPicPr>
                      <a:picLocks noChangeAspect="1" noChangeArrowheads="1"/>
                    </pic:cNvPicPr>
                  </pic:nvPicPr>
                  <pic:blipFill>
                    <a:blip r:embed="rId7"/>
                    <a:stretch>
                      <a:fillRect/>
                    </a:stretch>
                  </pic:blipFill>
                  <pic:spPr bwMode="auto">
                    <a:xfrm>
                      <a:off x="0" y="0"/>
                      <a:ext cx="5753100" cy="2152650"/>
                    </a:xfrm>
                    <a:prstGeom prst="rect">
                      <a:avLst/>
                    </a:prstGeom>
                    <a:noFill/>
                    <a:ln w="9525">
                      <a:noFill/>
                      <a:headEnd/>
                      <a:tailEnd/>
                    </a:ln>
                  </pic:spPr>
                </pic:pic>
              </a:graphicData>
            </a:graphic>
          </wp:inline>
        </w:drawing>
      </w:r>
    </w:p>
    <w:p w14:paraId="2E054721" w14:textId="77777777" w:rsidR="002F3C33" w:rsidRDefault="00000000">
      <w:pPr>
        <w:pStyle w:val="Titre1"/>
      </w:pPr>
      <w:bookmarkStart w:id="1" w:name="participation-au-marche-du-travail"/>
      <w:bookmarkEnd w:id="0"/>
      <w:r>
        <w:t>PARTICIPATION AU MARCHE DU TRAVAIL</w:t>
      </w:r>
    </w:p>
    <w:p w14:paraId="1B868BBE" w14:textId="77777777" w:rsidR="002F3C33" w:rsidRDefault="00000000">
      <w:r>
        <w:t xml:space="preserve">Au premier trimestre de l’année 2025, l’on a </w:t>
      </w:r>
      <w:r>
        <w:rPr>
          <w:b/>
          <w:bCs/>
        </w:rPr>
        <w:t>58,2</w:t>
      </w:r>
      <w:r>
        <w:t xml:space="preserve"> % de la population ivoirienne qui était en âge de travailler, dont </w:t>
      </w:r>
      <w:r>
        <w:rPr>
          <w:b/>
          <w:bCs/>
        </w:rPr>
        <w:t>68,7</w:t>
      </w:r>
      <w:r>
        <w:t xml:space="preserve"> % participant à la main-d’œuvre. Ce taux de participation était plus élevé chez les hommes : </w:t>
      </w:r>
      <w:r>
        <w:rPr>
          <w:b/>
          <w:bCs/>
        </w:rPr>
        <w:t>78,3</w:t>
      </w:r>
      <w:r>
        <w:t xml:space="preserve"> % contre </w:t>
      </w:r>
      <w:r>
        <w:rPr>
          <w:b/>
          <w:bCs/>
        </w:rPr>
        <w:t>59,2</w:t>
      </w:r>
      <w:r>
        <w:t xml:space="preserve"> % </w:t>
      </w:r>
      <w:r>
        <w:rPr>
          <w:b/>
          <w:bCs/>
        </w:rPr>
        <w:t>(Figure 1)</w:t>
      </w:r>
      <w:r>
        <w:t xml:space="preserve">. Par ailleurs, le taux de participation à la main-d’œuvre était plus élevé en milieu rural qu’à Abidjan et dans les autres zones urbaines. Il était de </w:t>
      </w:r>
      <w:r>
        <w:rPr>
          <w:b/>
          <w:bCs/>
        </w:rPr>
        <w:t>66,9</w:t>
      </w:r>
      <w:r>
        <w:t xml:space="preserve"> % à Abidjan, </w:t>
      </w:r>
      <w:r>
        <w:rPr>
          <w:b/>
          <w:bCs/>
        </w:rPr>
        <w:t>67,4</w:t>
      </w:r>
      <w:r>
        <w:t xml:space="preserve"> % dans les autres zones urbaines et </w:t>
      </w:r>
      <w:r>
        <w:rPr>
          <w:b/>
          <w:bCs/>
        </w:rPr>
        <w:t>70,4</w:t>
      </w:r>
      <w:r>
        <w:t xml:space="preserve"> % en milieu rural </w:t>
      </w:r>
      <w:r>
        <w:rPr>
          <w:b/>
          <w:bCs/>
        </w:rPr>
        <w:t>(Figure 2)</w:t>
      </w:r>
      <w:r>
        <w:t>.</w:t>
      </w:r>
    </w:p>
    <w:p w14:paraId="13ABA7D5" w14:textId="77777777" w:rsidR="002F3C33" w:rsidRDefault="00000000">
      <w:r>
        <w:t>Par rapport au quatrième trimestre 2024, le taux de participation à la main-d’œuvre a enregistré une baisse, aussi bien chez les hommes que chez les femmes. Par ailleurs, le taux de participation est également en baisse, quel que soit le milieu de résidence.</w:t>
      </w:r>
    </w:p>
    <w:p w14:paraId="3B524582" w14:textId="77777777" w:rsidR="002F3C33" w:rsidRDefault="00000000">
      <w:r>
        <w:rPr>
          <w:b/>
          <w:bCs/>
        </w:rPr>
        <w:t>Figure 1 :</w:t>
      </w:r>
      <w:r>
        <w:t xml:space="preserve"> Participation à la main-d’œuvre suivant le sexe</w:t>
      </w:r>
    </w:p>
    <w:p w14:paraId="5E416FBB" w14:textId="77777777" w:rsidR="002F3C33" w:rsidRDefault="00000000">
      <w:r>
        <w:rPr>
          <w:noProof/>
        </w:rPr>
        <w:drawing>
          <wp:inline distT="0" distB="0" distL="0" distR="0" wp14:anchorId="79A97101" wp14:editId="74613C08">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bulletin_T4_T12025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F683B2B" w14:textId="77777777" w:rsidR="002F3C33" w:rsidRDefault="00000000">
      <w:r>
        <w:rPr>
          <w:b/>
          <w:bCs/>
        </w:rPr>
        <w:lastRenderedPageBreak/>
        <w:t>Figure 2 :</w:t>
      </w:r>
      <w:r>
        <w:t xml:space="preserve"> Participation à la main-d’œuvre suivant le milieu de residence</w:t>
      </w:r>
    </w:p>
    <w:p w14:paraId="2CB2991E" w14:textId="77777777" w:rsidR="002F3C33" w:rsidRDefault="00000000">
      <w:r>
        <w:rPr>
          <w:noProof/>
        </w:rPr>
        <w:drawing>
          <wp:inline distT="0" distB="0" distL="0" distR="0" wp14:anchorId="5148E4BC" wp14:editId="747BD47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bulletin_T4_T12025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AA8EC16" w14:textId="77777777" w:rsidR="002F3C33" w:rsidRDefault="00000000">
      <w:pPr>
        <w:pStyle w:val="Titre1"/>
      </w:pPr>
      <w:bookmarkStart w:id="2" w:name="emploi"/>
      <w:bookmarkEnd w:id="1"/>
      <w:r>
        <w:t>EMPLOI</w:t>
      </w:r>
    </w:p>
    <w:p w14:paraId="1D76002E" w14:textId="77777777" w:rsidR="002F3C33" w:rsidRDefault="00000000">
      <w:r>
        <w:t xml:space="preserve">Au cours du premier trimestre 2025, </w:t>
      </w:r>
      <w:r>
        <w:rPr>
          <w:b/>
          <w:bCs/>
        </w:rPr>
        <w:t>96,3</w:t>
      </w:r>
      <w:r>
        <w:t xml:space="preserve"> % de la main-d’œuvre occupait un emploi. Chez les femmes, cette proportion était de </w:t>
      </w:r>
      <w:r>
        <w:rPr>
          <w:b/>
          <w:bCs/>
        </w:rPr>
        <w:t>95,4</w:t>
      </w:r>
      <w:r>
        <w:t xml:space="preserve"> %, tandis qu’elle atteignait </w:t>
      </w:r>
      <w:r>
        <w:rPr>
          <w:b/>
          <w:bCs/>
        </w:rPr>
        <w:t>97</w:t>
      </w:r>
      <w:r>
        <w:t xml:space="preserve"> % chez les hommes </w:t>
      </w:r>
      <w:r>
        <w:rPr>
          <w:b/>
          <w:bCs/>
        </w:rPr>
        <w:t>(Figure 3)</w:t>
      </w:r>
      <w:r>
        <w:t xml:space="preserve">. Par rapport au dernier trimestre de l’année 2024, l’on note une hausse légère de la proportion de femme occupant un emploi. De plus, la part des personnes en emploi augmentait avec l’âge </w:t>
      </w:r>
      <w:r>
        <w:rPr>
          <w:b/>
          <w:bCs/>
        </w:rPr>
        <w:t>(Figure 4)</w:t>
      </w:r>
      <w:r>
        <w:t>, avec des propotions similaires à celles du trimestre précédent.</w:t>
      </w:r>
    </w:p>
    <w:p w14:paraId="52F1A5AC" w14:textId="77777777" w:rsidR="002F3C33" w:rsidRDefault="00000000">
      <w:r>
        <w:rPr>
          <w:b/>
          <w:bCs/>
        </w:rPr>
        <w:t>Figure 3 :</w:t>
      </w:r>
      <w:r>
        <w:t xml:space="preserve"> Population en emploi dans la main-d’œuvre selon le sexe</w:t>
      </w:r>
    </w:p>
    <w:p w14:paraId="1B6DA3D5" w14:textId="77777777" w:rsidR="002F3C33" w:rsidRDefault="00000000" w:rsidP="00A745F2">
      <w:pPr>
        <w:jc w:val="center"/>
      </w:pPr>
      <w:r>
        <w:rPr>
          <w:noProof/>
        </w:rPr>
        <w:lastRenderedPageBreak/>
        <w:drawing>
          <wp:inline distT="0" distB="0" distL="0" distR="0" wp14:anchorId="4D91CC37" wp14:editId="0977AFDB">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bulletin_T4_T12025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832EEE1" w14:textId="77777777" w:rsidR="002F3C33" w:rsidRDefault="00000000">
      <w:r>
        <w:rPr>
          <w:b/>
          <w:bCs/>
        </w:rPr>
        <w:t>Figure 4 :</w:t>
      </w:r>
      <w:r>
        <w:t xml:space="preserve"> Population en emploi dans la main-d’œuvre par groupe d’âge</w:t>
      </w:r>
    </w:p>
    <w:p w14:paraId="35031909" w14:textId="77777777" w:rsidR="002F3C33" w:rsidRDefault="00000000">
      <w:r>
        <w:rPr>
          <w:noProof/>
        </w:rPr>
        <w:drawing>
          <wp:inline distT="0" distB="0" distL="0" distR="0" wp14:anchorId="533AC69D" wp14:editId="10E25E2A">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bulletin_T4_T12025_files/figure-docx/unnamed-chunk-1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2E44C4E" w14:textId="77777777" w:rsidR="002F3C33" w:rsidRDefault="00000000">
      <w:r>
        <w:t xml:space="preserve">Par ailleurs, la </w:t>
      </w:r>
      <w:r>
        <w:rPr>
          <w:b/>
          <w:bCs/>
        </w:rPr>
        <w:t>Figure 5</w:t>
      </w:r>
      <w:r>
        <w:t xml:space="preserve"> illustre la répartition de la population en emploi selon le milieu de résidence. On observait une proportion plus élevée de personnes en emploi en milieu rural qu’en milieu urbain, avec respectivement </w:t>
      </w:r>
      <w:r>
        <w:rPr>
          <w:b/>
          <w:bCs/>
        </w:rPr>
        <w:t>97,7</w:t>
      </w:r>
      <w:r>
        <w:t xml:space="preserve"> %, </w:t>
      </w:r>
      <w:r>
        <w:rPr>
          <w:b/>
          <w:bCs/>
        </w:rPr>
        <w:t>96</w:t>
      </w:r>
      <w:r>
        <w:t xml:space="preserve"> % et </w:t>
      </w:r>
      <w:r>
        <w:rPr>
          <w:b/>
          <w:bCs/>
        </w:rPr>
        <w:t>93,6</w:t>
      </w:r>
      <w:r>
        <w:t xml:space="preserve"> % en milieu rural, dans les autres zones urbaines et à Abidjan sur ce premier trimestre de l’année.</w:t>
      </w:r>
    </w:p>
    <w:p w14:paraId="1B50249B" w14:textId="77777777" w:rsidR="002F3C33" w:rsidRDefault="00000000">
      <w:r>
        <w:lastRenderedPageBreak/>
        <w:t>Les tendances observées diffèrent peu de celles relevées au quatrième trimestre de l’année dernière, le milieu rural concentrant la plus forte proportion de personnes en emploi sur les deux périodes.</w:t>
      </w:r>
    </w:p>
    <w:p w14:paraId="6C9900BC" w14:textId="77777777" w:rsidR="002F3C33" w:rsidRDefault="00000000">
      <w:r>
        <w:rPr>
          <w:b/>
          <w:bCs/>
        </w:rPr>
        <w:t>Figure 5 :</w:t>
      </w:r>
      <w:r>
        <w:t xml:space="preserve"> Population en emploi dans la main-d’œuvre selon le milieu de residence</w:t>
      </w:r>
    </w:p>
    <w:p w14:paraId="44BE0F81" w14:textId="77777777" w:rsidR="002F3C33" w:rsidRDefault="00000000">
      <w:r>
        <w:rPr>
          <w:noProof/>
        </w:rPr>
        <w:drawing>
          <wp:inline distT="0" distB="0" distL="0" distR="0" wp14:anchorId="57431EAA" wp14:editId="44FC3C72">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bulletin_T4_T12025_files/figure-docx/unnamed-chunk-1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A658E38" w14:textId="77777777" w:rsidR="002F3C33" w:rsidRDefault="00000000">
      <w:pPr>
        <w:pStyle w:val="Titre2"/>
      </w:pPr>
      <w:bookmarkStart w:id="3" w:name="statut-de-lemploi"/>
      <w:r>
        <w:t>Statut de l’emploi</w:t>
      </w:r>
    </w:p>
    <w:p w14:paraId="350DE9B0" w14:textId="77777777" w:rsidR="002F3C33" w:rsidRDefault="00000000">
      <w:r>
        <w:t xml:space="preserve">Parmi les personnes en emploi au premier trimestre 2025, on observait une proportion plus importante de travailleurs indépendants que de travailleurs dépendants, soit </w:t>
      </w:r>
      <w:r>
        <w:rPr>
          <w:b/>
          <w:bCs/>
        </w:rPr>
        <w:t>65</w:t>
      </w:r>
      <w:r>
        <w:t xml:space="preserve"> % de travailleurs indépendants contre </w:t>
      </w:r>
      <w:r>
        <w:rPr>
          <w:b/>
          <w:bCs/>
        </w:rPr>
        <w:t>34,8</w:t>
      </w:r>
      <w:r>
        <w:t xml:space="preserve"> % de travailleurs dépendants </w:t>
      </w:r>
      <w:r>
        <w:rPr>
          <w:b/>
          <w:bCs/>
        </w:rPr>
        <w:t>(Figure 6)</w:t>
      </w:r>
      <w:r>
        <w:t xml:space="preserve">. La majorité des travailleurs indépendants n’employaient pas et résidaient principalement en milieu rural, tandis que les employés se concentraient davantage en milieu urbain </w:t>
      </w:r>
      <w:r>
        <w:rPr>
          <w:b/>
          <w:bCs/>
        </w:rPr>
        <w:t>(Figure 7)</w:t>
      </w:r>
      <w:r>
        <w:t>. Globalement, entre le quatrième trimestre 2024 et le premier trimestre 2025, la structure de l’emploi par statut connaît une hausse de l’emploi dépendant, même si l’emploi indépendant demeure prépondérant sur le marché du travail ivoirien.</w:t>
      </w:r>
    </w:p>
    <w:p w14:paraId="71CADBA0" w14:textId="77777777" w:rsidR="002F3C33" w:rsidRDefault="00000000">
      <w:r>
        <w:rPr>
          <w:b/>
          <w:bCs/>
        </w:rPr>
        <w:t>Figure 6 :</w:t>
      </w:r>
      <w:r>
        <w:t xml:space="preserve"> Population en emploi dans la main-d’œuvre par statut</w:t>
      </w:r>
    </w:p>
    <w:p w14:paraId="0E588F66" w14:textId="77777777" w:rsidR="002F3C33" w:rsidRDefault="00000000">
      <w:r>
        <w:rPr>
          <w:noProof/>
        </w:rPr>
        <w:lastRenderedPageBreak/>
        <w:drawing>
          <wp:inline distT="0" distB="0" distL="0" distR="0" wp14:anchorId="1BA7AF58" wp14:editId="0AFE72DA">
            <wp:extent cx="5544151"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bulletin_T4_T12025_files/figure-docx/unnamed-chunk-19-1.png"/>
                    <pic:cNvPicPr>
                      <a:picLocks noChangeAspect="1" noChangeArrowheads="1"/>
                    </pic:cNvPicPr>
                  </pic:nvPicPr>
                  <pic:blipFill>
                    <a:blip r:embed="rId13"/>
                    <a:stretch>
                      <a:fillRect/>
                    </a:stretch>
                  </pic:blipFill>
                  <pic:spPr bwMode="auto">
                    <a:xfrm>
                      <a:off x="0" y="0"/>
                      <a:ext cx="5544151" cy="3696101"/>
                    </a:xfrm>
                    <a:prstGeom prst="rect">
                      <a:avLst/>
                    </a:prstGeom>
                    <a:noFill/>
                    <a:ln w="9525">
                      <a:noFill/>
                      <a:headEnd/>
                      <a:tailEnd/>
                    </a:ln>
                  </pic:spPr>
                </pic:pic>
              </a:graphicData>
            </a:graphic>
          </wp:inline>
        </w:drawing>
      </w:r>
    </w:p>
    <w:p w14:paraId="768202B6" w14:textId="77777777" w:rsidR="002F3C33" w:rsidRDefault="00000000">
      <w:r>
        <w:rPr>
          <w:b/>
          <w:bCs/>
        </w:rPr>
        <w:t>Figure 7 :</w:t>
      </w:r>
      <w:r>
        <w:t xml:space="preserve"> Population en emploi par statut et milieu de residence</w:t>
      </w:r>
    </w:p>
    <w:p w14:paraId="74AEE4F8" w14:textId="77777777" w:rsidR="002F3C33" w:rsidRDefault="00000000">
      <w:r>
        <w:rPr>
          <w:noProof/>
        </w:rPr>
        <w:drawing>
          <wp:inline distT="0" distB="0" distL="0" distR="0" wp14:anchorId="5E88CB4B" wp14:editId="40EBDBA1">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bulletin_T4_T12025_files/figure-docx/unnamed-chunk-2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492EAD0" w14:textId="77777777" w:rsidR="002F3C33" w:rsidRDefault="00000000">
      <w:pPr>
        <w:pStyle w:val="Titre2"/>
      </w:pPr>
      <w:bookmarkStart w:id="4" w:name="branches-dactivités"/>
      <w:bookmarkEnd w:id="3"/>
      <w:r>
        <w:t>Branches d’activités</w:t>
      </w:r>
    </w:p>
    <w:p w14:paraId="43471CFB" w14:textId="77777777" w:rsidR="002F3C33" w:rsidRDefault="00000000">
      <w:r>
        <w:t xml:space="preserve">Au premier trimestre 2025, le secteur agricole demeurait le principal pourvoyeur d’emplois, avec néanmoins une baisse prononcée par rapport au trimestre précédent. sur la même période, le secteur des services est le deuxième pourvoyeur d’emploi, </w:t>
      </w:r>
      <w:r>
        <w:lastRenderedPageBreak/>
        <w:t xml:space="preserve">avec une légère hausse des activités. L’emploi industriel, en augmentation par rapport au trimestre précédent restait le secteur comptant la plus faible proportion de personnes en emploi </w:t>
      </w:r>
      <w:r>
        <w:rPr>
          <w:b/>
          <w:bCs/>
        </w:rPr>
        <w:t>(Figure 8)</w:t>
      </w:r>
      <w:r>
        <w:t>.</w:t>
      </w:r>
    </w:p>
    <w:p w14:paraId="1A2FA6EC" w14:textId="77777777" w:rsidR="002F3C33" w:rsidRDefault="00000000">
      <w:r>
        <w:t xml:space="preserve">Globalement, en comparaison au quatrième trimestre 2024, l’on note une certaine stabilité de la répartition sectorielle des emplois sur le marché de travail ivoirien, avec l’agriculture qui concentre autour de </w:t>
      </w:r>
      <w:r>
        <w:rPr>
          <w:b/>
          <w:bCs/>
        </w:rPr>
        <w:t>40</w:t>
      </w:r>
      <w:r>
        <w:t xml:space="preserve"> % des emplois.</w:t>
      </w:r>
    </w:p>
    <w:p w14:paraId="31236821" w14:textId="77777777" w:rsidR="002F3C33" w:rsidRDefault="00000000">
      <w:r>
        <w:rPr>
          <w:b/>
          <w:bCs/>
        </w:rPr>
        <w:t>Figure 8:</w:t>
      </w:r>
      <w:r>
        <w:t xml:space="preserve"> Population en emploi par branche d’activité</w:t>
      </w:r>
    </w:p>
    <w:p w14:paraId="365E7CE6" w14:textId="77777777" w:rsidR="002F3C33" w:rsidRDefault="00000000">
      <w:r>
        <w:rPr>
          <w:noProof/>
        </w:rPr>
        <w:drawing>
          <wp:inline distT="0" distB="0" distL="0" distR="0" wp14:anchorId="33559218" wp14:editId="74D27E0E">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bulletin_T4_T12025_files/figure-docx/unnamed-chunk-2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1EA6542" w14:textId="77777777" w:rsidR="002F3C33" w:rsidRDefault="00000000">
      <w:r>
        <w:t xml:space="preserve">Selon le milieu de résidence </w:t>
      </w:r>
      <w:r>
        <w:rPr>
          <w:b/>
          <w:bCs/>
        </w:rPr>
        <w:t>(Figure 9)</w:t>
      </w:r>
      <w:r>
        <w:t>, l’emploi était fortement concentré dans l’agriculture en milieu rural (</w:t>
      </w:r>
      <w:r>
        <w:rPr>
          <w:b/>
          <w:bCs/>
        </w:rPr>
        <w:t>66,8</w:t>
      </w:r>
      <w:r>
        <w:t xml:space="preserve"> %). En milieu urbain cependant, la structure de l’emploi était beaucoup plus diversifiée : les services et le commerce dominent, tandis que l’agriculture y occupe une place marginale : </w:t>
      </w:r>
      <w:r>
        <w:rPr>
          <w:b/>
          <w:bCs/>
        </w:rPr>
        <w:t>3,4</w:t>
      </w:r>
      <w:r>
        <w:t xml:space="preserve"> % à Abidjan et </w:t>
      </w:r>
      <w:r>
        <w:rPr>
          <w:b/>
          <w:bCs/>
        </w:rPr>
        <w:t>22,9</w:t>
      </w:r>
      <w:r>
        <w:t xml:space="preserve"> % dans les autres zones urbaines.</w:t>
      </w:r>
    </w:p>
    <w:p w14:paraId="783B8FC8" w14:textId="77777777" w:rsidR="002F3C33" w:rsidRDefault="00000000">
      <w:r>
        <w:t>Au quatrième trimestre 2024, des tendances similaires ont été observées avec cependant une hausse notable des activités liées aux services et à l’industrie en milieux urbains. De façon générale, il en ressort une consolidation du poids de l’agriculture en milieu rural, et de celui des services et du commerce en zones urbaines.</w:t>
      </w:r>
    </w:p>
    <w:p w14:paraId="2007E0B2" w14:textId="77777777" w:rsidR="002F3C33" w:rsidRDefault="00000000">
      <w:r>
        <w:rPr>
          <w:b/>
          <w:bCs/>
        </w:rPr>
        <w:t>Figure 9 :</w:t>
      </w:r>
      <w:r>
        <w:t xml:space="preserve"> Population en emploi par branche d’activité et suivant le milieu de residence</w:t>
      </w:r>
    </w:p>
    <w:p w14:paraId="6943DC03" w14:textId="77777777" w:rsidR="002F3C33" w:rsidRDefault="00000000">
      <w:r>
        <w:rPr>
          <w:noProof/>
        </w:rPr>
        <w:lastRenderedPageBreak/>
        <w:drawing>
          <wp:inline distT="0" distB="0" distL="0" distR="0" wp14:anchorId="4A3AC909" wp14:editId="4C3F321D">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bulletin_T4_T12025_files/figure-docx/unnamed-chunk-2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B5C46A3" w14:textId="77777777" w:rsidR="002F3C33" w:rsidRDefault="00000000">
      <w:pPr>
        <w:pStyle w:val="Titre2"/>
      </w:pPr>
      <w:bookmarkStart w:id="5" w:name="pluriactivité"/>
      <w:bookmarkEnd w:id="4"/>
      <w:r>
        <w:t>Pluriactivité</w:t>
      </w:r>
    </w:p>
    <w:p w14:paraId="4E0EDC77" w14:textId="77777777" w:rsidR="002F3C33" w:rsidRDefault="00000000">
      <w:r>
        <w:t xml:space="preserve">Parmi les personnes en emploi au premier trimestre 2025, </w:t>
      </w:r>
      <w:r>
        <w:rPr>
          <w:b/>
          <w:bCs/>
        </w:rPr>
        <w:t>15,9</w:t>
      </w:r>
      <w:r>
        <w:t xml:space="preserve"> % exerçaient au moins un emploi supplémentaire en plus de leur emploi principal. Les hommes étaient plus souvent concernés par la pluriactivité que les femmes, avec </w:t>
      </w:r>
      <w:r>
        <w:rPr>
          <w:b/>
          <w:bCs/>
        </w:rPr>
        <w:t>19</w:t>
      </w:r>
      <w:r>
        <w:t xml:space="preserve"> % des hommes en emploi et </w:t>
      </w:r>
      <w:r>
        <w:rPr>
          <w:b/>
          <w:bCs/>
        </w:rPr>
        <w:t>11,8</w:t>
      </w:r>
      <w:r>
        <w:t xml:space="preserve"> % des femmes en emploi </w:t>
      </w:r>
      <w:r>
        <w:rPr>
          <w:b/>
          <w:bCs/>
        </w:rPr>
        <w:t>(Figure 10)</w:t>
      </w:r>
      <w:r>
        <w:t>.</w:t>
      </w:r>
    </w:p>
    <w:p w14:paraId="2B2CA7CF" w14:textId="77777777" w:rsidR="002F3C33" w:rsidRDefault="00000000">
      <w:r>
        <w:t>Chez les hommes, la pluriactivité a légèrement régressé par rapport au trimestre précédent , tandis que chez les femmes, ce taux était en progression. Par ailleurs, l’écart hommes-femmes de la prévalence de la pluriactivité demeure tout de même important sur la période, confirmant une plus forte diversification des sources de revenus chez les hommes.</w:t>
      </w:r>
    </w:p>
    <w:p w14:paraId="6B2E7D39" w14:textId="77777777" w:rsidR="002F3C33" w:rsidRDefault="00000000">
      <w:r>
        <w:rPr>
          <w:b/>
          <w:bCs/>
        </w:rPr>
        <w:t>Figure 10 :</w:t>
      </w:r>
      <w:r>
        <w:t xml:space="preserve"> Pluriactivité par sexe</w:t>
      </w:r>
    </w:p>
    <w:p w14:paraId="7186E96B" w14:textId="77777777" w:rsidR="002F3C33" w:rsidRDefault="00000000">
      <w:r>
        <w:rPr>
          <w:noProof/>
        </w:rPr>
        <w:lastRenderedPageBreak/>
        <w:drawing>
          <wp:inline distT="0" distB="0" distL="0" distR="0" wp14:anchorId="2F726631" wp14:editId="52C72F9B">
            <wp:extent cx="3696101"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bulletin_T4_T12025_files/figure-docx/unnamed-chunk-27-1.png"/>
                    <pic:cNvPicPr>
                      <a:picLocks noChangeAspect="1" noChangeArrowheads="1"/>
                    </pic:cNvPicPr>
                  </pic:nvPicPr>
                  <pic:blipFill>
                    <a:blip r:embed="rId17"/>
                    <a:stretch>
                      <a:fillRect/>
                    </a:stretch>
                  </pic:blipFill>
                  <pic:spPr bwMode="auto">
                    <a:xfrm>
                      <a:off x="0" y="0"/>
                      <a:ext cx="3696101" cy="3696101"/>
                    </a:xfrm>
                    <a:prstGeom prst="rect">
                      <a:avLst/>
                    </a:prstGeom>
                    <a:noFill/>
                    <a:ln w="9525">
                      <a:noFill/>
                      <a:headEnd/>
                      <a:tailEnd/>
                    </a:ln>
                  </pic:spPr>
                </pic:pic>
              </a:graphicData>
            </a:graphic>
          </wp:inline>
        </w:drawing>
      </w:r>
    </w:p>
    <w:p w14:paraId="5FB5957F" w14:textId="77777777" w:rsidR="002F3C33" w:rsidRDefault="00000000">
      <w:r>
        <w:t xml:space="preserve">Par ailleurs, la pluriactivité était plus fréquente chez les personnes en emploi vivant en milieu rural que chez celles résidant en milieu urbain. En outre, par rapport au trimestre précédent, le taux de pluriactivité a presque doublé à Abidjan, alors qu’il a baissé dans les autres milieux urbains. En milieu rural la proportion de pluriactifs est restée quasi-stable, autour de </w:t>
      </w:r>
      <w:r>
        <w:rPr>
          <w:b/>
          <w:bCs/>
        </w:rPr>
        <w:t>21</w:t>
      </w:r>
      <w:r>
        <w:t xml:space="preserve"> % </w:t>
      </w:r>
      <w:r>
        <w:rPr>
          <w:b/>
          <w:bCs/>
        </w:rPr>
        <w:t>(Figure 11)</w:t>
      </w:r>
      <w:r>
        <w:t>.</w:t>
      </w:r>
    </w:p>
    <w:p w14:paraId="54350B11" w14:textId="77777777" w:rsidR="002F3C33" w:rsidRDefault="00000000">
      <w:r>
        <w:rPr>
          <w:b/>
          <w:bCs/>
        </w:rPr>
        <w:t>Figure 11 :</w:t>
      </w:r>
      <w:r>
        <w:t xml:space="preserve"> Pluriactivité suivant le milieu de residence</w:t>
      </w:r>
    </w:p>
    <w:p w14:paraId="11F67487" w14:textId="77777777" w:rsidR="002F3C33" w:rsidRDefault="00000000">
      <w:r>
        <w:rPr>
          <w:noProof/>
        </w:rPr>
        <w:lastRenderedPageBreak/>
        <w:drawing>
          <wp:inline distT="0" distB="0" distL="0" distR="0" wp14:anchorId="3E7A23ED" wp14:editId="6EC11409">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bulletin_T4_T12025_files/figure-docx/unnamed-chunk-3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6E1215B" w14:textId="77777777" w:rsidR="002F3C33" w:rsidRDefault="00000000">
      <w:pPr>
        <w:pStyle w:val="Titre1"/>
      </w:pPr>
      <w:bookmarkStart w:id="6" w:name="informalite"/>
      <w:bookmarkEnd w:id="2"/>
      <w:bookmarkEnd w:id="5"/>
      <w:r>
        <w:t>INFORMALITE</w:t>
      </w:r>
    </w:p>
    <w:p w14:paraId="75C97061" w14:textId="77777777" w:rsidR="002F3C33" w:rsidRDefault="00000000">
      <w:r>
        <w:t xml:space="preserve">Au premier trimestre 2025, l’emploi informel est en baisse par rapport au trimestre précédent avec </w:t>
      </w:r>
      <w:r>
        <w:rPr>
          <w:b/>
          <w:bCs/>
        </w:rPr>
        <w:t>80,8</w:t>
      </w:r>
      <w:r>
        <w:t xml:space="preserve"> % des emplois. Les emplois informels étaient plus fréquents chez les femmes, avec </w:t>
      </w:r>
      <w:r>
        <w:rPr>
          <w:b/>
          <w:bCs/>
        </w:rPr>
        <w:t>75,4</w:t>
      </w:r>
      <w:r>
        <w:t xml:space="preserve"> % chez les hommes contre </w:t>
      </w:r>
      <w:r>
        <w:rPr>
          <w:b/>
          <w:bCs/>
        </w:rPr>
        <w:t>88</w:t>
      </w:r>
      <w:r>
        <w:t xml:space="preserve"> % chez les femmes. Par ailleurs, en comparaison au dernier trimestre de l’année 2024, le taux d’emplois informels a diminué aussi bien chez les hommes comme chez les femmes </w:t>
      </w:r>
      <w:r>
        <w:rPr>
          <w:b/>
          <w:bCs/>
        </w:rPr>
        <w:t>(Figure 12)</w:t>
      </w:r>
      <w:r>
        <w:t>.</w:t>
      </w:r>
    </w:p>
    <w:p w14:paraId="4BE92EA7" w14:textId="77777777" w:rsidR="002F3C33" w:rsidRDefault="00000000">
      <w:r>
        <w:rPr>
          <w:b/>
          <w:bCs/>
        </w:rPr>
        <w:t>Figure 12 :</w:t>
      </w:r>
      <w:r>
        <w:t xml:space="preserve"> Informalité de l’emploi suivant le sexe</w:t>
      </w:r>
    </w:p>
    <w:p w14:paraId="4BAF886C" w14:textId="77777777" w:rsidR="002F3C33" w:rsidRDefault="00000000">
      <w:r>
        <w:rPr>
          <w:noProof/>
        </w:rPr>
        <w:lastRenderedPageBreak/>
        <w:drawing>
          <wp:inline distT="0" distB="0" distL="0" distR="0" wp14:anchorId="002A8E6A" wp14:editId="7BA636C5">
            <wp:extent cx="3696101"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bulletin_T4_T12025_files/figure-docx/unnamed-chunk-33-1.png"/>
                    <pic:cNvPicPr>
                      <a:picLocks noChangeAspect="1" noChangeArrowheads="1"/>
                    </pic:cNvPicPr>
                  </pic:nvPicPr>
                  <pic:blipFill>
                    <a:blip r:embed="rId19"/>
                    <a:stretch>
                      <a:fillRect/>
                    </a:stretch>
                  </pic:blipFill>
                  <pic:spPr bwMode="auto">
                    <a:xfrm>
                      <a:off x="0" y="0"/>
                      <a:ext cx="3696101" cy="3696101"/>
                    </a:xfrm>
                    <a:prstGeom prst="rect">
                      <a:avLst/>
                    </a:prstGeom>
                    <a:noFill/>
                    <a:ln w="9525">
                      <a:noFill/>
                      <a:headEnd/>
                      <a:tailEnd/>
                    </a:ln>
                  </pic:spPr>
                </pic:pic>
              </a:graphicData>
            </a:graphic>
          </wp:inline>
        </w:drawing>
      </w:r>
    </w:p>
    <w:p w14:paraId="28116337" w14:textId="77777777" w:rsidR="002F3C33" w:rsidRDefault="00000000">
      <w:r>
        <w:t xml:space="preserve">Au cours du premier trimestre 2025, le milieu rural était la zone géographique présentant la plus forte proportion d’emplois informels. En effet, </w:t>
      </w:r>
      <w:r>
        <w:rPr>
          <w:b/>
          <w:bCs/>
        </w:rPr>
        <w:t>90,8</w:t>
      </w:r>
      <w:r>
        <w:t xml:space="preserve"> % des emplois en milieu rural relevaient de l’informel, contre </w:t>
      </w:r>
      <w:r>
        <w:rPr>
          <w:b/>
          <w:bCs/>
        </w:rPr>
        <w:t>61,4</w:t>
      </w:r>
      <w:r>
        <w:t xml:space="preserve"> % à Abidjan et </w:t>
      </w:r>
      <w:r>
        <w:rPr>
          <w:b/>
          <w:bCs/>
        </w:rPr>
        <w:t>77,6</w:t>
      </w:r>
      <w:r>
        <w:t xml:space="preserve"> % dans les autres zones urbaines. Par rapport au quatrième trimestre 2024, l’informalité de l’emploi selon le milieu de résidence a conservé la même structure, avec toutefois une baisse généralisée et un écart toujours aussi prononcé entre milieu urbain et milieu rural </w:t>
      </w:r>
      <w:r>
        <w:rPr>
          <w:b/>
          <w:bCs/>
        </w:rPr>
        <w:t>(Figure 13)</w:t>
      </w:r>
      <w:r>
        <w:t>.</w:t>
      </w:r>
    </w:p>
    <w:p w14:paraId="3E17EF80" w14:textId="77777777" w:rsidR="002F3C33" w:rsidRDefault="00000000">
      <w:r>
        <w:rPr>
          <w:b/>
          <w:bCs/>
        </w:rPr>
        <w:t>Figure 13 :</w:t>
      </w:r>
      <w:r>
        <w:t xml:space="preserve"> Informalité de l’emploi suivant le milieu de résidence</w:t>
      </w:r>
    </w:p>
    <w:p w14:paraId="374BD605" w14:textId="77777777" w:rsidR="002F3C33" w:rsidRDefault="00000000">
      <w:r>
        <w:rPr>
          <w:noProof/>
        </w:rPr>
        <w:drawing>
          <wp:inline distT="0" distB="0" distL="0" distR="0" wp14:anchorId="32902199" wp14:editId="3CE9115C">
            <wp:extent cx="4619625" cy="3086100"/>
            <wp:effectExtent l="0" t="0" r="9525"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bulletin_T4_T12025_files/figure-docx/unnamed-chunk-36-1.png"/>
                    <pic:cNvPicPr>
                      <a:picLocks noChangeAspect="1" noChangeArrowheads="1"/>
                    </pic:cNvPicPr>
                  </pic:nvPicPr>
                  <pic:blipFill>
                    <a:blip r:embed="rId20"/>
                    <a:stretch>
                      <a:fillRect/>
                    </a:stretch>
                  </pic:blipFill>
                  <pic:spPr bwMode="auto">
                    <a:xfrm>
                      <a:off x="0" y="0"/>
                      <a:ext cx="4620128" cy="3086436"/>
                    </a:xfrm>
                    <a:prstGeom prst="rect">
                      <a:avLst/>
                    </a:prstGeom>
                    <a:noFill/>
                    <a:ln w="9525">
                      <a:noFill/>
                      <a:headEnd/>
                      <a:tailEnd/>
                    </a:ln>
                  </pic:spPr>
                </pic:pic>
              </a:graphicData>
            </a:graphic>
          </wp:inline>
        </w:drawing>
      </w:r>
    </w:p>
    <w:p w14:paraId="735E5375" w14:textId="77777777" w:rsidR="002F3C33" w:rsidRDefault="00000000">
      <w:r>
        <w:lastRenderedPageBreak/>
        <w:t xml:space="preserve">Par ailleurs, les personnes moins instruites étaient plus enclines à occuper des emplois informels </w:t>
      </w:r>
      <w:r>
        <w:rPr>
          <w:b/>
          <w:bCs/>
        </w:rPr>
        <w:t>(Figure 14)</w:t>
      </w:r>
      <w:r>
        <w:t>, une tendance observable sur les deux trimestres considérés, tout en notifiant une baisse généralisée du taux d’emplois informels pour tous les niveaux d’instruction.</w:t>
      </w:r>
    </w:p>
    <w:p w14:paraId="04B4A0F3" w14:textId="77777777" w:rsidR="002F3C33" w:rsidRDefault="00000000">
      <w:r>
        <w:rPr>
          <w:b/>
          <w:bCs/>
        </w:rPr>
        <w:t>Figure 14 :</w:t>
      </w:r>
      <w:r>
        <w:t xml:space="preserve"> Informalité de l’emploi suivant le niveau d’instruction</w:t>
      </w:r>
    </w:p>
    <w:p w14:paraId="208F3E0E" w14:textId="77777777" w:rsidR="002F3C33" w:rsidRDefault="00000000">
      <w:r>
        <w:rPr>
          <w:noProof/>
        </w:rPr>
        <w:drawing>
          <wp:inline distT="0" distB="0" distL="0" distR="0" wp14:anchorId="0091FBE5" wp14:editId="7B792B92">
            <wp:extent cx="5753100" cy="2030505"/>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bulletin_T4_T12025_files/figure-docx/unnamed-chunk-37-1.png"/>
                    <pic:cNvPicPr>
                      <a:picLocks noChangeAspect="1" noChangeArrowheads="1"/>
                    </pic:cNvPicPr>
                  </pic:nvPicPr>
                  <pic:blipFill>
                    <a:blip r:embed="rId21"/>
                    <a:stretch>
                      <a:fillRect/>
                    </a:stretch>
                  </pic:blipFill>
                  <pic:spPr bwMode="auto">
                    <a:xfrm>
                      <a:off x="0" y="0"/>
                      <a:ext cx="5753100" cy="2030505"/>
                    </a:xfrm>
                    <a:prstGeom prst="rect">
                      <a:avLst/>
                    </a:prstGeom>
                    <a:noFill/>
                    <a:ln w="9525">
                      <a:noFill/>
                      <a:headEnd/>
                      <a:tailEnd/>
                    </a:ln>
                  </pic:spPr>
                </pic:pic>
              </a:graphicData>
            </a:graphic>
          </wp:inline>
        </w:drawing>
      </w:r>
    </w:p>
    <w:p w14:paraId="324C6645" w14:textId="77777777" w:rsidR="002F3C33" w:rsidRDefault="00000000">
      <w:pPr>
        <w:pStyle w:val="Titre1"/>
      </w:pPr>
      <w:bookmarkStart w:id="7" w:name="sous--utilisation-de-la-main-doeuvre"/>
      <w:bookmarkEnd w:id="6"/>
      <w:r>
        <w:t>SOUS- UTILISATION DE LA MAIN D’OEUVRE</w:t>
      </w:r>
    </w:p>
    <w:p w14:paraId="37FC2DF9" w14:textId="77777777" w:rsidR="002F3C33" w:rsidRDefault="00000000">
      <w:pPr>
        <w:pStyle w:val="Titre2"/>
      </w:pPr>
      <w:bookmarkStart w:id="8" w:name="taux-de-chômage"/>
      <w:r>
        <w:t>Taux de chômage</w:t>
      </w:r>
    </w:p>
    <w:p w14:paraId="607C792E" w14:textId="77777777" w:rsidR="002F3C33" w:rsidRDefault="00000000">
      <w:r>
        <w:t xml:space="preserve">Au premier trimestre 2025, le taux de chômage s’établissait à </w:t>
      </w:r>
      <w:r>
        <w:rPr>
          <w:b/>
          <w:bCs/>
        </w:rPr>
        <w:t>3,7</w:t>
      </w:r>
      <w:r>
        <w:t xml:space="preserve"> %, quasiment le même que celui enrégistré le trimestre précédent . Il atteignait </w:t>
      </w:r>
      <w:r>
        <w:rPr>
          <w:b/>
          <w:bCs/>
        </w:rPr>
        <w:t>3</w:t>
      </w:r>
      <w:r>
        <w:t xml:space="preserve"> % chez les hommes contre </w:t>
      </w:r>
      <w:r>
        <w:rPr>
          <w:b/>
          <w:bCs/>
        </w:rPr>
        <w:t>4,6</w:t>
      </w:r>
      <w:r>
        <w:t xml:space="preserve"> % chez les femmes </w:t>
      </w:r>
      <w:r>
        <w:rPr>
          <w:b/>
          <w:bCs/>
        </w:rPr>
        <w:t>(Figure 15)</w:t>
      </w:r>
      <w:r>
        <w:t>. Par rapport au trimestre précédent, le taux de chomage chez les femmes a reculé tandis que celui des hommes était en hausse, traduisant un écart hommes-femmes du taux de chomage qui s’est réduit entre les deux trimestres.</w:t>
      </w:r>
    </w:p>
    <w:p w14:paraId="2241BDBE" w14:textId="77777777" w:rsidR="002F3C33" w:rsidRDefault="00000000">
      <w:r>
        <w:rPr>
          <w:b/>
          <w:bCs/>
        </w:rPr>
        <w:t>Figure 15 :</w:t>
      </w:r>
      <w:r>
        <w:t xml:space="preserve"> Taux de chômage suivant le sexe</w:t>
      </w:r>
    </w:p>
    <w:p w14:paraId="4F18E84E" w14:textId="77777777" w:rsidR="002F3C33" w:rsidRDefault="00000000">
      <w:r>
        <w:rPr>
          <w:noProof/>
        </w:rPr>
        <w:drawing>
          <wp:inline distT="0" distB="0" distL="0" distR="0" wp14:anchorId="728986C2" wp14:editId="2103BC7C">
            <wp:extent cx="3696101" cy="2772075"/>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bulletin_T4_T12025_files/figure-docx/unnamed-chunk-40-1.png"/>
                    <pic:cNvPicPr>
                      <a:picLocks noChangeAspect="1" noChangeArrowheads="1"/>
                    </pic:cNvPicPr>
                  </pic:nvPicPr>
                  <pic:blipFill>
                    <a:blip r:embed="rId22"/>
                    <a:stretch>
                      <a:fillRect/>
                    </a:stretch>
                  </pic:blipFill>
                  <pic:spPr bwMode="auto">
                    <a:xfrm>
                      <a:off x="0" y="0"/>
                      <a:ext cx="3696101" cy="2772075"/>
                    </a:xfrm>
                    <a:prstGeom prst="rect">
                      <a:avLst/>
                    </a:prstGeom>
                    <a:noFill/>
                    <a:ln w="9525">
                      <a:noFill/>
                      <a:headEnd/>
                      <a:tailEnd/>
                    </a:ln>
                  </pic:spPr>
                </pic:pic>
              </a:graphicData>
            </a:graphic>
          </wp:inline>
        </w:drawing>
      </w:r>
    </w:p>
    <w:p w14:paraId="0994E0B7" w14:textId="77777777" w:rsidR="002F3C33" w:rsidRDefault="00000000">
      <w:r>
        <w:lastRenderedPageBreak/>
        <w:t xml:space="preserve">Par ailleurs, sur les deux trimestres considérés, le taux de chômage diminuait avec l’âge </w:t>
      </w:r>
      <w:r>
        <w:rPr>
          <w:b/>
          <w:bCs/>
        </w:rPr>
        <w:t>(Figure 16)</w:t>
      </w:r>
      <w:r>
        <w:t xml:space="preserve"> et augmentait avec le niveau d’instruction </w:t>
      </w:r>
      <w:r>
        <w:rPr>
          <w:b/>
          <w:bCs/>
        </w:rPr>
        <w:t>(Figure 17)</w:t>
      </w:r>
      <w:r>
        <w:t>. Le chômage frappe davantage les jeunes de 16 à 24 ans qui connaissent une hausse. Il est nettement plus faible dans les tranches d’âges supérieures, traduisant une insertion progressive après l’entrée sur le marché du travail. De même, le chômage touche davantage les personnes ayant un niveau d’instruction supérieur.</w:t>
      </w:r>
    </w:p>
    <w:p w14:paraId="2F7D80EE" w14:textId="77777777" w:rsidR="002F3C33" w:rsidRDefault="00000000">
      <w:r>
        <w:rPr>
          <w:b/>
          <w:bCs/>
        </w:rPr>
        <w:t>Figure 16 :</w:t>
      </w:r>
      <w:r>
        <w:t xml:space="preserve"> Taux de chômage suivant l’âge</w:t>
      </w:r>
    </w:p>
    <w:p w14:paraId="7CC809FE" w14:textId="77777777" w:rsidR="002F3C33" w:rsidRDefault="00000000">
      <w:r>
        <w:rPr>
          <w:noProof/>
        </w:rPr>
        <w:drawing>
          <wp:inline distT="0" distB="0" distL="0" distR="0" wp14:anchorId="2762AC34" wp14:editId="0F75017D">
            <wp:extent cx="4620126" cy="2772075"/>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bulletin_T4_T12025_files/figure-docx/unnamed-chunk-41-1.png"/>
                    <pic:cNvPicPr>
                      <a:picLocks noChangeAspect="1" noChangeArrowheads="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p>
    <w:p w14:paraId="213445D1" w14:textId="77777777" w:rsidR="002F3C33" w:rsidRDefault="00000000">
      <w:r>
        <w:rPr>
          <w:b/>
          <w:bCs/>
        </w:rPr>
        <w:t>Figure 17 :</w:t>
      </w:r>
      <w:r>
        <w:t xml:space="preserve"> Taux de chômage suivant le niveau d’instruction</w:t>
      </w:r>
    </w:p>
    <w:p w14:paraId="6D67362B" w14:textId="77777777" w:rsidR="002F3C33" w:rsidRDefault="00000000">
      <w:r>
        <w:rPr>
          <w:noProof/>
        </w:rPr>
        <w:drawing>
          <wp:inline distT="0" distB="0" distL="0" distR="0" wp14:anchorId="16C6CD8A" wp14:editId="63C7D24A">
            <wp:extent cx="4620126" cy="3234088"/>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bulletin_T4_T12025_files/figure-docx/unnamed-chunk-42-1.png"/>
                    <pic:cNvPicPr>
                      <a:picLocks noChangeAspect="1" noChangeArrowheads="1"/>
                    </pic:cNvPicPr>
                  </pic:nvPicPr>
                  <pic:blipFill>
                    <a:blip r:embed="rId24"/>
                    <a:stretch>
                      <a:fillRect/>
                    </a:stretch>
                  </pic:blipFill>
                  <pic:spPr bwMode="auto">
                    <a:xfrm>
                      <a:off x="0" y="0"/>
                      <a:ext cx="4620126" cy="3234088"/>
                    </a:xfrm>
                    <a:prstGeom prst="rect">
                      <a:avLst/>
                    </a:prstGeom>
                    <a:noFill/>
                    <a:ln w="9525">
                      <a:noFill/>
                      <a:headEnd/>
                      <a:tailEnd/>
                    </a:ln>
                  </pic:spPr>
                </pic:pic>
              </a:graphicData>
            </a:graphic>
          </wp:inline>
        </w:drawing>
      </w:r>
    </w:p>
    <w:p w14:paraId="2B960842" w14:textId="77777777" w:rsidR="002F3C33" w:rsidRDefault="00000000">
      <w:r>
        <w:t xml:space="preserve">Avec un taux de chômage de </w:t>
      </w:r>
      <w:r>
        <w:rPr>
          <w:b/>
          <w:bCs/>
        </w:rPr>
        <w:t>6,4</w:t>
      </w:r>
      <w:r>
        <w:t xml:space="preserve"> % à Abidjan, </w:t>
      </w:r>
      <w:r>
        <w:rPr>
          <w:b/>
          <w:bCs/>
        </w:rPr>
        <w:t>4</w:t>
      </w:r>
      <w:r>
        <w:t xml:space="preserve"> % dans les autres zones urbaines et </w:t>
      </w:r>
      <w:r>
        <w:rPr>
          <w:b/>
          <w:bCs/>
        </w:rPr>
        <w:t>2,3</w:t>
      </w:r>
      <w:r>
        <w:t xml:space="preserve"> % en milieu rural </w:t>
      </w:r>
      <w:r>
        <w:rPr>
          <w:b/>
          <w:bCs/>
        </w:rPr>
        <w:t>(Figure 18)</w:t>
      </w:r>
      <w:r>
        <w:t xml:space="preserve">, le milieu rural présentait le taux de chômage le plus faible au premier trimestre 2025. Cependant, entre les deux périodes, le taux de </w:t>
      </w:r>
      <w:r>
        <w:lastRenderedPageBreak/>
        <w:t>chômage connait une hausse prononcée à Abidjan, alors qu’il a réculé dans les autres milieux urbains, tout en restant pratiquement inchangé en milieu rural.</w:t>
      </w:r>
    </w:p>
    <w:p w14:paraId="35C79089" w14:textId="77777777" w:rsidR="002F3C33" w:rsidRDefault="00000000">
      <w:r>
        <w:rPr>
          <w:b/>
          <w:bCs/>
        </w:rPr>
        <w:t>Figure 18 :</w:t>
      </w:r>
      <w:r>
        <w:t xml:space="preserve"> Taux de chômage suivant le milieu de residence</w:t>
      </w:r>
    </w:p>
    <w:p w14:paraId="4400B954" w14:textId="77777777" w:rsidR="002F3C33" w:rsidRDefault="00000000">
      <w:r>
        <w:rPr>
          <w:noProof/>
        </w:rPr>
        <w:drawing>
          <wp:inline distT="0" distB="0" distL="0" distR="0" wp14:anchorId="03DB52B4" wp14:editId="1000737F">
            <wp:extent cx="3696101"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bulletin_T4_T12025_files/figure-docx/unnamed-chunk-45-1.png"/>
                    <pic:cNvPicPr>
                      <a:picLocks noChangeAspect="1" noChangeArrowheads="1"/>
                    </pic:cNvPicPr>
                  </pic:nvPicPr>
                  <pic:blipFill>
                    <a:blip r:embed="rId25"/>
                    <a:stretch>
                      <a:fillRect/>
                    </a:stretch>
                  </pic:blipFill>
                  <pic:spPr bwMode="auto">
                    <a:xfrm>
                      <a:off x="0" y="0"/>
                      <a:ext cx="3696101" cy="3696101"/>
                    </a:xfrm>
                    <a:prstGeom prst="rect">
                      <a:avLst/>
                    </a:prstGeom>
                    <a:noFill/>
                    <a:ln w="9525">
                      <a:noFill/>
                      <a:headEnd/>
                      <a:tailEnd/>
                    </a:ln>
                  </pic:spPr>
                </pic:pic>
              </a:graphicData>
            </a:graphic>
          </wp:inline>
        </w:drawing>
      </w:r>
    </w:p>
    <w:p w14:paraId="6AD29205" w14:textId="77777777" w:rsidR="002F3C33" w:rsidRDefault="00000000">
      <w:pPr>
        <w:pStyle w:val="Titre2"/>
      </w:pPr>
      <w:bookmarkStart w:id="9" w:name="X7dbfbd9cc3133335247d53053e58bd71380e8d1"/>
      <w:bookmarkEnd w:id="8"/>
      <w:r>
        <w:t>Taux combiné du chômage et de la main-d’œuvre potentielle</w:t>
      </w:r>
    </w:p>
    <w:p w14:paraId="2B38C719" w14:textId="77777777" w:rsidR="002F3C33" w:rsidRDefault="00000000">
      <w:r>
        <w:rPr>
          <w:b/>
          <w:bCs/>
        </w:rPr>
        <w:t>Figure 19 :</w:t>
      </w:r>
      <w:r>
        <w:t xml:space="preserve"> Indicateurs de la sous-utilisation de la main-d’œuvre</w:t>
      </w:r>
    </w:p>
    <w:p w14:paraId="3C3AD888" w14:textId="77777777" w:rsidR="002F3C33" w:rsidRDefault="00000000">
      <w:r>
        <w:rPr>
          <w:noProof/>
        </w:rPr>
        <w:drawing>
          <wp:inline distT="0" distB="0" distL="0" distR="0" wp14:anchorId="7C5B9A23" wp14:editId="61352A19">
            <wp:extent cx="3696101" cy="2772075"/>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bulletin_T4_T12025_files/figure-docx/unnamed-chunk-47-1.png"/>
                    <pic:cNvPicPr>
                      <a:picLocks noChangeAspect="1" noChangeArrowheads="1"/>
                    </pic:cNvPicPr>
                  </pic:nvPicPr>
                  <pic:blipFill>
                    <a:blip r:embed="rId26"/>
                    <a:stretch>
                      <a:fillRect/>
                    </a:stretch>
                  </pic:blipFill>
                  <pic:spPr bwMode="auto">
                    <a:xfrm>
                      <a:off x="0" y="0"/>
                      <a:ext cx="3696101" cy="2772075"/>
                    </a:xfrm>
                    <a:prstGeom prst="rect">
                      <a:avLst/>
                    </a:prstGeom>
                    <a:noFill/>
                    <a:ln w="9525">
                      <a:noFill/>
                      <a:headEnd/>
                      <a:tailEnd/>
                    </a:ln>
                  </pic:spPr>
                </pic:pic>
              </a:graphicData>
            </a:graphic>
          </wp:inline>
        </w:drawing>
      </w:r>
    </w:p>
    <w:p w14:paraId="3891BA11" w14:textId="77777777" w:rsidR="002F3C33" w:rsidRDefault="00000000">
      <w:r>
        <w:t xml:space="preserve">Au premier trimestre 2025, Le taux combiné de chômage et de la main-d’œuvre potentielle (SU3) était en hausse par rapport au trimestre précédent et s’établissait à </w:t>
      </w:r>
      <w:r>
        <w:rPr>
          <w:b/>
          <w:bCs/>
        </w:rPr>
        <w:t>13,8</w:t>
      </w:r>
      <w:r>
        <w:t xml:space="preserve"> %. Chez les femmes, ce taux était environ deux fois plus grand que chez les </w:t>
      </w:r>
      <w:r>
        <w:lastRenderedPageBreak/>
        <w:t xml:space="preserve">hommes : </w:t>
      </w:r>
      <w:r>
        <w:rPr>
          <w:b/>
          <w:bCs/>
        </w:rPr>
        <w:t>19,4</w:t>
      </w:r>
      <w:r>
        <w:t xml:space="preserve"> % vs </w:t>
      </w:r>
      <w:r>
        <w:rPr>
          <w:b/>
          <w:bCs/>
        </w:rPr>
        <w:t>9</w:t>
      </w:r>
      <w:r>
        <w:t xml:space="preserve"> % avec une hausse pour chacun des deux sexes et une augmentation de l’écart hommes-femmes.</w:t>
      </w:r>
    </w:p>
    <w:p w14:paraId="499BDDCA" w14:textId="77777777" w:rsidR="002F3C33" w:rsidRDefault="00000000">
      <w:r>
        <w:rPr>
          <w:b/>
          <w:bCs/>
        </w:rPr>
        <w:t>Figure 20 :</w:t>
      </w:r>
      <w:r>
        <w:t xml:space="preserve"> Taux combiné du chômage et de la main-d’œuvre potentielle suivant le sexe</w:t>
      </w:r>
    </w:p>
    <w:p w14:paraId="7B987063" w14:textId="77777777" w:rsidR="002F3C33" w:rsidRDefault="00000000">
      <w:r>
        <w:rPr>
          <w:noProof/>
        </w:rPr>
        <w:drawing>
          <wp:inline distT="0" distB="0" distL="0" distR="0" wp14:anchorId="4F9CE4D0" wp14:editId="5102D056">
            <wp:extent cx="3696101" cy="2772075"/>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bulletin_T4_T12025_files/figure-docx/unnamed-chunk-50-1.png"/>
                    <pic:cNvPicPr>
                      <a:picLocks noChangeAspect="1" noChangeArrowheads="1"/>
                    </pic:cNvPicPr>
                  </pic:nvPicPr>
                  <pic:blipFill>
                    <a:blip r:embed="rId27"/>
                    <a:stretch>
                      <a:fillRect/>
                    </a:stretch>
                  </pic:blipFill>
                  <pic:spPr bwMode="auto">
                    <a:xfrm>
                      <a:off x="0" y="0"/>
                      <a:ext cx="3696101" cy="2772075"/>
                    </a:xfrm>
                    <a:prstGeom prst="rect">
                      <a:avLst/>
                    </a:prstGeom>
                    <a:noFill/>
                    <a:ln w="9525">
                      <a:noFill/>
                      <a:headEnd/>
                      <a:tailEnd/>
                    </a:ln>
                  </pic:spPr>
                </pic:pic>
              </a:graphicData>
            </a:graphic>
          </wp:inline>
        </w:drawing>
      </w:r>
    </w:p>
    <w:p w14:paraId="221C7649" w14:textId="77777777" w:rsidR="002F3C33" w:rsidRDefault="00000000">
      <w:r>
        <w:t xml:space="preserve">De même, à l’instar du taux de chômage, le SU3 diminuait pratiquement avec l’âge </w:t>
      </w:r>
      <w:r>
        <w:rPr>
          <w:b/>
          <w:bCs/>
        </w:rPr>
        <w:t>(Figure 21)</w:t>
      </w:r>
      <w:r>
        <w:t xml:space="preserve"> et augmentait avec le niveau d’instruction </w:t>
      </w:r>
      <w:r>
        <w:rPr>
          <w:b/>
          <w:bCs/>
        </w:rPr>
        <w:t>(Figure 22)</w:t>
      </w:r>
      <w:r>
        <w:t>, sur chacun des deux trimestres considérés. De façon notable, le SU3 a considérablement augmenté chez les jeunes de 16 à 24 ans, ainsi que chez les personnes avec un niveau d’instruction supérieur.</w:t>
      </w:r>
    </w:p>
    <w:p w14:paraId="38F28CC9" w14:textId="77777777" w:rsidR="002F3C33" w:rsidRDefault="00000000">
      <w:r>
        <w:rPr>
          <w:b/>
          <w:bCs/>
        </w:rPr>
        <w:t>Figure 21 :</w:t>
      </w:r>
      <w:r>
        <w:t xml:space="preserve"> Taux combiné du chômage et de la main-d’œuvre potentielle suivant l’age</w:t>
      </w:r>
    </w:p>
    <w:p w14:paraId="4C0FD2AF" w14:textId="77777777" w:rsidR="002F3C33" w:rsidRDefault="00000000">
      <w:r>
        <w:rPr>
          <w:noProof/>
        </w:rPr>
        <w:drawing>
          <wp:inline distT="0" distB="0" distL="0" distR="0" wp14:anchorId="73FF45BC" wp14:editId="23233CFA">
            <wp:extent cx="4620126" cy="2772075"/>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bulletin_T4_T12025_files/figure-docx/unnamed-chunk-51-1.png"/>
                    <pic:cNvPicPr>
                      <a:picLocks noChangeAspect="1" noChangeArrowheads="1"/>
                    </pic:cNvPicPr>
                  </pic:nvPicPr>
                  <pic:blipFill>
                    <a:blip r:embed="rId28"/>
                    <a:stretch>
                      <a:fillRect/>
                    </a:stretch>
                  </pic:blipFill>
                  <pic:spPr bwMode="auto">
                    <a:xfrm>
                      <a:off x="0" y="0"/>
                      <a:ext cx="4620126" cy="2772075"/>
                    </a:xfrm>
                    <a:prstGeom prst="rect">
                      <a:avLst/>
                    </a:prstGeom>
                    <a:noFill/>
                    <a:ln w="9525">
                      <a:noFill/>
                      <a:headEnd/>
                      <a:tailEnd/>
                    </a:ln>
                  </pic:spPr>
                </pic:pic>
              </a:graphicData>
            </a:graphic>
          </wp:inline>
        </w:drawing>
      </w:r>
    </w:p>
    <w:p w14:paraId="16127159" w14:textId="77777777" w:rsidR="002F3C33" w:rsidRDefault="00000000">
      <w:r>
        <w:rPr>
          <w:b/>
          <w:bCs/>
        </w:rPr>
        <w:t>Figure 22 :</w:t>
      </w:r>
      <w:r>
        <w:t xml:space="preserve"> Taux combiné du chômage et de la main-d’œuvre potentielle suivant le niveau d’instruction</w:t>
      </w:r>
    </w:p>
    <w:p w14:paraId="5C931AC7" w14:textId="77777777" w:rsidR="002F3C33" w:rsidRDefault="00000000">
      <w:r>
        <w:rPr>
          <w:noProof/>
        </w:rPr>
        <w:lastRenderedPageBreak/>
        <w:drawing>
          <wp:inline distT="0" distB="0" distL="0" distR="0" wp14:anchorId="19E70A14" wp14:editId="4F7A7123">
            <wp:extent cx="4620126" cy="3234088"/>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bulletin_T4_T12025_files/figure-docx/unnamed-chunk-52-1.png"/>
                    <pic:cNvPicPr>
                      <a:picLocks noChangeAspect="1" noChangeArrowheads="1"/>
                    </pic:cNvPicPr>
                  </pic:nvPicPr>
                  <pic:blipFill>
                    <a:blip r:embed="rId29"/>
                    <a:stretch>
                      <a:fillRect/>
                    </a:stretch>
                  </pic:blipFill>
                  <pic:spPr bwMode="auto">
                    <a:xfrm>
                      <a:off x="0" y="0"/>
                      <a:ext cx="4620126" cy="3234088"/>
                    </a:xfrm>
                    <a:prstGeom prst="rect">
                      <a:avLst/>
                    </a:prstGeom>
                    <a:noFill/>
                    <a:ln w="9525">
                      <a:noFill/>
                      <a:headEnd/>
                      <a:tailEnd/>
                    </a:ln>
                  </pic:spPr>
                </pic:pic>
              </a:graphicData>
            </a:graphic>
          </wp:inline>
        </w:drawing>
      </w:r>
    </w:p>
    <w:p w14:paraId="12772E05" w14:textId="77777777" w:rsidR="002F3C33" w:rsidRDefault="00000000">
      <w:r>
        <w:t xml:space="preserve">En outre, le milieu rural présentait le SU3 le plus faible. Il s’agit de </w:t>
      </w:r>
      <w:r>
        <w:rPr>
          <w:b/>
          <w:bCs/>
        </w:rPr>
        <w:t>20,3</w:t>
      </w:r>
      <w:r>
        <w:t xml:space="preserve"> %, </w:t>
      </w:r>
      <w:r>
        <w:rPr>
          <w:b/>
          <w:bCs/>
        </w:rPr>
        <w:t>13,1</w:t>
      </w:r>
      <w:r>
        <w:t xml:space="preserve"> % et </w:t>
      </w:r>
      <w:r>
        <w:rPr>
          <w:b/>
          <w:bCs/>
        </w:rPr>
        <w:t>11,6</w:t>
      </w:r>
      <w:r>
        <w:t xml:space="preserve"> % respectivement à Abidjan, dans les autres milieux urbains et en milieu rural </w:t>
      </w:r>
      <w:r>
        <w:rPr>
          <w:b/>
          <w:bCs/>
        </w:rPr>
        <w:t>(Figure 23)</w:t>
      </w:r>
      <w:r>
        <w:t xml:space="preserve"> sur la période du premier trimestre 2025. De même que pour le taux de chômage, le SU3 a augmenté de façon notable à Abidjan en comparaison au trimestre précédent.</w:t>
      </w:r>
    </w:p>
    <w:p w14:paraId="012D349C" w14:textId="77777777" w:rsidR="002F3C33" w:rsidRDefault="00000000">
      <w:r>
        <w:rPr>
          <w:b/>
          <w:bCs/>
        </w:rPr>
        <w:t>Figure 23 :</w:t>
      </w:r>
      <w:r>
        <w:t xml:space="preserve"> Taux combiné du chômage et de la main-d’œuvre potentielle suivant le milieu de residence</w:t>
      </w:r>
    </w:p>
    <w:p w14:paraId="3E480064" w14:textId="77777777" w:rsidR="002F3C33" w:rsidRDefault="00000000">
      <w:r>
        <w:rPr>
          <w:noProof/>
        </w:rPr>
        <w:drawing>
          <wp:inline distT="0" distB="0" distL="0" distR="0" wp14:anchorId="27533DAF" wp14:editId="3F72209D">
            <wp:extent cx="3696101" cy="3696101"/>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bulletin_T4_T12025_files/figure-docx/unnamed-chunk-55-1.png"/>
                    <pic:cNvPicPr>
                      <a:picLocks noChangeAspect="1" noChangeArrowheads="1"/>
                    </pic:cNvPicPr>
                  </pic:nvPicPr>
                  <pic:blipFill>
                    <a:blip r:embed="rId30"/>
                    <a:stretch>
                      <a:fillRect/>
                    </a:stretch>
                  </pic:blipFill>
                  <pic:spPr bwMode="auto">
                    <a:xfrm>
                      <a:off x="0" y="0"/>
                      <a:ext cx="3696101" cy="3696101"/>
                    </a:xfrm>
                    <a:prstGeom prst="rect">
                      <a:avLst/>
                    </a:prstGeom>
                    <a:noFill/>
                    <a:ln w="9525">
                      <a:noFill/>
                      <a:headEnd/>
                      <a:tailEnd/>
                    </a:ln>
                  </pic:spPr>
                </pic:pic>
              </a:graphicData>
            </a:graphic>
          </wp:inline>
        </w:drawing>
      </w:r>
    </w:p>
    <w:p w14:paraId="6B43CD40" w14:textId="77777777" w:rsidR="002F3C33" w:rsidRDefault="00000000">
      <w:pPr>
        <w:pStyle w:val="Titre1"/>
      </w:pPr>
      <w:bookmarkStart w:id="10" w:name="Xde10f3c7f8d552ad2e253e16c8fd1e1331a4da0"/>
      <w:bookmarkEnd w:id="7"/>
      <w:bookmarkEnd w:id="9"/>
      <w:r>
        <w:lastRenderedPageBreak/>
        <w:t>JEUNE NI EN EMPLOI, NI EN EDUCATION ET NI EN FORMATION</w:t>
      </w:r>
    </w:p>
    <w:p w14:paraId="2325FC26" w14:textId="77777777" w:rsidR="002F3C33" w:rsidRDefault="00000000">
      <w:r>
        <w:t>Entre le quatrième trimestre 2024 et le premier trimestre 2025, la proportion de jeunes ni en emploi, ni en éducation et ni en formation (NEETs) âgés de 16 à 24 ans a connu une augmentation (</w:t>
      </w:r>
      <w:r>
        <w:rPr>
          <w:b/>
          <w:bCs/>
        </w:rPr>
        <w:t>22,7</w:t>
      </w:r>
      <w:r>
        <w:t xml:space="preserve"> % et </w:t>
      </w:r>
      <w:r>
        <w:rPr>
          <w:b/>
          <w:bCs/>
        </w:rPr>
        <w:t>25,9</w:t>
      </w:r>
      <w:r>
        <w:t xml:space="preserve"> % respectivement). Sur chacun de ces deux trimestres, cette proportion était plus élevée chez les jeunes femmes de cette tranche d’âge que chez les jeunes hommes : avec </w:t>
      </w:r>
      <w:r>
        <w:rPr>
          <w:b/>
          <w:bCs/>
        </w:rPr>
        <w:t>18,7</w:t>
      </w:r>
      <w:r>
        <w:t xml:space="preserve"> % contre </w:t>
      </w:r>
      <w:r>
        <w:rPr>
          <w:b/>
          <w:bCs/>
        </w:rPr>
        <w:t>32,8</w:t>
      </w:r>
      <w:r>
        <w:t xml:space="preserve"> % au premier trimestre de l’année. Cette augmentation du taux de NEETs semble etre porté pour les jeunes femmes de cette tranche d’âge qui connaissent une hausse notable de NEETs, traduisant également une augmentation de l’écart entre les jeunes hommes et femmes de cette tranche d’âge </w:t>
      </w:r>
      <w:r>
        <w:rPr>
          <w:b/>
          <w:bCs/>
        </w:rPr>
        <w:t>(Figure 24)</w:t>
      </w:r>
      <w:r>
        <w:t xml:space="preserve">. En outre, le milieu rural comptait la plus forte proportion de NEET âgés de 16 à 24 ans, un taux en hausse considérable par rapport au quatrième trimestre 2024 </w:t>
      </w:r>
      <w:r>
        <w:rPr>
          <w:b/>
          <w:bCs/>
        </w:rPr>
        <w:t>(Figure 25)</w:t>
      </w:r>
      <w:r>
        <w:t>.</w:t>
      </w:r>
    </w:p>
    <w:p w14:paraId="034706DD" w14:textId="77777777" w:rsidR="002F3C33" w:rsidRDefault="00000000">
      <w:r>
        <w:rPr>
          <w:b/>
          <w:bCs/>
        </w:rPr>
        <w:t>Figure 24 :</w:t>
      </w:r>
      <w:r>
        <w:t xml:space="preserve"> Proportion des NEETs chez les 16-24 ans selon le sexe</w:t>
      </w:r>
    </w:p>
    <w:p w14:paraId="56DF0395" w14:textId="77777777" w:rsidR="002F3C33" w:rsidRDefault="00000000">
      <w:r>
        <w:rPr>
          <w:noProof/>
        </w:rPr>
        <w:drawing>
          <wp:inline distT="0" distB="0" distL="0" distR="0" wp14:anchorId="185A102A" wp14:editId="522AC8AA">
            <wp:extent cx="3696101"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bulletin_T4_T12025_files/figure-docx/unnamed-chunk-58-1.png"/>
                    <pic:cNvPicPr>
                      <a:picLocks noChangeAspect="1" noChangeArrowheads="1"/>
                    </pic:cNvPicPr>
                  </pic:nvPicPr>
                  <pic:blipFill>
                    <a:blip r:embed="rId31"/>
                    <a:stretch>
                      <a:fillRect/>
                    </a:stretch>
                  </pic:blipFill>
                  <pic:spPr bwMode="auto">
                    <a:xfrm>
                      <a:off x="0" y="0"/>
                      <a:ext cx="3696101" cy="3696101"/>
                    </a:xfrm>
                    <a:prstGeom prst="rect">
                      <a:avLst/>
                    </a:prstGeom>
                    <a:noFill/>
                    <a:ln w="9525">
                      <a:noFill/>
                      <a:headEnd/>
                      <a:tailEnd/>
                    </a:ln>
                  </pic:spPr>
                </pic:pic>
              </a:graphicData>
            </a:graphic>
          </wp:inline>
        </w:drawing>
      </w:r>
    </w:p>
    <w:p w14:paraId="449946EB" w14:textId="77777777" w:rsidR="002F3C33" w:rsidRDefault="00000000">
      <w:r>
        <w:rPr>
          <w:b/>
          <w:bCs/>
        </w:rPr>
        <w:t>Figure 25 :</w:t>
      </w:r>
      <w:r>
        <w:t xml:space="preserve"> Proportion des NEETs chez les 16-24ans selon le milieu de residence</w:t>
      </w:r>
    </w:p>
    <w:p w14:paraId="47428368" w14:textId="77777777" w:rsidR="002F3C33" w:rsidRDefault="00000000">
      <w:r>
        <w:rPr>
          <w:noProof/>
        </w:rPr>
        <w:lastRenderedPageBreak/>
        <w:drawing>
          <wp:inline distT="0" distB="0" distL="0" distR="0" wp14:anchorId="4E60FE72" wp14:editId="7A0E2956">
            <wp:extent cx="3696101" cy="3696101"/>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bulletin_T4_T12025_files/figure-docx/unnamed-chunk-59-1.png"/>
                    <pic:cNvPicPr>
                      <a:picLocks noChangeAspect="1" noChangeArrowheads="1"/>
                    </pic:cNvPicPr>
                  </pic:nvPicPr>
                  <pic:blipFill>
                    <a:blip r:embed="rId32"/>
                    <a:stretch>
                      <a:fillRect/>
                    </a:stretch>
                  </pic:blipFill>
                  <pic:spPr bwMode="auto">
                    <a:xfrm>
                      <a:off x="0" y="0"/>
                      <a:ext cx="3696101" cy="3696101"/>
                    </a:xfrm>
                    <a:prstGeom prst="rect">
                      <a:avLst/>
                    </a:prstGeom>
                    <a:noFill/>
                    <a:ln w="9525">
                      <a:noFill/>
                      <a:headEnd/>
                      <a:tailEnd/>
                    </a:ln>
                  </pic:spPr>
                </pic:pic>
              </a:graphicData>
            </a:graphic>
          </wp:inline>
        </w:drawing>
      </w:r>
    </w:p>
    <w:p w14:paraId="5DB8050C" w14:textId="77777777" w:rsidR="002F3C33" w:rsidRDefault="00000000">
      <w:r>
        <w:br w:type="page"/>
      </w:r>
    </w:p>
    <w:p w14:paraId="77A67625" w14:textId="77777777" w:rsidR="002F3C33" w:rsidRDefault="00000000">
      <w:pPr>
        <w:pStyle w:val="Titre1"/>
      </w:pPr>
      <w:bookmarkStart w:id="11" w:name="lexique"/>
      <w:bookmarkEnd w:id="10"/>
      <w:r>
        <w:lastRenderedPageBreak/>
        <w:t>LEXIQUE</w:t>
      </w:r>
    </w:p>
    <w:p w14:paraId="480F7302" w14:textId="77777777" w:rsidR="002F3C33" w:rsidRDefault="00000000">
      <w:r>
        <w:rPr>
          <w:b/>
          <w:bCs/>
        </w:rPr>
        <w:t>Population en âge de travailler :</w:t>
      </w:r>
      <w:r>
        <w:t xml:space="preserve"> La population en âge de travailler regroupe l’ensemble des individus du territoire national âgés de 16 ans ou plus.</w:t>
      </w:r>
    </w:p>
    <w:p w14:paraId="13BC0073" w14:textId="77777777" w:rsidR="002F3C33" w:rsidRDefault="00000000">
      <w:r>
        <w:rPr>
          <w:b/>
          <w:bCs/>
        </w:rPr>
        <w:t>Personne au chômage ou Chômeur :</w:t>
      </w:r>
      <w:r>
        <w:t xml:space="preserve"> Un chômeur est une personne âgée d’au moins 15 ans qui est sans emploi au cours de la semaine de référence, disponible pour travailler au plus tard dans les deux semaines à venir et qui a effectué une démarche active de recherche d’emploi au cours des quatre semaines antérieures à la semaine de référence. Dans notre cas, nous considérons les personnes âgées de 16 ans ou plus étant donné l’âge obligatoire de scolarité en Côte d’Ivoire qui est de 6 à 16 ans.</w:t>
      </w:r>
    </w:p>
    <w:p w14:paraId="2E6A04C2" w14:textId="77777777" w:rsidR="002F3C33" w:rsidRDefault="00000000">
      <w:r>
        <w:rPr>
          <w:b/>
          <w:bCs/>
        </w:rPr>
        <w:t>Personne en emploi :</w:t>
      </w:r>
      <w:r>
        <w:t xml:space="preserve"> Est définie comme étant en emploi toute personne exerçant une activité visant à produire des biens ou à fournir des services en échange d’une rémunération ou d’un profit.</w:t>
      </w:r>
    </w:p>
    <w:p w14:paraId="34455D2B" w14:textId="77777777" w:rsidR="002F3C33" w:rsidRDefault="00000000">
      <w:r>
        <w:rPr>
          <w:b/>
          <w:bCs/>
        </w:rPr>
        <w:t>Pluriactivité :</w:t>
      </w:r>
      <w:r>
        <w:t xml:space="preserve"> Personnes déjà en emploi exerçant au moins une activité supplémentaire.</w:t>
      </w:r>
    </w:p>
    <w:p w14:paraId="64141A87" w14:textId="77777777" w:rsidR="002F3C33" w:rsidRDefault="00000000">
      <w:r>
        <w:rPr>
          <w:b/>
          <w:bCs/>
        </w:rPr>
        <w:t>Emploi formel :</w:t>
      </w:r>
      <w:r>
        <w:t xml:space="preserve"> Emploi bénéficiant d’une reconnaissance légale et d’une régulation officielle par les institutions du travail.</w:t>
      </w:r>
    </w:p>
    <w:p w14:paraId="724A9A10" w14:textId="77777777" w:rsidR="002F3C33" w:rsidRDefault="00000000">
      <w:r>
        <w:rPr>
          <w:b/>
          <w:bCs/>
        </w:rPr>
        <w:t>Emploi informel :</w:t>
      </w:r>
      <w:r>
        <w:t xml:space="preserve"> L’emploi informel est défini comme toute activité exercée par des personnes visant à produire des biens ou à fournir des services en échange d’une rémunération ou d’un profit qui, en droit ou en pratique, n’est pas couverte par des dispositions formelles comme les lois sur le commerce, les procédures de déclaration des activités économiques, l’imposition des revenus, le droit du travail et les lois et réglementations sur la sécurité sociale qui assurent une protection contre les risques économiques et personnels associés à la réalisation de l’activité considérée.</w:t>
      </w:r>
    </w:p>
    <w:p w14:paraId="33053CAB" w14:textId="77777777" w:rsidR="002F3C33" w:rsidRDefault="00000000">
      <w:r>
        <w:rPr>
          <w:b/>
          <w:bCs/>
        </w:rPr>
        <w:t>Main-d’œuvre potentielle :</w:t>
      </w:r>
      <w:r>
        <w:t xml:space="preserve"> Ce sont l’ensemble des personnes en âge de travailler et capables de travailler mais ne faisant pas partie de la main-d’œuvre. Il s’agit des personnes inactives, souhaitant travailler mais n’étant pas considérées au chômage car n’étant pas en recherche ou indisponible pour tenir un emploi sur la période considérée.</w:t>
      </w:r>
    </w:p>
    <w:p w14:paraId="6AF5327A" w14:textId="77777777" w:rsidR="002F3C33" w:rsidRDefault="00000000">
      <w:r>
        <w:rPr>
          <w:b/>
          <w:bCs/>
        </w:rPr>
        <w:t>Jeunes Ni-Ni ou NEETs :</w:t>
      </w:r>
      <w:r>
        <w:t xml:space="preserve"> Jeunes ni à l’école, ni en formation, ni en emploi.</w:t>
      </w:r>
    </w:p>
    <w:p w14:paraId="5B9E61AA" w14:textId="77777777" w:rsidR="002F3C33" w:rsidRDefault="00000000">
      <w:r>
        <w:rPr>
          <w:b/>
          <w:bCs/>
        </w:rPr>
        <w:t>SU :</w:t>
      </w:r>
      <w:r>
        <w:t xml:space="preserve"> Taux de sous-utilisation de la main-d’œuvre</w:t>
      </w:r>
    </w:p>
    <w:p w14:paraId="66158D99" w14:textId="77777777" w:rsidR="002F3C33" w:rsidRDefault="00000000">
      <w:r>
        <w:rPr>
          <w:b/>
          <w:bCs/>
        </w:rPr>
        <w:t>SU1 :</w:t>
      </w:r>
      <w:r>
        <w:t xml:space="preserve"> Taux de chômage (personnes en âge de travailler, n’étant pas en emploi, mais étant en recherche active d’emploi et disponible pour travailler).</w:t>
      </w:r>
    </w:p>
    <w:p w14:paraId="63E6146D" w14:textId="77777777" w:rsidR="002F3C33" w:rsidRDefault="00000000">
      <w:r>
        <w:rPr>
          <w:b/>
          <w:bCs/>
        </w:rPr>
        <w:t>SU2 :</w:t>
      </w:r>
      <w:r>
        <w:t xml:space="preserve"> Taux de chômage élargi à la sous-utilisation de la main-d’œuvre.</w:t>
      </w:r>
    </w:p>
    <w:p w14:paraId="0CAA7E61" w14:textId="77777777" w:rsidR="002F3C33" w:rsidRDefault="00000000">
      <w:r>
        <w:rPr>
          <w:b/>
          <w:bCs/>
        </w:rPr>
        <w:t>SU3 :</w:t>
      </w:r>
      <w:r>
        <w:t xml:space="preserve"> Taux de chômage élargi à la main-d’œuvre potentielle (chômeur découragé ; ne faisant pas de recherche d’emploi).</w:t>
      </w:r>
    </w:p>
    <w:p w14:paraId="03BF0E7B" w14:textId="77777777" w:rsidR="002F3C33" w:rsidRDefault="00000000">
      <w:r>
        <w:rPr>
          <w:b/>
          <w:bCs/>
        </w:rPr>
        <w:t>SU4 :</w:t>
      </w:r>
      <w:r>
        <w:t xml:space="preserve"> Taux de chômage élargi à la sous-utilisation de la main-d’œuvre et à la main-d’œuvre potentielle</w:t>
      </w:r>
      <w:bookmarkEnd w:id="11"/>
    </w:p>
    <w:sectPr w:rsidR="002F3C33" w:rsidSect="00E93790">
      <w:headerReference w:type="default" r:id="rId33"/>
      <w:footerReference w:type="default" r:id="rId34"/>
      <w:headerReference w:type="first" r:id="rId35"/>
      <w:footerReference w:type="first" r:id="rId3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0D18B3" w14:textId="77777777" w:rsidR="008B57BF" w:rsidRDefault="008B57BF">
      <w:pPr>
        <w:spacing w:after="0" w:line="240" w:lineRule="auto"/>
      </w:pPr>
      <w:r>
        <w:separator/>
      </w:r>
    </w:p>
  </w:endnote>
  <w:endnote w:type="continuationSeparator" w:id="0">
    <w:p w14:paraId="38995576" w14:textId="77777777" w:rsidR="008B57BF" w:rsidRDefault="008B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591014904"/>
      <w:docPartObj>
        <w:docPartGallery w:val="Page Numbers (Bottom of Page)"/>
        <w:docPartUnique/>
      </w:docPartObj>
    </w:sdtPr>
    <w:sdtContent>
      <w:p w14:paraId="0EA54DD0" w14:textId="77777777" w:rsidR="00C05E58" w:rsidRPr="00C05E58" w:rsidRDefault="00C05E58">
        <w:pPr>
          <w:pStyle w:val="Pieddepage"/>
          <w:jc w:val="right"/>
          <w:rPr>
            <w:b/>
            <w:bCs/>
            <w:color w:val="196B24" w:themeColor="accent3"/>
          </w:rPr>
        </w:pPr>
        <w:r w:rsidRPr="00C05E58">
          <w:rPr>
            <w:b/>
            <w:bCs/>
            <w:color w:val="196B24" w:themeColor="accent3"/>
          </w:rPr>
          <w:fldChar w:fldCharType="begin"/>
        </w:r>
        <w:r w:rsidRPr="00C05E58">
          <w:rPr>
            <w:b/>
            <w:bCs/>
            <w:color w:val="196B24" w:themeColor="accent3"/>
          </w:rPr>
          <w:instrText>PAGE   \* MERGEFORMAT</w:instrText>
        </w:r>
        <w:r w:rsidRPr="00C05E58">
          <w:rPr>
            <w:b/>
            <w:bCs/>
            <w:color w:val="196B24" w:themeColor="accent3"/>
          </w:rPr>
          <w:fldChar w:fldCharType="separate"/>
        </w:r>
        <w:r w:rsidRPr="00C05E58">
          <w:rPr>
            <w:b/>
            <w:bCs/>
            <w:color w:val="196B24" w:themeColor="accent3"/>
            <w:lang w:val="fr-CA"/>
          </w:rPr>
          <w:t>2</w:t>
        </w:r>
        <w:r w:rsidRPr="00C05E58">
          <w:rPr>
            <w:b/>
            <w:bCs/>
            <w:color w:val="196B24" w:themeColor="accent3"/>
          </w:rPr>
          <w:fldChar w:fldCharType="end"/>
        </w:r>
      </w:p>
    </w:sdtContent>
  </w:sdt>
  <w:p w14:paraId="76A6CBBF" w14:textId="77777777" w:rsidR="00386C75" w:rsidRDefault="00386C7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924264082"/>
      <w:docPartObj>
        <w:docPartGallery w:val="Page Numbers (Bottom of Page)"/>
        <w:docPartUnique/>
      </w:docPartObj>
    </w:sdtPr>
    <w:sdtContent>
      <w:p w14:paraId="30A17C0E" w14:textId="77777777" w:rsidR="00116B0A" w:rsidRPr="00116B0A" w:rsidRDefault="00116B0A">
        <w:pPr>
          <w:pStyle w:val="Pieddepage"/>
          <w:jc w:val="right"/>
          <w:rPr>
            <w:b/>
            <w:bCs/>
            <w:color w:val="196B24" w:themeColor="accent3"/>
          </w:rPr>
        </w:pPr>
        <w:r w:rsidRPr="00116B0A">
          <w:rPr>
            <w:b/>
            <w:bCs/>
            <w:color w:val="196B24" w:themeColor="accent3"/>
          </w:rPr>
          <w:fldChar w:fldCharType="begin"/>
        </w:r>
        <w:r w:rsidRPr="00116B0A">
          <w:rPr>
            <w:b/>
            <w:bCs/>
            <w:color w:val="196B24" w:themeColor="accent3"/>
          </w:rPr>
          <w:instrText>PAGE   \* MERGEFORMAT</w:instrText>
        </w:r>
        <w:r w:rsidRPr="00116B0A">
          <w:rPr>
            <w:b/>
            <w:bCs/>
            <w:color w:val="196B24" w:themeColor="accent3"/>
          </w:rPr>
          <w:fldChar w:fldCharType="separate"/>
        </w:r>
        <w:r w:rsidRPr="00116B0A">
          <w:rPr>
            <w:b/>
            <w:bCs/>
            <w:color w:val="196B24" w:themeColor="accent3"/>
            <w:lang w:val="fr-CA"/>
          </w:rPr>
          <w:t>2</w:t>
        </w:r>
        <w:r w:rsidRPr="00116B0A">
          <w:rPr>
            <w:b/>
            <w:bCs/>
            <w:color w:val="196B24" w:themeColor="accent3"/>
          </w:rPr>
          <w:fldChar w:fldCharType="end"/>
        </w:r>
      </w:p>
    </w:sdtContent>
  </w:sdt>
  <w:p w14:paraId="3E20E693" w14:textId="77777777" w:rsidR="00CA245D" w:rsidRDefault="00CA24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1F852" w14:textId="77777777" w:rsidR="008B57BF" w:rsidRDefault="008B57BF">
      <w:pPr>
        <w:spacing w:after="0" w:line="240" w:lineRule="auto"/>
      </w:pPr>
      <w:r>
        <w:separator/>
      </w:r>
    </w:p>
  </w:footnote>
  <w:footnote w:type="continuationSeparator" w:id="0">
    <w:p w14:paraId="7B3B430A" w14:textId="77777777" w:rsidR="008B57BF" w:rsidRDefault="008B5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75330" w14:textId="77777777" w:rsidR="00533228" w:rsidRPr="00AE1EA2" w:rsidRDefault="00533228" w:rsidP="00533228">
    <w:pPr>
      <w:pStyle w:val="En-tte"/>
      <w:rPr>
        <w:rFonts w:ascii="Helvetica" w:hAnsi="Helvetica"/>
      </w:rPr>
    </w:pPr>
  </w:p>
  <w:p w14:paraId="1FDF3DAB" w14:textId="77777777" w:rsidR="00533228" w:rsidRPr="00AE1EA2" w:rsidRDefault="00F30EE5" w:rsidP="00D95341">
    <w:pPr>
      <w:pStyle w:val="En-tte"/>
      <w:jc w:val="center"/>
      <w:rPr>
        <w:rFonts w:ascii="Helvetica" w:hAnsi="Helvetica"/>
        <w:i/>
        <w:iCs/>
      </w:rPr>
    </w:pPr>
    <w:r w:rsidRPr="00AE1EA2">
      <w:rPr>
        <w:rFonts w:ascii="Helvetica" w:hAnsi="Helvetica"/>
        <w:i/>
        <w:iCs/>
      </w:rPr>
      <w:t>Bulletin du marché du travail du</w:t>
    </w:r>
    <w:r>
      <w:rPr>
        <w:rFonts w:ascii="Helvetica" w:hAnsi="Helvetica"/>
        <w:i/>
        <w:iCs/>
      </w:rPr>
      <w:t xml:space="preserve"> </w:t>
    </w:r>
    <w:r w:rsidR="002035A0">
      <w:rPr>
        <w:rFonts w:ascii="Helvetica" w:hAnsi="Helvetica"/>
        <w:i/>
        <w:iCs/>
      </w:rPr>
      <w:t>1</w:t>
    </w:r>
    <w:r w:rsidR="002035A0">
      <w:rPr>
        <w:rFonts w:ascii="Helvetica" w:hAnsi="Helvetica"/>
        <w:i/>
        <w:iCs/>
        <w:vertAlign w:val="superscript"/>
      </w:rPr>
      <w:t>er</w:t>
    </w:r>
    <w:r w:rsidRPr="00AE1EA2">
      <w:rPr>
        <w:rFonts w:ascii="Helvetica" w:hAnsi="Helvetica"/>
        <w:i/>
        <w:iCs/>
      </w:rPr>
      <w:t xml:space="preserve"> Trimestre de l’année 202</w:t>
    </w:r>
    <w:r w:rsidR="002035A0">
      <w:rPr>
        <w:rFonts w:ascii="Helvetica" w:hAnsi="Helvetica"/>
        <w:i/>
        <w:iCs/>
      </w:rPr>
      <w:t>5</w:t>
    </w:r>
  </w:p>
  <w:p w14:paraId="524D8BCE" w14:textId="77777777" w:rsidR="00533228" w:rsidRPr="00AE1EA2" w:rsidRDefault="00533228">
    <w:pPr>
      <w:pStyle w:val="En-tte"/>
      <w:rPr>
        <w:rFonts w:ascii="Helvetica" w:hAnsi="Helveti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DB8CE" w14:textId="77777777" w:rsidR="00E93790" w:rsidRDefault="00C42833" w:rsidP="00E93790">
    <w:pPr>
      <w:pStyle w:val="En-tte"/>
    </w:pPr>
    <w:r>
      <w:rPr>
        <w:noProof/>
      </w:rPr>
      <mc:AlternateContent>
        <mc:Choice Requires="wps">
          <w:drawing>
            <wp:anchor distT="0" distB="0" distL="114300" distR="114300" simplePos="0" relativeHeight="251659264" behindDoc="0" locked="0" layoutInCell="1" allowOverlap="1" wp14:anchorId="5D708C54" wp14:editId="41C45E43">
              <wp:simplePos x="0" y="0"/>
              <wp:positionH relativeFrom="margin">
                <wp:align>center</wp:align>
              </wp:positionH>
              <wp:positionV relativeFrom="paragraph">
                <wp:posOffset>216380</wp:posOffset>
              </wp:positionV>
              <wp:extent cx="7762875" cy="586408"/>
              <wp:effectExtent l="0" t="0" r="9525" b="4445"/>
              <wp:wrapNone/>
              <wp:docPr id="1952961728" name="Rectangle 1"/>
              <wp:cNvGraphicFramePr/>
              <a:graphic xmlns:a="http://schemas.openxmlformats.org/drawingml/2006/main">
                <a:graphicData uri="http://schemas.microsoft.com/office/word/2010/wordprocessingShape">
                  <wps:wsp>
                    <wps:cNvSpPr/>
                    <wps:spPr>
                      <a:xfrm>
                        <a:off x="0" y="0"/>
                        <a:ext cx="7762875" cy="586408"/>
                      </a:xfrm>
                      <a:prstGeom prst="rect">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07BEFE5"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2DAED20D"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4344B" id="Rectangle 1" o:spid="_x0000_s1026" style="position:absolute;left:0;text-align:left;margin-left:0;margin-top:17.05pt;width:611.25pt;height:46.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CiwIAAJEFAAAOAAAAZHJzL2Uyb0RvYy54bWysVMFu2zAMvQ/YPwi6r7azpMmCOkXQosOA&#10;bi3WDj0rslQLkEVNUmJnXz9Kdpys63YYdpEpkXwkn0leXHaNJjvhvAJT0uIsp0QYDpUyzyX99njz&#10;bkGJD8xUTIMRJd0LTy9Xb99ctHYpJlCDroQjCGL8srUlrUOwyyzzvBYN82dghUGlBNewgFf3nFWO&#10;tYje6GyS5+dZC66yDrjwHl+veyVdJXwpBQ93UnoRiC4p5hbS6dK5iWe2umDLZ8dsrfiQBvuHLBqm&#10;DAYdoa5ZYGTr1G9QjeIOPMhwxqHJQErFRaoBqynyF9U81MyKVAuS4+1Ik/9/sPzL7sHeO6ShtX7p&#10;UYxVdNI18Yv5kS6RtR/JEl0gHB/n8/PJYj6jhKNutjif5ovIZnb0ts6HjwIaEoWSOvwZiSO2u/Wh&#10;Nz2YxGAetKpulNbpEhtAXGlHdgx/HeNcmPA+uett8xmq/n0+y/P0EzFs6pnokpL4BU2biGkgoveB&#10;40t2LDlJYa9FtNPmq5BEVVjkJEUckU+TKXpVzSrRPxd/zCUBRmSJ8UfsAeC1QouBycE+uorUzKNz&#10;/rfE+hJHjxQZTBidG2XAvQagwxi5tz+Q1FMTWQrdpkP8KG6g2t874qCfKm/5jcI/fct8uGcOxwgH&#10;DldDuMNDamhLCoNESQ3ux2vv0R67G7WUtDiWJfXft8wJSvQng33/oZhO4xyny3Q2n+DFnWo2pxqz&#10;ba4A26fAJWR5EqN90AdROmiecIOsY1RUMcMxdkl5cIfLVejXBe4gLtbrZIaza1m4NQ+WR/BIcOzk&#10;x+6JOTu0e8BB+QKHEWbLF13f20ZPA+ttAKnSSBx5HajHuU/9POyouFhO78nquElXPwEAAP//AwBQ&#10;SwMEFAAGAAgAAAAhALSwdvTdAAAACAEAAA8AAABkcnMvZG93bnJldi54bWxMj8FOwzAQRO9I/IO1&#10;SNyoU7dUKMSpqkrcQIhQIfXmxksS1V6H2G3D37M50duuZjTzpliP3okzDrELpGE+y0Ag1cF21GjY&#10;fb48PIGIyZA1LhBq+MUI6/L2pjC5DRf6wHOVGsEhFHOjoU2pz6WMdYvexFnokVj7DoM3id+hkXYw&#10;Fw73TqosW0lvOuKG1vS4bbE+VifPvbvxuNgkt3+X27eq/nn9UvteaX1/N26eQSQc078ZJnxGh5KZ&#10;DuFENgqngYckDYvlHMSkKqUeQRyma7UEWRbyekD5BwAA//8DAFBLAQItABQABgAIAAAAIQC2gziS&#10;/gAAAOEBAAATAAAAAAAAAAAAAAAAAAAAAABbQ29udGVudF9UeXBlc10ueG1sUEsBAi0AFAAGAAgA&#10;AAAhADj9If/WAAAAlAEAAAsAAAAAAAAAAAAAAAAALwEAAF9yZWxzLy5yZWxzUEsBAi0AFAAGAAgA&#10;AAAhAEL8fEKLAgAAkQUAAA4AAAAAAAAAAAAAAAAALgIAAGRycy9lMm9Eb2MueG1sUEsBAi0AFAAG&#10;AAgAAAAhALSwdvTdAAAACAEAAA8AAAAAAAAAAAAAAAAA5QQAAGRycy9kb3ducmV2LnhtbFBLBQYA&#10;AAAABAAEAPMAAADvBQAAAAA=&#10;" fillcolor="#124f1a [2406]" stroked="f" strokeweight="1.52778mm">
              <v:stroke linestyle="thickThin"/>
              <v:textbox>
                <w:txbxContent>
                  <w:p w14:paraId="796C924C"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55355469"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v:textbox>
              <w10:wrap anchorx="margin"/>
            </v:rect>
          </w:pict>
        </mc:Fallback>
      </mc:AlternateContent>
    </w:r>
    <w:r w:rsidR="00B50B5D">
      <w:rPr>
        <w:noProof/>
      </w:rPr>
      <w:drawing>
        <wp:anchor distT="0" distB="0" distL="114300" distR="114300" simplePos="0" relativeHeight="251666432" behindDoc="1" locked="0" layoutInCell="1" allowOverlap="1" wp14:anchorId="256111D3" wp14:editId="17F58B32">
          <wp:simplePos x="0" y="0"/>
          <wp:positionH relativeFrom="margin">
            <wp:align>right</wp:align>
          </wp:positionH>
          <wp:positionV relativeFrom="paragraph">
            <wp:posOffset>-336012</wp:posOffset>
          </wp:positionV>
          <wp:extent cx="907366" cy="580806"/>
          <wp:effectExtent l="0" t="0" r="7620" b="0"/>
          <wp:wrapNone/>
          <wp:docPr id="155521047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07522" name="Image 1229407522"/>
                  <pic:cNvPicPr/>
                </pic:nvPicPr>
                <pic:blipFill>
                  <a:blip r:embed="rId1">
                    <a:extLst>
                      <a:ext uri="{28A0092B-C50C-407E-A947-70E740481C1C}">
                        <a14:useLocalDpi xmlns:a14="http://schemas.microsoft.com/office/drawing/2010/main" val="0"/>
                      </a:ext>
                    </a:extLst>
                  </a:blip>
                  <a:stretch>
                    <a:fillRect/>
                  </a:stretch>
                </pic:blipFill>
                <pic:spPr>
                  <a:xfrm>
                    <a:off x="0" y="0"/>
                    <a:ext cx="907366" cy="580806"/>
                  </a:xfrm>
                  <a:prstGeom prst="rect">
                    <a:avLst/>
                  </a:prstGeom>
                </pic:spPr>
              </pic:pic>
            </a:graphicData>
          </a:graphic>
          <wp14:sizeRelH relativeFrom="margin">
            <wp14:pctWidth>0</wp14:pctWidth>
          </wp14:sizeRelH>
          <wp14:sizeRelV relativeFrom="margin">
            <wp14:pctHeight>0</wp14:pctHeight>
          </wp14:sizeRelV>
        </wp:anchor>
      </w:drawing>
    </w:r>
    <w:r w:rsidR="00B50B5D">
      <w:rPr>
        <w:noProof/>
      </w:rPr>
      <w:drawing>
        <wp:anchor distT="0" distB="0" distL="114300" distR="114300" simplePos="0" relativeHeight="251660288" behindDoc="1" locked="0" layoutInCell="1" allowOverlap="1" wp14:anchorId="41E9B1D7" wp14:editId="3D58532E">
          <wp:simplePos x="0" y="0"/>
          <wp:positionH relativeFrom="margin">
            <wp:align>left</wp:align>
          </wp:positionH>
          <wp:positionV relativeFrom="paragraph">
            <wp:posOffset>-335280</wp:posOffset>
          </wp:positionV>
          <wp:extent cx="1356049" cy="511093"/>
          <wp:effectExtent l="0" t="0" r="0" b="0"/>
          <wp:wrapNone/>
          <wp:docPr id="948559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3866" name="Image 1992473866"/>
                  <pic:cNvPicPr/>
                </pic:nvPicPr>
                <pic:blipFill>
                  <a:blip r:embed="rId2">
                    <a:extLst>
                      <a:ext uri="{28A0092B-C50C-407E-A947-70E740481C1C}">
                        <a14:useLocalDpi xmlns:a14="http://schemas.microsoft.com/office/drawing/2010/main" val="0"/>
                      </a:ext>
                    </a:extLst>
                  </a:blip>
                  <a:stretch>
                    <a:fillRect/>
                  </a:stretch>
                </pic:blipFill>
                <pic:spPr>
                  <a:xfrm>
                    <a:off x="0" y="0"/>
                    <a:ext cx="1356049" cy="511093"/>
                  </a:xfrm>
                  <a:prstGeom prst="rect">
                    <a:avLst/>
                  </a:prstGeom>
                </pic:spPr>
              </pic:pic>
            </a:graphicData>
          </a:graphic>
          <wp14:sizeRelH relativeFrom="margin">
            <wp14:pctWidth>0</wp14:pctWidth>
          </wp14:sizeRelH>
          <wp14:sizeRelV relativeFrom="margin">
            <wp14:pctHeight>0</wp14:pctHeight>
          </wp14:sizeRelV>
        </wp:anchor>
      </w:drawing>
    </w:r>
  </w:p>
  <w:p w14:paraId="6B97A25B" w14:textId="77777777" w:rsidR="00E93790" w:rsidRDefault="00E93790" w:rsidP="00E93790">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56ED1E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3E9229E6"/>
    <w:multiLevelType w:val="multilevel"/>
    <w:tmpl w:val="29F2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6017762">
    <w:abstractNumId w:val="1"/>
  </w:num>
  <w:num w:numId="2" w16cid:durableId="1970167822">
    <w:abstractNumId w:val="0"/>
  </w:num>
  <w:num w:numId="3" w16cid:durableId="2117098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DB"/>
    <w:rsid w:val="00000E65"/>
    <w:rsid w:val="00001B24"/>
    <w:rsid w:val="0000295B"/>
    <w:rsid w:val="00002D4F"/>
    <w:rsid w:val="000065F1"/>
    <w:rsid w:val="000105FD"/>
    <w:rsid w:val="00010C0F"/>
    <w:rsid w:val="00014AB6"/>
    <w:rsid w:val="00015052"/>
    <w:rsid w:val="0001520F"/>
    <w:rsid w:val="00015CE6"/>
    <w:rsid w:val="00015D50"/>
    <w:rsid w:val="00017EBF"/>
    <w:rsid w:val="0002417F"/>
    <w:rsid w:val="000253D9"/>
    <w:rsid w:val="00025B42"/>
    <w:rsid w:val="00026029"/>
    <w:rsid w:val="00030588"/>
    <w:rsid w:val="000306A2"/>
    <w:rsid w:val="00033583"/>
    <w:rsid w:val="00036668"/>
    <w:rsid w:val="0004158A"/>
    <w:rsid w:val="0004333E"/>
    <w:rsid w:val="0004496D"/>
    <w:rsid w:val="000451C8"/>
    <w:rsid w:val="00045755"/>
    <w:rsid w:val="00046CCA"/>
    <w:rsid w:val="00046DD7"/>
    <w:rsid w:val="0005176F"/>
    <w:rsid w:val="00053B2D"/>
    <w:rsid w:val="00060CB1"/>
    <w:rsid w:val="000633B9"/>
    <w:rsid w:val="0006630E"/>
    <w:rsid w:val="00067F1C"/>
    <w:rsid w:val="000747EB"/>
    <w:rsid w:val="0008366A"/>
    <w:rsid w:val="00083EA8"/>
    <w:rsid w:val="00093295"/>
    <w:rsid w:val="00093C63"/>
    <w:rsid w:val="00095B94"/>
    <w:rsid w:val="00097C08"/>
    <w:rsid w:val="000A1D4C"/>
    <w:rsid w:val="000A2A1A"/>
    <w:rsid w:val="000A5043"/>
    <w:rsid w:val="000B391F"/>
    <w:rsid w:val="000B4D0E"/>
    <w:rsid w:val="000B7E11"/>
    <w:rsid w:val="000C052E"/>
    <w:rsid w:val="000C29BC"/>
    <w:rsid w:val="000C4449"/>
    <w:rsid w:val="000C4977"/>
    <w:rsid w:val="000C5CBF"/>
    <w:rsid w:val="000D1A82"/>
    <w:rsid w:val="000D24E1"/>
    <w:rsid w:val="000D3670"/>
    <w:rsid w:val="000D5252"/>
    <w:rsid w:val="000D6CB1"/>
    <w:rsid w:val="000E2760"/>
    <w:rsid w:val="000E412E"/>
    <w:rsid w:val="000F4552"/>
    <w:rsid w:val="000F4E89"/>
    <w:rsid w:val="000F5453"/>
    <w:rsid w:val="000F565B"/>
    <w:rsid w:val="0010109B"/>
    <w:rsid w:val="001013FE"/>
    <w:rsid w:val="001050BF"/>
    <w:rsid w:val="00105B58"/>
    <w:rsid w:val="00106486"/>
    <w:rsid w:val="00107A10"/>
    <w:rsid w:val="001102FE"/>
    <w:rsid w:val="001103B1"/>
    <w:rsid w:val="00116B0A"/>
    <w:rsid w:val="00126CE9"/>
    <w:rsid w:val="001273F5"/>
    <w:rsid w:val="00127E4E"/>
    <w:rsid w:val="00132310"/>
    <w:rsid w:val="001336C4"/>
    <w:rsid w:val="00143583"/>
    <w:rsid w:val="0014790D"/>
    <w:rsid w:val="00147F8D"/>
    <w:rsid w:val="001511E5"/>
    <w:rsid w:val="001519A0"/>
    <w:rsid w:val="0015234B"/>
    <w:rsid w:val="00153C49"/>
    <w:rsid w:val="00157D81"/>
    <w:rsid w:val="00160A70"/>
    <w:rsid w:val="00162EF6"/>
    <w:rsid w:val="0016603A"/>
    <w:rsid w:val="00176496"/>
    <w:rsid w:val="001806C1"/>
    <w:rsid w:val="00182B9E"/>
    <w:rsid w:val="00182C30"/>
    <w:rsid w:val="001835A6"/>
    <w:rsid w:val="001838E3"/>
    <w:rsid w:val="00183D20"/>
    <w:rsid w:val="00184302"/>
    <w:rsid w:val="00185803"/>
    <w:rsid w:val="00186C58"/>
    <w:rsid w:val="00187EBF"/>
    <w:rsid w:val="001915CD"/>
    <w:rsid w:val="00191B3C"/>
    <w:rsid w:val="00192580"/>
    <w:rsid w:val="001933B0"/>
    <w:rsid w:val="0019445F"/>
    <w:rsid w:val="00194F34"/>
    <w:rsid w:val="001A09E9"/>
    <w:rsid w:val="001A101D"/>
    <w:rsid w:val="001A1813"/>
    <w:rsid w:val="001A383E"/>
    <w:rsid w:val="001B0F60"/>
    <w:rsid w:val="001B4738"/>
    <w:rsid w:val="001B608E"/>
    <w:rsid w:val="001C016D"/>
    <w:rsid w:val="001C3CB3"/>
    <w:rsid w:val="001D1A48"/>
    <w:rsid w:val="001D2467"/>
    <w:rsid w:val="001D2A8F"/>
    <w:rsid w:val="001D31D8"/>
    <w:rsid w:val="001D4B54"/>
    <w:rsid w:val="001D6B1E"/>
    <w:rsid w:val="001E2398"/>
    <w:rsid w:val="001E2AC6"/>
    <w:rsid w:val="001E3B8F"/>
    <w:rsid w:val="001E7F6F"/>
    <w:rsid w:val="00201849"/>
    <w:rsid w:val="002035A0"/>
    <w:rsid w:val="0021555C"/>
    <w:rsid w:val="00215E71"/>
    <w:rsid w:val="00216CEC"/>
    <w:rsid w:val="002236BD"/>
    <w:rsid w:val="002239EC"/>
    <w:rsid w:val="00224632"/>
    <w:rsid w:val="00225377"/>
    <w:rsid w:val="0022553A"/>
    <w:rsid w:val="0022728C"/>
    <w:rsid w:val="00231B02"/>
    <w:rsid w:val="00233249"/>
    <w:rsid w:val="002332F9"/>
    <w:rsid w:val="00240CD9"/>
    <w:rsid w:val="002415E2"/>
    <w:rsid w:val="00242EB7"/>
    <w:rsid w:val="00244A27"/>
    <w:rsid w:val="0024597B"/>
    <w:rsid w:val="00247681"/>
    <w:rsid w:val="00250B08"/>
    <w:rsid w:val="00251DF6"/>
    <w:rsid w:val="0025455F"/>
    <w:rsid w:val="00254C8B"/>
    <w:rsid w:val="00255124"/>
    <w:rsid w:val="00257CEE"/>
    <w:rsid w:val="002600B5"/>
    <w:rsid w:val="00261C47"/>
    <w:rsid w:val="002652D0"/>
    <w:rsid w:val="0026605C"/>
    <w:rsid w:val="0026728B"/>
    <w:rsid w:val="00274A59"/>
    <w:rsid w:val="00276179"/>
    <w:rsid w:val="00283340"/>
    <w:rsid w:val="0028568D"/>
    <w:rsid w:val="00294269"/>
    <w:rsid w:val="00295696"/>
    <w:rsid w:val="00296C50"/>
    <w:rsid w:val="002A1460"/>
    <w:rsid w:val="002A3C31"/>
    <w:rsid w:val="002A52F3"/>
    <w:rsid w:val="002B1750"/>
    <w:rsid w:val="002B2D1E"/>
    <w:rsid w:val="002B5EC9"/>
    <w:rsid w:val="002B6887"/>
    <w:rsid w:val="002D0D4D"/>
    <w:rsid w:val="002D24F9"/>
    <w:rsid w:val="002E14A5"/>
    <w:rsid w:val="002E5968"/>
    <w:rsid w:val="002F0EA7"/>
    <w:rsid w:val="002F2FE8"/>
    <w:rsid w:val="002F33E9"/>
    <w:rsid w:val="002F3476"/>
    <w:rsid w:val="002F3C33"/>
    <w:rsid w:val="00300B8A"/>
    <w:rsid w:val="003063E1"/>
    <w:rsid w:val="003072B1"/>
    <w:rsid w:val="00307651"/>
    <w:rsid w:val="0031111A"/>
    <w:rsid w:val="00314688"/>
    <w:rsid w:val="003152A5"/>
    <w:rsid w:val="003164F4"/>
    <w:rsid w:val="00316827"/>
    <w:rsid w:val="00322553"/>
    <w:rsid w:val="003251CE"/>
    <w:rsid w:val="0032526B"/>
    <w:rsid w:val="00326955"/>
    <w:rsid w:val="00330784"/>
    <w:rsid w:val="003346F0"/>
    <w:rsid w:val="0033582C"/>
    <w:rsid w:val="003403A8"/>
    <w:rsid w:val="003426E4"/>
    <w:rsid w:val="00345848"/>
    <w:rsid w:val="00355E71"/>
    <w:rsid w:val="00356154"/>
    <w:rsid w:val="00362579"/>
    <w:rsid w:val="0036383D"/>
    <w:rsid w:val="00365B36"/>
    <w:rsid w:val="00373661"/>
    <w:rsid w:val="00374774"/>
    <w:rsid w:val="00375D55"/>
    <w:rsid w:val="003770B0"/>
    <w:rsid w:val="003805D7"/>
    <w:rsid w:val="00381972"/>
    <w:rsid w:val="00381C03"/>
    <w:rsid w:val="00382EA7"/>
    <w:rsid w:val="00383234"/>
    <w:rsid w:val="00386C75"/>
    <w:rsid w:val="00392806"/>
    <w:rsid w:val="00393D15"/>
    <w:rsid w:val="003A6061"/>
    <w:rsid w:val="003A60F7"/>
    <w:rsid w:val="003A65A2"/>
    <w:rsid w:val="003A7CFA"/>
    <w:rsid w:val="003B1AF7"/>
    <w:rsid w:val="003B488C"/>
    <w:rsid w:val="003B67F4"/>
    <w:rsid w:val="003C268E"/>
    <w:rsid w:val="003C57D9"/>
    <w:rsid w:val="003C6DC9"/>
    <w:rsid w:val="003D1F78"/>
    <w:rsid w:val="003D2072"/>
    <w:rsid w:val="003D2847"/>
    <w:rsid w:val="003D3887"/>
    <w:rsid w:val="003D4791"/>
    <w:rsid w:val="003F3FB7"/>
    <w:rsid w:val="003F577E"/>
    <w:rsid w:val="003F71E9"/>
    <w:rsid w:val="00400562"/>
    <w:rsid w:val="00405661"/>
    <w:rsid w:val="00407E83"/>
    <w:rsid w:val="004106B8"/>
    <w:rsid w:val="00413DE1"/>
    <w:rsid w:val="0041550A"/>
    <w:rsid w:val="00417187"/>
    <w:rsid w:val="004211BF"/>
    <w:rsid w:val="00427D5A"/>
    <w:rsid w:val="00430D88"/>
    <w:rsid w:val="004326ED"/>
    <w:rsid w:val="0043356B"/>
    <w:rsid w:val="0043568B"/>
    <w:rsid w:val="004359FB"/>
    <w:rsid w:val="004417E5"/>
    <w:rsid w:val="00442812"/>
    <w:rsid w:val="00444121"/>
    <w:rsid w:val="00445EEA"/>
    <w:rsid w:val="00447093"/>
    <w:rsid w:val="00454B04"/>
    <w:rsid w:val="00460805"/>
    <w:rsid w:val="0046156E"/>
    <w:rsid w:val="00464EBC"/>
    <w:rsid w:val="00466288"/>
    <w:rsid w:val="00466F84"/>
    <w:rsid w:val="00472274"/>
    <w:rsid w:val="00481ECE"/>
    <w:rsid w:val="00483A5D"/>
    <w:rsid w:val="00485817"/>
    <w:rsid w:val="00485EF4"/>
    <w:rsid w:val="00487D88"/>
    <w:rsid w:val="0049152B"/>
    <w:rsid w:val="00491FF1"/>
    <w:rsid w:val="00492066"/>
    <w:rsid w:val="004925DC"/>
    <w:rsid w:val="00492FCE"/>
    <w:rsid w:val="00493061"/>
    <w:rsid w:val="004959A5"/>
    <w:rsid w:val="004A5D8E"/>
    <w:rsid w:val="004A73B7"/>
    <w:rsid w:val="004B4225"/>
    <w:rsid w:val="004B77BF"/>
    <w:rsid w:val="004C1C0E"/>
    <w:rsid w:val="004C440C"/>
    <w:rsid w:val="004C44B0"/>
    <w:rsid w:val="004C58E8"/>
    <w:rsid w:val="004C6FF2"/>
    <w:rsid w:val="004D11AD"/>
    <w:rsid w:val="004D1221"/>
    <w:rsid w:val="004D2DE1"/>
    <w:rsid w:val="004D50EA"/>
    <w:rsid w:val="004D530A"/>
    <w:rsid w:val="004D64B7"/>
    <w:rsid w:val="004F31F0"/>
    <w:rsid w:val="004F6CC2"/>
    <w:rsid w:val="004F7D48"/>
    <w:rsid w:val="005039C8"/>
    <w:rsid w:val="0050538F"/>
    <w:rsid w:val="00507DF1"/>
    <w:rsid w:val="005127B2"/>
    <w:rsid w:val="005137E4"/>
    <w:rsid w:val="00517064"/>
    <w:rsid w:val="00522E90"/>
    <w:rsid w:val="00525C32"/>
    <w:rsid w:val="00530FB7"/>
    <w:rsid w:val="00531B37"/>
    <w:rsid w:val="00533228"/>
    <w:rsid w:val="00534963"/>
    <w:rsid w:val="00535A84"/>
    <w:rsid w:val="00536E91"/>
    <w:rsid w:val="005405C6"/>
    <w:rsid w:val="00540649"/>
    <w:rsid w:val="00542A7E"/>
    <w:rsid w:val="00552E23"/>
    <w:rsid w:val="00554256"/>
    <w:rsid w:val="0055680C"/>
    <w:rsid w:val="005571DC"/>
    <w:rsid w:val="00564161"/>
    <w:rsid w:val="005665B6"/>
    <w:rsid w:val="0057067F"/>
    <w:rsid w:val="00573ACA"/>
    <w:rsid w:val="00573BE1"/>
    <w:rsid w:val="00574BE1"/>
    <w:rsid w:val="005759DC"/>
    <w:rsid w:val="0058100E"/>
    <w:rsid w:val="00582298"/>
    <w:rsid w:val="005864C9"/>
    <w:rsid w:val="00587D67"/>
    <w:rsid w:val="00590C97"/>
    <w:rsid w:val="00594137"/>
    <w:rsid w:val="005A06D1"/>
    <w:rsid w:val="005A6902"/>
    <w:rsid w:val="005A718E"/>
    <w:rsid w:val="005A7E33"/>
    <w:rsid w:val="005B33C7"/>
    <w:rsid w:val="005B6AA9"/>
    <w:rsid w:val="005B6DD3"/>
    <w:rsid w:val="005C03D7"/>
    <w:rsid w:val="005C0BA3"/>
    <w:rsid w:val="005C1609"/>
    <w:rsid w:val="005C35C7"/>
    <w:rsid w:val="005C3BF2"/>
    <w:rsid w:val="005C5842"/>
    <w:rsid w:val="005C6588"/>
    <w:rsid w:val="005D11D3"/>
    <w:rsid w:val="005D3DB8"/>
    <w:rsid w:val="005D467A"/>
    <w:rsid w:val="005D63EA"/>
    <w:rsid w:val="005E0A86"/>
    <w:rsid w:val="005E2BEE"/>
    <w:rsid w:val="005E35CC"/>
    <w:rsid w:val="005E42CA"/>
    <w:rsid w:val="005E45DD"/>
    <w:rsid w:val="005E491E"/>
    <w:rsid w:val="005E64B3"/>
    <w:rsid w:val="005E78D7"/>
    <w:rsid w:val="005F098A"/>
    <w:rsid w:val="005F2B1B"/>
    <w:rsid w:val="005F35F6"/>
    <w:rsid w:val="005F5079"/>
    <w:rsid w:val="005F50CE"/>
    <w:rsid w:val="005F64EA"/>
    <w:rsid w:val="00600CB5"/>
    <w:rsid w:val="00600DA0"/>
    <w:rsid w:val="006058F7"/>
    <w:rsid w:val="00606318"/>
    <w:rsid w:val="0060693A"/>
    <w:rsid w:val="00606DD8"/>
    <w:rsid w:val="0061031B"/>
    <w:rsid w:val="006105BA"/>
    <w:rsid w:val="00620F4E"/>
    <w:rsid w:val="00622650"/>
    <w:rsid w:val="00622F25"/>
    <w:rsid w:val="00630AB5"/>
    <w:rsid w:val="0063143C"/>
    <w:rsid w:val="006417A0"/>
    <w:rsid w:val="00642419"/>
    <w:rsid w:val="00642704"/>
    <w:rsid w:val="00651AAA"/>
    <w:rsid w:val="00652FE7"/>
    <w:rsid w:val="006541AB"/>
    <w:rsid w:val="006574A8"/>
    <w:rsid w:val="00662F66"/>
    <w:rsid w:val="00664154"/>
    <w:rsid w:val="006643D4"/>
    <w:rsid w:val="006656B2"/>
    <w:rsid w:val="0067047B"/>
    <w:rsid w:val="006730E9"/>
    <w:rsid w:val="00673247"/>
    <w:rsid w:val="00674DB1"/>
    <w:rsid w:val="00684479"/>
    <w:rsid w:val="006920B1"/>
    <w:rsid w:val="00695B6F"/>
    <w:rsid w:val="006A121A"/>
    <w:rsid w:val="006A16F9"/>
    <w:rsid w:val="006A5489"/>
    <w:rsid w:val="006B1215"/>
    <w:rsid w:val="006C0915"/>
    <w:rsid w:val="006C187E"/>
    <w:rsid w:val="006C5632"/>
    <w:rsid w:val="006D0E93"/>
    <w:rsid w:val="006D2913"/>
    <w:rsid w:val="006D458C"/>
    <w:rsid w:val="006E6154"/>
    <w:rsid w:val="006E6521"/>
    <w:rsid w:val="006F1B33"/>
    <w:rsid w:val="006F5AE2"/>
    <w:rsid w:val="006F7764"/>
    <w:rsid w:val="00700EA1"/>
    <w:rsid w:val="00701B83"/>
    <w:rsid w:val="0070446C"/>
    <w:rsid w:val="007066B1"/>
    <w:rsid w:val="00707451"/>
    <w:rsid w:val="00710240"/>
    <w:rsid w:val="00710A45"/>
    <w:rsid w:val="00712087"/>
    <w:rsid w:val="00716F59"/>
    <w:rsid w:val="0072091F"/>
    <w:rsid w:val="00721447"/>
    <w:rsid w:val="00725BBB"/>
    <w:rsid w:val="00727EBF"/>
    <w:rsid w:val="00730989"/>
    <w:rsid w:val="00733B08"/>
    <w:rsid w:val="00734E25"/>
    <w:rsid w:val="00740B0B"/>
    <w:rsid w:val="00742A3A"/>
    <w:rsid w:val="00742AEA"/>
    <w:rsid w:val="00743F4E"/>
    <w:rsid w:val="00744B2F"/>
    <w:rsid w:val="00745A78"/>
    <w:rsid w:val="0074604F"/>
    <w:rsid w:val="00746222"/>
    <w:rsid w:val="00746869"/>
    <w:rsid w:val="00747248"/>
    <w:rsid w:val="00752D4F"/>
    <w:rsid w:val="007553B2"/>
    <w:rsid w:val="00755CB4"/>
    <w:rsid w:val="00756574"/>
    <w:rsid w:val="00764A0A"/>
    <w:rsid w:val="00764F65"/>
    <w:rsid w:val="0076694F"/>
    <w:rsid w:val="00772116"/>
    <w:rsid w:val="00783313"/>
    <w:rsid w:val="007846B9"/>
    <w:rsid w:val="00785D73"/>
    <w:rsid w:val="00787B23"/>
    <w:rsid w:val="00787B59"/>
    <w:rsid w:val="007925BE"/>
    <w:rsid w:val="007939AC"/>
    <w:rsid w:val="00794C9B"/>
    <w:rsid w:val="00795C3B"/>
    <w:rsid w:val="007A0B64"/>
    <w:rsid w:val="007A14BD"/>
    <w:rsid w:val="007A2FB3"/>
    <w:rsid w:val="007A2FBB"/>
    <w:rsid w:val="007A3457"/>
    <w:rsid w:val="007A43BA"/>
    <w:rsid w:val="007A7C63"/>
    <w:rsid w:val="007C276E"/>
    <w:rsid w:val="007D2D7F"/>
    <w:rsid w:val="007D37E1"/>
    <w:rsid w:val="007D575D"/>
    <w:rsid w:val="007E30CF"/>
    <w:rsid w:val="007E645B"/>
    <w:rsid w:val="007E6E8A"/>
    <w:rsid w:val="007F4C16"/>
    <w:rsid w:val="007F6CC2"/>
    <w:rsid w:val="0080001A"/>
    <w:rsid w:val="008107AA"/>
    <w:rsid w:val="00811886"/>
    <w:rsid w:val="00813860"/>
    <w:rsid w:val="00826033"/>
    <w:rsid w:val="0082609F"/>
    <w:rsid w:val="008427A4"/>
    <w:rsid w:val="00846768"/>
    <w:rsid w:val="008536A1"/>
    <w:rsid w:val="00853946"/>
    <w:rsid w:val="00854B42"/>
    <w:rsid w:val="008644CD"/>
    <w:rsid w:val="00872C9B"/>
    <w:rsid w:val="008751E9"/>
    <w:rsid w:val="00875A2E"/>
    <w:rsid w:val="00876938"/>
    <w:rsid w:val="00877D93"/>
    <w:rsid w:val="00883BD0"/>
    <w:rsid w:val="0088505B"/>
    <w:rsid w:val="00885857"/>
    <w:rsid w:val="008906FA"/>
    <w:rsid w:val="0089071F"/>
    <w:rsid w:val="0089208E"/>
    <w:rsid w:val="008945A6"/>
    <w:rsid w:val="0089799F"/>
    <w:rsid w:val="008A1D3B"/>
    <w:rsid w:val="008A46BE"/>
    <w:rsid w:val="008A7AA4"/>
    <w:rsid w:val="008B2497"/>
    <w:rsid w:val="008B34CD"/>
    <w:rsid w:val="008B3C1A"/>
    <w:rsid w:val="008B3F5D"/>
    <w:rsid w:val="008B45E3"/>
    <w:rsid w:val="008B4DA7"/>
    <w:rsid w:val="008B57BF"/>
    <w:rsid w:val="008B6EAB"/>
    <w:rsid w:val="008B7B6A"/>
    <w:rsid w:val="008C1BC5"/>
    <w:rsid w:val="008C4136"/>
    <w:rsid w:val="008D18D4"/>
    <w:rsid w:val="008D75C4"/>
    <w:rsid w:val="008E0234"/>
    <w:rsid w:val="008E1396"/>
    <w:rsid w:val="008E7A9B"/>
    <w:rsid w:val="008F0659"/>
    <w:rsid w:val="008F734D"/>
    <w:rsid w:val="008F7CF8"/>
    <w:rsid w:val="00900521"/>
    <w:rsid w:val="009059E5"/>
    <w:rsid w:val="00906A74"/>
    <w:rsid w:val="00910411"/>
    <w:rsid w:val="00912D41"/>
    <w:rsid w:val="009150CB"/>
    <w:rsid w:val="00923097"/>
    <w:rsid w:val="009264EA"/>
    <w:rsid w:val="00932299"/>
    <w:rsid w:val="009422AD"/>
    <w:rsid w:val="009439AB"/>
    <w:rsid w:val="009446BB"/>
    <w:rsid w:val="009520CB"/>
    <w:rsid w:val="009578C3"/>
    <w:rsid w:val="00960FDC"/>
    <w:rsid w:val="0096430B"/>
    <w:rsid w:val="00966230"/>
    <w:rsid w:val="00967391"/>
    <w:rsid w:val="00972EC8"/>
    <w:rsid w:val="00973F0D"/>
    <w:rsid w:val="00975443"/>
    <w:rsid w:val="00976A6C"/>
    <w:rsid w:val="00976F72"/>
    <w:rsid w:val="00986498"/>
    <w:rsid w:val="00987DB3"/>
    <w:rsid w:val="0099196D"/>
    <w:rsid w:val="00995265"/>
    <w:rsid w:val="00996180"/>
    <w:rsid w:val="009A05AF"/>
    <w:rsid w:val="009A553D"/>
    <w:rsid w:val="009A661A"/>
    <w:rsid w:val="009A7A78"/>
    <w:rsid w:val="009C2358"/>
    <w:rsid w:val="009C2BDA"/>
    <w:rsid w:val="009C40F9"/>
    <w:rsid w:val="009C4BC1"/>
    <w:rsid w:val="009C683E"/>
    <w:rsid w:val="009D3504"/>
    <w:rsid w:val="009D3D70"/>
    <w:rsid w:val="009D5088"/>
    <w:rsid w:val="009E257B"/>
    <w:rsid w:val="009E40DE"/>
    <w:rsid w:val="009E5213"/>
    <w:rsid w:val="009E6412"/>
    <w:rsid w:val="009F238B"/>
    <w:rsid w:val="009F6406"/>
    <w:rsid w:val="009F71DF"/>
    <w:rsid w:val="00A02762"/>
    <w:rsid w:val="00A03B3A"/>
    <w:rsid w:val="00A047A6"/>
    <w:rsid w:val="00A10C00"/>
    <w:rsid w:val="00A11590"/>
    <w:rsid w:val="00A12E9F"/>
    <w:rsid w:val="00A20D6B"/>
    <w:rsid w:val="00A2169A"/>
    <w:rsid w:val="00A22563"/>
    <w:rsid w:val="00A22ECA"/>
    <w:rsid w:val="00A23CDA"/>
    <w:rsid w:val="00A2523F"/>
    <w:rsid w:val="00A31951"/>
    <w:rsid w:val="00A32948"/>
    <w:rsid w:val="00A32A9A"/>
    <w:rsid w:val="00A33303"/>
    <w:rsid w:val="00A4002C"/>
    <w:rsid w:val="00A41EFA"/>
    <w:rsid w:val="00A46D76"/>
    <w:rsid w:val="00A52AD8"/>
    <w:rsid w:val="00A52CD3"/>
    <w:rsid w:val="00A559A0"/>
    <w:rsid w:val="00A7419F"/>
    <w:rsid w:val="00A745F2"/>
    <w:rsid w:val="00A74827"/>
    <w:rsid w:val="00A81ED8"/>
    <w:rsid w:val="00A8558C"/>
    <w:rsid w:val="00A87A67"/>
    <w:rsid w:val="00A92C0E"/>
    <w:rsid w:val="00A9344A"/>
    <w:rsid w:val="00AA147D"/>
    <w:rsid w:val="00AA1E71"/>
    <w:rsid w:val="00AA2040"/>
    <w:rsid w:val="00AA47AA"/>
    <w:rsid w:val="00AA7051"/>
    <w:rsid w:val="00AA70EC"/>
    <w:rsid w:val="00AB66C6"/>
    <w:rsid w:val="00AB6F52"/>
    <w:rsid w:val="00AC0729"/>
    <w:rsid w:val="00AC1DF6"/>
    <w:rsid w:val="00AC3FE5"/>
    <w:rsid w:val="00AC5679"/>
    <w:rsid w:val="00AC5CAD"/>
    <w:rsid w:val="00AC7C3A"/>
    <w:rsid w:val="00AD10EE"/>
    <w:rsid w:val="00AD22D7"/>
    <w:rsid w:val="00AD708E"/>
    <w:rsid w:val="00AD7307"/>
    <w:rsid w:val="00AE1849"/>
    <w:rsid w:val="00AE1EA2"/>
    <w:rsid w:val="00AE3793"/>
    <w:rsid w:val="00AE3FF0"/>
    <w:rsid w:val="00AE425E"/>
    <w:rsid w:val="00AE5C40"/>
    <w:rsid w:val="00AE6379"/>
    <w:rsid w:val="00AF1C00"/>
    <w:rsid w:val="00AF4A6A"/>
    <w:rsid w:val="00AF5BC7"/>
    <w:rsid w:val="00B01533"/>
    <w:rsid w:val="00B03E3C"/>
    <w:rsid w:val="00B04F98"/>
    <w:rsid w:val="00B10AF5"/>
    <w:rsid w:val="00B15B9C"/>
    <w:rsid w:val="00B21053"/>
    <w:rsid w:val="00B2226F"/>
    <w:rsid w:val="00B23E4E"/>
    <w:rsid w:val="00B25A91"/>
    <w:rsid w:val="00B3039D"/>
    <w:rsid w:val="00B3281E"/>
    <w:rsid w:val="00B350AC"/>
    <w:rsid w:val="00B36555"/>
    <w:rsid w:val="00B36EA4"/>
    <w:rsid w:val="00B40783"/>
    <w:rsid w:val="00B41C9C"/>
    <w:rsid w:val="00B43756"/>
    <w:rsid w:val="00B456BC"/>
    <w:rsid w:val="00B46453"/>
    <w:rsid w:val="00B47518"/>
    <w:rsid w:val="00B50B5D"/>
    <w:rsid w:val="00B52C11"/>
    <w:rsid w:val="00B53DC4"/>
    <w:rsid w:val="00B54A69"/>
    <w:rsid w:val="00B54CF3"/>
    <w:rsid w:val="00B55E7A"/>
    <w:rsid w:val="00B619B5"/>
    <w:rsid w:val="00B6212E"/>
    <w:rsid w:val="00B62752"/>
    <w:rsid w:val="00B635E3"/>
    <w:rsid w:val="00B7692B"/>
    <w:rsid w:val="00B76F8F"/>
    <w:rsid w:val="00B80306"/>
    <w:rsid w:val="00B86CDB"/>
    <w:rsid w:val="00BA34ED"/>
    <w:rsid w:val="00BA5AC1"/>
    <w:rsid w:val="00BA63AB"/>
    <w:rsid w:val="00BA7E85"/>
    <w:rsid w:val="00BB5A2C"/>
    <w:rsid w:val="00BB6717"/>
    <w:rsid w:val="00BC10D7"/>
    <w:rsid w:val="00BC74D0"/>
    <w:rsid w:val="00BC7DD8"/>
    <w:rsid w:val="00BD0AA5"/>
    <w:rsid w:val="00BD0C91"/>
    <w:rsid w:val="00BD5099"/>
    <w:rsid w:val="00BD5F51"/>
    <w:rsid w:val="00BD716A"/>
    <w:rsid w:val="00BE55CC"/>
    <w:rsid w:val="00BF18BE"/>
    <w:rsid w:val="00BF32F6"/>
    <w:rsid w:val="00BF407A"/>
    <w:rsid w:val="00BF67EB"/>
    <w:rsid w:val="00BF6C67"/>
    <w:rsid w:val="00C002B1"/>
    <w:rsid w:val="00C01174"/>
    <w:rsid w:val="00C017DA"/>
    <w:rsid w:val="00C021F9"/>
    <w:rsid w:val="00C02333"/>
    <w:rsid w:val="00C044FC"/>
    <w:rsid w:val="00C05E58"/>
    <w:rsid w:val="00C05EBE"/>
    <w:rsid w:val="00C10B25"/>
    <w:rsid w:val="00C10DB2"/>
    <w:rsid w:val="00C13C08"/>
    <w:rsid w:val="00C16AE4"/>
    <w:rsid w:val="00C17B0C"/>
    <w:rsid w:val="00C200FA"/>
    <w:rsid w:val="00C2215E"/>
    <w:rsid w:val="00C2475F"/>
    <w:rsid w:val="00C24A9E"/>
    <w:rsid w:val="00C26D5D"/>
    <w:rsid w:val="00C34636"/>
    <w:rsid w:val="00C42833"/>
    <w:rsid w:val="00C4472E"/>
    <w:rsid w:val="00C461A4"/>
    <w:rsid w:val="00C46619"/>
    <w:rsid w:val="00C513C3"/>
    <w:rsid w:val="00C531B6"/>
    <w:rsid w:val="00C55FE5"/>
    <w:rsid w:val="00C6106B"/>
    <w:rsid w:val="00C62EEB"/>
    <w:rsid w:val="00C63BB9"/>
    <w:rsid w:val="00C67635"/>
    <w:rsid w:val="00C710CA"/>
    <w:rsid w:val="00C724C6"/>
    <w:rsid w:val="00C72D87"/>
    <w:rsid w:val="00C7477E"/>
    <w:rsid w:val="00C74D01"/>
    <w:rsid w:val="00C82EF8"/>
    <w:rsid w:val="00C85817"/>
    <w:rsid w:val="00C90742"/>
    <w:rsid w:val="00C93975"/>
    <w:rsid w:val="00C948C3"/>
    <w:rsid w:val="00C94DDB"/>
    <w:rsid w:val="00CA245D"/>
    <w:rsid w:val="00CA2EB4"/>
    <w:rsid w:val="00CA438D"/>
    <w:rsid w:val="00CA461A"/>
    <w:rsid w:val="00CA47A5"/>
    <w:rsid w:val="00CA5FF5"/>
    <w:rsid w:val="00CA61D7"/>
    <w:rsid w:val="00CB2A2C"/>
    <w:rsid w:val="00CB2D43"/>
    <w:rsid w:val="00CC00BA"/>
    <w:rsid w:val="00CC2901"/>
    <w:rsid w:val="00CD1AAC"/>
    <w:rsid w:val="00CD23EA"/>
    <w:rsid w:val="00CD5061"/>
    <w:rsid w:val="00CE6C0F"/>
    <w:rsid w:val="00CE75B4"/>
    <w:rsid w:val="00CF1280"/>
    <w:rsid w:val="00CF15A8"/>
    <w:rsid w:val="00CF2694"/>
    <w:rsid w:val="00CF32DF"/>
    <w:rsid w:val="00CF4B6B"/>
    <w:rsid w:val="00D0745C"/>
    <w:rsid w:val="00D106AC"/>
    <w:rsid w:val="00D1532D"/>
    <w:rsid w:val="00D15C5E"/>
    <w:rsid w:val="00D15EA7"/>
    <w:rsid w:val="00D202F5"/>
    <w:rsid w:val="00D21A83"/>
    <w:rsid w:val="00D404AC"/>
    <w:rsid w:val="00D405F3"/>
    <w:rsid w:val="00D47ADE"/>
    <w:rsid w:val="00D55C38"/>
    <w:rsid w:val="00D5720F"/>
    <w:rsid w:val="00D6418B"/>
    <w:rsid w:val="00D6664D"/>
    <w:rsid w:val="00D6790B"/>
    <w:rsid w:val="00D73A49"/>
    <w:rsid w:val="00D73FF1"/>
    <w:rsid w:val="00D74BEA"/>
    <w:rsid w:val="00D74CF7"/>
    <w:rsid w:val="00D846B2"/>
    <w:rsid w:val="00D91580"/>
    <w:rsid w:val="00D95341"/>
    <w:rsid w:val="00DA14F9"/>
    <w:rsid w:val="00DA1A1B"/>
    <w:rsid w:val="00DA23D2"/>
    <w:rsid w:val="00DA41C0"/>
    <w:rsid w:val="00DA4323"/>
    <w:rsid w:val="00DA7F1C"/>
    <w:rsid w:val="00DB0D43"/>
    <w:rsid w:val="00DC26DD"/>
    <w:rsid w:val="00DD31E4"/>
    <w:rsid w:val="00DE048F"/>
    <w:rsid w:val="00DE1A80"/>
    <w:rsid w:val="00DE1C4F"/>
    <w:rsid w:val="00DF26E2"/>
    <w:rsid w:val="00DF51AF"/>
    <w:rsid w:val="00DF6A29"/>
    <w:rsid w:val="00E0216E"/>
    <w:rsid w:val="00E132E7"/>
    <w:rsid w:val="00E136E6"/>
    <w:rsid w:val="00E14B7E"/>
    <w:rsid w:val="00E200AB"/>
    <w:rsid w:val="00E20F0D"/>
    <w:rsid w:val="00E22E8A"/>
    <w:rsid w:val="00E31C50"/>
    <w:rsid w:val="00E32634"/>
    <w:rsid w:val="00E32850"/>
    <w:rsid w:val="00E35C6C"/>
    <w:rsid w:val="00E426FF"/>
    <w:rsid w:val="00E42876"/>
    <w:rsid w:val="00E478A7"/>
    <w:rsid w:val="00E53CB0"/>
    <w:rsid w:val="00E571D6"/>
    <w:rsid w:val="00E60CF1"/>
    <w:rsid w:val="00E61282"/>
    <w:rsid w:val="00E71F00"/>
    <w:rsid w:val="00E728BF"/>
    <w:rsid w:val="00E73F96"/>
    <w:rsid w:val="00E754EA"/>
    <w:rsid w:val="00E77955"/>
    <w:rsid w:val="00E77FCC"/>
    <w:rsid w:val="00E82110"/>
    <w:rsid w:val="00E85EF8"/>
    <w:rsid w:val="00E875B7"/>
    <w:rsid w:val="00E87BC2"/>
    <w:rsid w:val="00E87D5F"/>
    <w:rsid w:val="00E92AB8"/>
    <w:rsid w:val="00E93790"/>
    <w:rsid w:val="00EA2956"/>
    <w:rsid w:val="00EA3AFC"/>
    <w:rsid w:val="00EA4210"/>
    <w:rsid w:val="00EA47A2"/>
    <w:rsid w:val="00EA49C9"/>
    <w:rsid w:val="00EA5734"/>
    <w:rsid w:val="00EA57B5"/>
    <w:rsid w:val="00EA5A75"/>
    <w:rsid w:val="00EB7AF0"/>
    <w:rsid w:val="00EC6FC4"/>
    <w:rsid w:val="00ED0662"/>
    <w:rsid w:val="00ED2CE1"/>
    <w:rsid w:val="00EE21A6"/>
    <w:rsid w:val="00EE2614"/>
    <w:rsid w:val="00EE27D5"/>
    <w:rsid w:val="00EE7773"/>
    <w:rsid w:val="00EF03B4"/>
    <w:rsid w:val="00EF12FD"/>
    <w:rsid w:val="00EF1C2E"/>
    <w:rsid w:val="00EF296D"/>
    <w:rsid w:val="00EF4054"/>
    <w:rsid w:val="00EF7A56"/>
    <w:rsid w:val="00F0011E"/>
    <w:rsid w:val="00F0074E"/>
    <w:rsid w:val="00F0649E"/>
    <w:rsid w:val="00F06F54"/>
    <w:rsid w:val="00F10752"/>
    <w:rsid w:val="00F17DC9"/>
    <w:rsid w:val="00F211D6"/>
    <w:rsid w:val="00F21D3E"/>
    <w:rsid w:val="00F23799"/>
    <w:rsid w:val="00F23C36"/>
    <w:rsid w:val="00F26484"/>
    <w:rsid w:val="00F30EE5"/>
    <w:rsid w:val="00F36FA8"/>
    <w:rsid w:val="00F42694"/>
    <w:rsid w:val="00F45D7E"/>
    <w:rsid w:val="00F46A08"/>
    <w:rsid w:val="00F55101"/>
    <w:rsid w:val="00F55632"/>
    <w:rsid w:val="00F56086"/>
    <w:rsid w:val="00F56954"/>
    <w:rsid w:val="00F56DBE"/>
    <w:rsid w:val="00F61E84"/>
    <w:rsid w:val="00F622A9"/>
    <w:rsid w:val="00F65C37"/>
    <w:rsid w:val="00F66494"/>
    <w:rsid w:val="00F71757"/>
    <w:rsid w:val="00F73018"/>
    <w:rsid w:val="00F75692"/>
    <w:rsid w:val="00F77C26"/>
    <w:rsid w:val="00F80989"/>
    <w:rsid w:val="00F832AE"/>
    <w:rsid w:val="00F87D0D"/>
    <w:rsid w:val="00F92C0A"/>
    <w:rsid w:val="00F9399F"/>
    <w:rsid w:val="00F95D6B"/>
    <w:rsid w:val="00F969E3"/>
    <w:rsid w:val="00F9711B"/>
    <w:rsid w:val="00FA4B90"/>
    <w:rsid w:val="00FB12A1"/>
    <w:rsid w:val="00FB1EDC"/>
    <w:rsid w:val="00FB3A81"/>
    <w:rsid w:val="00FB69A0"/>
    <w:rsid w:val="00FB6F37"/>
    <w:rsid w:val="00FB757D"/>
    <w:rsid w:val="00FC30E3"/>
    <w:rsid w:val="00FC3928"/>
    <w:rsid w:val="00FC5340"/>
    <w:rsid w:val="00FC6ED2"/>
    <w:rsid w:val="00FD2067"/>
    <w:rsid w:val="00FD4E1B"/>
    <w:rsid w:val="00FD7E70"/>
    <w:rsid w:val="00FE03C9"/>
    <w:rsid w:val="00FE0B0D"/>
    <w:rsid w:val="00FE1709"/>
    <w:rsid w:val="00FE34F0"/>
    <w:rsid w:val="00FE4146"/>
    <w:rsid w:val="00FE7A6A"/>
    <w:rsid w:val="00FF0A30"/>
    <w:rsid w:val="00FF11D6"/>
    <w:rsid w:val="00FF3972"/>
    <w:rsid w:val="00FF3A0A"/>
    <w:rsid w:val="00FF438E"/>
    <w:rsid w:val="00FF5259"/>
    <w:rsid w:val="00FF6351"/>
    <w:rsid w:val="00FF7B6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193E2"/>
  <w15:docId w15:val="{B760CB19-A207-475D-8DC8-1B0D8979F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AC6"/>
    <w:pPr>
      <w:spacing w:line="259" w:lineRule="auto"/>
      <w:jc w:val="both"/>
    </w:pPr>
    <w:rPr>
      <w:rFonts w:ascii="Arial" w:eastAsiaTheme="minorHAnsi" w:hAnsi="Arial"/>
      <w:szCs w:val="22"/>
      <w:lang w:val="fr-CI" w:eastAsia="en-US"/>
    </w:rPr>
  </w:style>
  <w:style w:type="paragraph" w:styleId="Titre1">
    <w:name w:val="heading 1"/>
    <w:basedOn w:val="Normal"/>
    <w:next w:val="Normal"/>
    <w:link w:val="Titre1Car"/>
    <w:autoRedefine/>
    <w:uiPriority w:val="9"/>
    <w:qFormat/>
    <w:rsid w:val="004D11AD"/>
    <w:pPr>
      <w:keepNext/>
      <w:keepLines/>
      <w:spacing w:before="360" w:after="80"/>
      <w:jc w:val="left"/>
      <w:outlineLvl w:val="0"/>
    </w:pPr>
    <w:rPr>
      <w:rFonts w:asciiTheme="majorHAnsi" w:eastAsiaTheme="majorEastAsia" w:hAnsiTheme="majorHAnsi" w:cstheme="majorBidi"/>
      <w:b/>
      <w:color w:val="124F1A" w:themeColor="accent3" w:themeShade="BF"/>
      <w:sz w:val="36"/>
      <w:szCs w:val="36"/>
      <w:lang w:val="fr-FR"/>
    </w:rPr>
  </w:style>
  <w:style w:type="paragraph" w:styleId="Titre2">
    <w:name w:val="heading 2"/>
    <w:basedOn w:val="Normal"/>
    <w:next w:val="Normal"/>
    <w:link w:val="Titre2Car"/>
    <w:autoRedefine/>
    <w:uiPriority w:val="9"/>
    <w:unhideWhenUsed/>
    <w:qFormat/>
    <w:rsid w:val="00E32634"/>
    <w:pPr>
      <w:keepNext/>
      <w:keepLines/>
      <w:spacing w:before="160" w:after="80"/>
      <w:outlineLvl w:val="1"/>
    </w:pPr>
    <w:rPr>
      <w:rFonts w:asciiTheme="majorHAnsi" w:eastAsiaTheme="majorEastAsia" w:hAnsiTheme="majorHAnsi" w:cstheme="majorBidi"/>
      <w:b/>
      <w:color w:val="196B24" w:themeColor="accent3"/>
      <w:sz w:val="32"/>
      <w:szCs w:val="32"/>
    </w:rPr>
  </w:style>
  <w:style w:type="paragraph" w:styleId="Titre3">
    <w:name w:val="heading 3"/>
    <w:basedOn w:val="Normal"/>
    <w:next w:val="Normal"/>
    <w:link w:val="Titre3Car"/>
    <w:uiPriority w:val="9"/>
    <w:unhideWhenUsed/>
    <w:qFormat/>
    <w:rsid w:val="00C94D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94D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C94DDB"/>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C94DDB"/>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94DDB"/>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94DDB"/>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94DDB"/>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11AD"/>
    <w:rPr>
      <w:rFonts w:asciiTheme="majorHAnsi" w:eastAsiaTheme="majorEastAsia" w:hAnsiTheme="majorHAnsi" w:cstheme="majorBidi"/>
      <w:b/>
      <w:color w:val="124F1A" w:themeColor="accent3" w:themeShade="BF"/>
      <w:sz w:val="36"/>
      <w:szCs w:val="36"/>
      <w:lang w:eastAsia="en-US"/>
    </w:rPr>
  </w:style>
  <w:style w:type="character" w:customStyle="1" w:styleId="Titre2Car">
    <w:name w:val="Titre 2 Car"/>
    <w:basedOn w:val="Policepardfaut"/>
    <w:link w:val="Titre2"/>
    <w:uiPriority w:val="9"/>
    <w:rsid w:val="00E32634"/>
    <w:rPr>
      <w:rFonts w:asciiTheme="majorHAnsi" w:eastAsiaTheme="majorEastAsia" w:hAnsiTheme="majorHAnsi" w:cstheme="majorBidi"/>
      <w:b/>
      <w:color w:val="196B24" w:themeColor="accent3"/>
      <w:sz w:val="32"/>
      <w:szCs w:val="32"/>
      <w:lang w:val="fr-CI" w:eastAsia="en-US"/>
    </w:rPr>
  </w:style>
  <w:style w:type="character" w:customStyle="1" w:styleId="Titre3Car">
    <w:name w:val="Titre 3 Car"/>
    <w:basedOn w:val="Policepardfaut"/>
    <w:link w:val="Titre3"/>
    <w:uiPriority w:val="9"/>
    <w:rsid w:val="00C94DDB"/>
    <w:rPr>
      <w:rFonts w:eastAsiaTheme="majorEastAsia" w:cstheme="majorBidi"/>
      <w:color w:val="0F4761" w:themeColor="accent1" w:themeShade="BF"/>
      <w:sz w:val="28"/>
      <w:szCs w:val="28"/>
      <w:lang w:val="fr-CI" w:eastAsia="en-US"/>
    </w:rPr>
  </w:style>
  <w:style w:type="character" w:customStyle="1" w:styleId="Titre4Car">
    <w:name w:val="Titre 4 Car"/>
    <w:basedOn w:val="Policepardfaut"/>
    <w:link w:val="Titre4"/>
    <w:uiPriority w:val="9"/>
    <w:semiHidden/>
    <w:rsid w:val="00C94DDB"/>
    <w:rPr>
      <w:rFonts w:eastAsiaTheme="majorEastAsia" w:cstheme="majorBidi"/>
      <w:i/>
      <w:iCs/>
      <w:color w:val="0F4761" w:themeColor="accent1" w:themeShade="BF"/>
      <w:szCs w:val="22"/>
      <w:lang w:val="fr-CI" w:eastAsia="en-US"/>
    </w:rPr>
  </w:style>
  <w:style w:type="character" w:customStyle="1" w:styleId="Titre5Car">
    <w:name w:val="Titre 5 Car"/>
    <w:basedOn w:val="Policepardfaut"/>
    <w:link w:val="Titre5"/>
    <w:uiPriority w:val="9"/>
    <w:semiHidden/>
    <w:rsid w:val="00C94DDB"/>
    <w:rPr>
      <w:rFonts w:eastAsiaTheme="majorEastAsia" w:cstheme="majorBidi"/>
      <w:color w:val="0F4761" w:themeColor="accent1" w:themeShade="BF"/>
      <w:szCs w:val="22"/>
      <w:lang w:val="fr-CI" w:eastAsia="en-US"/>
    </w:rPr>
  </w:style>
  <w:style w:type="character" w:customStyle="1" w:styleId="Titre6Car">
    <w:name w:val="Titre 6 Car"/>
    <w:basedOn w:val="Policepardfaut"/>
    <w:link w:val="Titre6"/>
    <w:uiPriority w:val="9"/>
    <w:semiHidden/>
    <w:rsid w:val="00C94DDB"/>
    <w:rPr>
      <w:rFonts w:eastAsiaTheme="majorEastAsia" w:cstheme="majorBidi"/>
      <w:i/>
      <w:iCs/>
      <w:color w:val="595959" w:themeColor="text1" w:themeTint="A6"/>
      <w:szCs w:val="22"/>
      <w:lang w:val="fr-CI" w:eastAsia="en-US"/>
    </w:rPr>
  </w:style>
  <w:style w:type="character" w:customStyle="1" w:styleId="Titre7Car">
    <w:name w:val="Titre 7 Car"/>
    <w:basedOn w:val="Policepardfaut"/>
    <w:link w:val="Titre7"/>
    <w:uiPriority w:val="9"/>
    <w:semiHidden/>
    <w:rsid w:val="00C94DDB"/>
    <w:rPr>
      <w:rFonts w:eastAsiaTheme="majorEastAsia" w:cstheme="majorBidi"/>
      <w:color w:val="595959" w:themeColor="text1" w:themeTint="A6"/>
      <w:szCs w:val="22"/>
      <w:lang w:val="fr-CI" w:eastAsia="en-US"/>
    </w:rPr>
  </w:style>
  <w:style w:type="character" w:customStyle="1" w:styleId="Titre8Car">
    <w:name w:val="Titre 8 Car"/>
    <w:basedOn w:val="Policepardfaut"/>
    <w:link w:val="Titre8"/>
    <w:uiPriority w:val="9"/>
    <w:semiHidden/>
    <w:rsid w:val="00C94DDB"/>
    <w:rPr>
      <w:rFonts w:eastAsiaTheme="majorEastAsia" w:cstheme="majorBidi"/>
      <w:i/>
      <w:iCs/>
      <w:color w:val="272727" w:themeColor="text1" w:themeTint="D8"/>
      <w:szCs w:val="22"/>
      <w:lang w:val="fr-CI" w:eastAsia="en-US"/>
    </w:rPr>
  </w:style>
  <w:style w:type="character" w:customStyle="1" w:styleId="Titre9Car">
    <w:name w:val="Titre 9 Car"/>
    <w:basedOn w:val="Policepardfaut"/>
    <w:link w:val="Titre9"/>
    <w:uiPriority w:val="9"/>
    <w:semiHidden/>
    <w:rsid w:val="00C94DDB"/>
    <w:rPr>
      <w:rFonts w:eastAsiaTheme="majorEastAsia" w:cstheme="majorBidi"/>
      <w:color w:val="272727" w:themeColor="text1" w:themeTint="D8"/>
      <w:szCs w:val="22"/>
      <w:lang w:val="fr-CI" w:eastAsia="en-US"/>
    </w:rPr>
  </w:style>
  <w:style w:type="paragraph" w:styleId="Titre">
    <w:name w:val="Title"/>
    <w:basedOn w:val="Normal"/>
    <w:next w:val="Normal"/>
    <w:link w:val="TitreCar"/>
    <w:uiPriority w:val="10"/>
    <w:qFormat/>
    <w:rsid w:val="00C94D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4DDB"/>
    <w:rPr>
      <w:rFonts w:asciiTheme="majorHAnsi" w:eastAsiaTheme="majorEastAsia" w:hAnsiTheme="majorHAnsi" w:cstheme="majorBidi"/>
      <w:spacing w:val="-10"/>
      <w:kern w:val="28"/>
      <w:sz w:val="56"/>
      <w:szCs w:val="56"/>
      <w:lang w:val="fr-CI" w:eastAsia="en-US"/>
    </w:rPr>
  </w:style>
  <w:style w:type="paragraph" w:styleId="Sous-titre">
    <w:name w:val="Subtitle"/>
    <w:basedOn w:val="Normal"/>
    <w:next w:val="Normal"/>
    <w:link w:val="Sous-titreCar"/>
    <w:uiPriority w:val="11"/>
    <w:qFormat/>
    <w:rsid w:val="00C94DD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94DDB"/>
    <w:rPr>
      <w:rFonts w:eastAsiaTheme="majorEastAsia" w:cstheme="majorBidi"/>
      <w:color w:val="595959" w:themeColor="text1" w:themeTint="A6"/>
      <w:spacing w:val="15"/>
      <w:sz w:val="28"/>
      <w:szCs w:val="28"/>
      <w:lang w:val="fr-CI" w:eastAsia="en-US"/>
    </w:rPr>
  </w:style>
  <w:style w:type="paragraph" w:styleId="Citation">
    <w:name w:val="Quote"/>
    <w:basedOn w:val="Normal"/>
    <w:next w:val="Normal"/>
    <w:link w:val="CitationCar"/>
    <w:uiPriority w:val="29"/>
    <w:qFormat/>
    <w:rsid w:val="00C94DDB"/>
    <w:pPr>
      <w:spacing w:before="160"/>
      <w:jc w:val="center"/>
    </w:pPr>
    <w:rPr>
      <w:i/>
      <w:iCs/>
      <w:color w:val="404040" w:themeColor="text1" w:themeTint="BF"/>
    </w:rPr>
  </w:style>
  <w:style w:type="character" w:customStyle="1" w:styleId="CitationCar">
    <w:name w:val="Citation Car"/>
    <w:basedOn w:val="Policepardfaut"/>
    <w:link w:val="Citation"/>
    <w:uiPriority w:val="29"/>
    <w:rsid w:val="00C94DDB"/>
    <w:rPr>
      <w:rFonts w:ascii="Arial" w:eastAsiaTheme="minorHAnsi" w:hAnsi="Arial"/>
      <w:i/>
      <w:iCs/>
      <w:color w:val="404040" w:themeColor="text1" w:themeTint="BF"/>
      <w:szCs w:val="22"/>
      <w:lang w:val="fr-CI" w:eastAsia="en-US"/>
    </w:rPr>
  </w:style>
  <w:style w:type="paragraph" w:styleId="Paragraphedeliste">
    <w:name w:val="List Paragraph"/>
    <w:basedOn w:val="Normal"/>
    <w:uiPriority w:val="34"/>
    <w:qFormat/>
    <w:rsid w:val="00C94DDB"/>
    <w:pPr>
      <w:ind w:left="720"/>
      <w:contextualSpacing/>
    </w:pPr>
  </w:style>
  <w:style w:type="character" w:styleId="Accentuationintense">
    <w:name w:val="Intense Emphasis"/>
    <w:basedOn w:val="Policepardfaut"/>
    <w:uiPriority w:val="21"/>
    <w:qFormat/>
    <w:rsid w:val="00C94DDB"/>
    <w:rPr>
      <w:i/>
      <w:iCs/>
      <w:color w:val="0F4761" w:themeColor="accent1" w:themeShade="BF"/>
    </w:rPr>
  </w:style>
  <w:style w:type="paragraph" w:styleId="Citationintense">
    <w:name w:val="Intense Quote"/>
    <w:basedOn w:val="Normal"/>
    <w:next w:val="Normal"/>
    <w:link w:val="CitationintenseCar"/>
    <w:uiPriority w:val="30"/>
    <w:qFormat/>
    <w:rsid w:val="00C94D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94DDB"/>
    <w:rPr>
      <w:rFonts w:ascii="Arial" w:eastAsiaTheme="minorHAnsi" w:hAnsi="Arial"/>
      <w:i/>
      <w:iCs/>
      <w:color w:val="0F4761" w:themeColor="accent1" w:themeShade="BF"/>
      <w:szCs w:val="22"/>
      <w:lang w:val="fr-CI" w:eastAsia="en-US"/>
    </w:rPr>
  </w:style>
  <w:style w:type="character" w:styleId="Rfrenceintense">
    <w:name w:val="Intense Reference"/>
    <w:basedOn w:val="Policepardfaut"/>
    <w:uiPriority w:val="32"/>
    <w:qFormat/>
    <w:rsid w:val="00C94DDB"/>
    <w:rPr>
      <w:b/>
      <w:bCs/>
      <w:smallCaps/>
      <w:color w:val="0F4761" w:themeColor="accent1" w:themeShade="BF"/>
      <w:spacing w:val="5"/>
    </w:rPr>
  </w:style>
  <w:style w:type="paragraph" w:styleId="En-tte">
    <w:name w:val="header"/>
    <w:basedOn w:val="Normal"/>
    <w:link w:val="En-tteCar"/>
    <w:uiPriority w:val="99"/>
    <w:unhideWhenUsed/>
    <w:rsid w:val="00C94DDB"/>
    <w:pPr>
      <w:tabs>
        <w:tab w:val="center" w:pos="4536"/>
        <w:tab w:val="right" w:pos="9072"/>
      </w:tabs>
      <w:spacing w:after="0" w:line="240" w:lineRule="auto"/>
    </w:pPr>
  </w:style>
  <w:style w:type="character" w:customStyle="1" w:styleId="En-tteCar">
    <w:name w:val="En-tête Car"/>
    <w:basedOn w:val="Policepardfaut"/>
    <w:link w:val="En-tte"/>
    <w:uiPriority w:val="99"/>
    <w:rsid w:val="00C94DDB"/>
    <w:rPr>
      <w:rFonts w:ascii="Arial" w:eastAsiaTheme="minorHAnsi" w:hAnsi="Arial"/>
      <w:szCs w:val="22"/>
      <w:lang w:val="fr-CI" w:eastAsia="en-US"/>
    </w:rPr>
  </w:style>
  <w:style w:type="paragraph" w:styleId="Pieddepage">
    <w:name w:val="footer"/>
    <w:basedOn w:val="Normal"/>
    <w:link w:val="PieddepageCar"/>
    <w:uiPriority w:val="99"/>
    <w:unhideWhenUsed/>
    <w:rsid w:val="00C94D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4DDB"/>
    <w:rPr>
      <w:rFonts w:ascii="Arial" w:eastAsiaTheme="minorHAnsi" w:hAnsi="Arial"/>
      <w:szCs w:val="22"/>
      <w:lang w:val="fr-CI" w:eastAsia="en-US"/>
    </w:rPr>
  </w:style>
  <w:style w:type="character" w:styleId="Marquedecommentaire">
    <w:name w:val="annotation reference"/>
    <w:basedOn w:val="Policepardfaut"/>
    <w:uiPriority w:val="99"/>
    <w:semiHidden/>
    <w:unhideWhenUsed/>
    <w:rsid w:val="00381972"/>
    <w:rPr>
      <w:sz w:val="16"/>
      <w:szCs w:val="16"/>
    </w:rPr>
  </w:style>
  <w:style w:type="paragraph" w:styleId="Commentaire">
    <w:name w:val="annotation text"/>
    <w:basedOn w:val="Normal"/>
    <w:link w:val="CommentaireCar"/>
    <w:uiPriority w:val="99"/>
    <w:unhideWhenUsed/>
    <w:rsid w:val="00381972"/>
    <w:pPr>
      <w:spacing w:line="240" w:lineRule="auto"/>
    </w:pPr>
    <w:rPr>
      <w:sz w:val="20"/>
      <w:szCs w:val="20"/>
    </w:rPr>
  </w:style>
  <w:style w:type="character" w:customStyle="1" w:styleId="CommentaireCar">
    <w:name w:val="Commentaire Car"/>
    <w:basedOn w:val="Policepardfaut"/>
    <w:link w:val="Commentaire"/>
    <w:uiPriority w:val="99"/>
    <w:rsid w:val="00381972"/>
    <w:rPr>
      <w:rFonts w:ascii="Arial" w:eastAsiaTheme="minorHAnsi" w:hAnsi="Arial"/>
      <w:sz w:val="20"/>
      <w:szCs w:val="20"/>
      <w:lang w:val="fr-CI" w:eastAsia="en-US"/>
    </w:rPr>
  </w:style>
  <w:style w:type="paragraph" w:styleId="Objetducommentaire">
    <w:name w:val="annotation subject"/>
    <w:basedOn w:val="Commentaire"/>
    <w:next w:val="Commentaire"/>
    <w:link w:val="ObjetducommentaireCar"/>
    <w:uiPriority w:val="99"/>
    <w:semiHidden/>
    <w:unhideWhenUsed/>
    <w:rsid w:val="00381972"/>
    <w:rPr>
      <w:b/>
      <w:bCs/>
    </w:rPr>
  </w:style>
  <w:style w:type="character" w:customStyle="1" w:styleId="ObjetducommentaireCar">
    <w:name w:val="Objet du commentaire Car"/>
    <w:basedOn w:val="CommentaireCar"/>
    <w:link w:val="Objetducommentaire"/>
    <w:uiPriority w:val="99"/>
    <w:semiHidden/>
    <w:rsid w:val="00381972"/>
    <w:rPr>
      <w:rFonts w:ascii="Arial" w:eastAsiaTheme="minorHAnsi" w:hAnsi="Arial"/>
      <w:b/>
      <w:bCs/>
      <w:sz w:val="20"/>
      <w:szCs w:val="20"/>
      <w:lang w:val="fr-CI" w:eastAsia="en-US"/>
    </w:rPr>
  </w:style>
  <w:style w:type="paragraph" w:styleId="Rvision">
    <w:name w:val="Revision"/>
    <w:hidden/>
    <w:uiPriority w:val="99"/>
    <w:semiHidden/>
    <w:rsid w:val="00673247"/>
    <w:pPr>
      <w:spacing w:after="0" w:line="240" w:lineRule="auto"/>
    </w:pPr>
    <w:rPr>
      <w:rFonts w:ascii="Arial" w:eastAsiaTheme="minorHAnsi" w:hAnsi="Arial"/>
      <w:szCs w:val="22"/>
      <w:lang w:val="fr-CI" w:eastAsia="en-US"/>
    </w:r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50946">
      <w:bodyDiv w:val="1"/>
      <w:marLeft w:val="0"/>
      <w:marRight w:val="0"/>
      <w:marTop w:val="0"/>
      <w:marBottom w:val="0"/>
      <w:divBdr>
        <w:top w:val="none" w:sz="0" w:space="0" w:color="auto"/>
        <w:left w:val="none" w:sz="0" w:space="0" w:color="auto"/>
        <w:bottom w:val="none" w:sz="0" w:space="0" w:color="auto"/>
        <w:right w:val="none" w:sz="0" w:space="0" w:color="auto"/>
      </w:divBdr>
    </w:div>
    <w:div w:id="351539481">
      <w:bodyDiv w:val="1"/>
      <w:marLeft w:val="0"/>
      <w:marRight w:val="0"/>
      <w:marTop w:val="0"/>
      <w:marBottom w:val="0"/>
      <w:divBdr>
        <w:top w:val="none" w:sz="0" w:space="0" w:color="auto"/>
        <w:left w:val="none" w:sz="0" w:space="0" w:color="auto"/>
        <w:bottom w:val="none" w:sz="0" w:space="0" w:color="auto"/>
        <w:right w:val="none" w:sz="0" w:space="0" w:color="auto"/>
      </w:divBdr>
    </w:div>
    <w:div w:id="494683341">
      <w:bodyDiv w:val="1"/>
      <w:marLeft w:val="0"/>
      <w:marRight w:val="0"/>
      <w:marTop w:val="0"/>
      <w:marBottom w:val="0"/>
      <w:divBdr>
        <w:top w:val="none" w:sz="0" w:space="0" w:color="auto"/>
        <w:left w:val="none" w:sz="0" w:space="0" w:color="auto"/>
        <w:bottom w:val="none" w:sz="0" w:space="0" w:color="auto"/>
        <w:right w:val="none" w:sz="0" w:space="0" w:color="auto"/>
      </w:divBdr>
    </w:div>
    <w:div w:id="781192394">
      <w:bodyDiv w:val="1"/>
      <w:marLeft w:val="0"/>
      <w:marRight w:val="0"/>
      <w:marTop w:val="0"/>
      <w:marBottom w:val="0"/>
      <w:divBdr>
        <w:top w:val="none" w:sz="0" w:space="0" w:color="auto"/>
        <w:left w:val="none" w:sz="0" w:space="0" w:color="auto"/>
        <w:bottom w:val="none" w:sz="0" w:space="0" w:color="auto"/>
        <w:right w:val="none" w:sz="0" w:space="0" w:color="auto"/>
      </w:divBdr>
    </w:div>
    <w:div w:id="944926307">
      <w:bodyDiv w:val="1"/>
      <w:marLeft w:val="0"/>
      <w:marRight w:val="0"/>
      <w:marTop w:val="0"/>
      <w:marBottom w:val="0"/>
      <w:divBdr>
        <w:top w:val="none" w:sz="0" w:space="0" w:color="auto"/>
        <w:left w:val="none" w:sz="0" w:space="0" w:color="auto"/>
        <w:bottom w:val="none" w:sz="0" w:space="0" w:color="auto"/>
        <w:right w:val="none" w:sz="0" w:space="0" w:color="auto"/>
      </w:divBdr>
    </w:div>
    <w:div w:id="1030299517">
      <w:bodyDiv w:val="1"/>
      <w:marLeft w:val="0"/>
      <w:marRight w:val="0"/>
      <w:marTop w:val="0"/>
      <w:marBottom w:val="0"/>
      <w:divBdr>
        <w:top w:val="none" w:sz="0" w:space="0" w:color="auto"/>
        <w:left w:val="none" w:sz="0" w:space="0" w:color="auto"/>
        <w:bottom w:val="none" w:sz="0" w:space="0" w:color="auto"/>
        <w:right w:val="none" w:sz="0" w:space="0" w:color="auto"/>
      </w:divBdr>
    </w:div>
    <w:div w:id="1035621730">
      <w:bodyDiv w:val="1"/>
      <w:marLeft w:val="0"/>
      <w:marRight w:val="0"/>
      <w:marTop w:val="0"/>
      <w:marBottom w:val="0"/>
      <w:divBdr>
        <w:top w:val="none" w:sz="0" w:space="0" w:color="auto"/>
        <w:left w:val="none" w:sz="0" w:space="0" w:color="auto"/>
        <w:bottom w:val="none" w:sz="0" w:space="0" w:color="auto"/>
        <w:right w:val="none" w:sz="0" w:space="0" w:color="auto"/>
      </w:divBdr>
    </w:div>
    <w:div w:id="1199247126">
      <w:bodyDiv w:val="1"/>
      <w:marLeft w:val="0"/>
      <w:marRight w:val="0"/>
      <w:marTop w:val="0"/>
      <w:marBottom w:val="0"/>
      <w:divBdr>
        <w:top w:val="none" w:sz="0" w:space="0" w:color="auto"/>
        <w:left w:val="none" w:sz="0" w:space="0" w:color="auto"/>
        <w:bottom w:val="none" w:sz="0" w:space="0" w:color="auto"/>
        <w:right w:val="none" w:sz="0" w:space="0" w:color="auto"/>
      </w:divBdr>
    </w:div>
    <w:div w:id="1242721291">
      <w:bodyDiv w:val="1"/>
      <w:marLeft w:val="0"/>
      <w:marRight w:val="0"/>
      <w:marTop w:val="0"/>
      <w:marBottom w:val="0"/>
      <w:divBdr>
        <w:top w:val="none" w:sz="0" w:space="0" w:color="auto"/>
        <w:left w:val="none" w:sz="0" w:space="0" w:color="auto"/>
        <w:bottom w:val="none" w:sz="0" w:space="0" w:color="auto"/>
        <w:right w:val="none" w:sz="0" w:space="0" w:color="auto"/>
      </w:divBdr>
    </w:div>
    <w:div w:id="1249656896">
      <w:bodyDiv w:val="1"/>
      <w:marLeft w:val="0"/>
      <w:marRight w:val="0"/>
      <w:marTop w:val="0"/>
      <w:marBottom w:val="0"/>
      <w:divBdr>
        <w:top w:val="none" w:sz="0" w:space="0" w:color="auto"/>
        <w:left w:val="none" w:sz="0" w:space="0" w:color="auto"/>
        <w:bottom w:val="none" w:sz="0" w:space="0" w:color="auto"/>
        <w:right w:val="none" w:sz="0" w:space="0" w:color="auto"/>
      </w:divBdr>
    </w:div>
    <w:div w:id="1345204928">
      <w:bodyDiv w:val="1"/>
      <w:marLeft w:val="0"/>
      <w:marRight w:val="0"/>
      <w:marTop w:val="0"/>
      <w:marBottom w:val="0"/>
      <w:divBdr>
        <w:top w:val="none" w:sz="0" w:space="0" w:color="auto"/>
        <w:left w:val="none" w:sz="0" w:space="0" w:color="auto"/>
        <w:bottom w:val="none" w:sz="0" w:space="0" w:color="auto"/>
        <w:right w:val="none" w:sz="0" w:space="0" w:color="auto"/>
      </w:divBdr>
    </w:div>
    <w:div w:id="1465611386">
      <w:bodyDiv w:val="1"/>
      <w:marLeft w:val="0"/>
      <w:marRight w:val="0"/>
      <w:marTop w:val="0"/>
      <w:marBottom w:val="0"/>
      <w:divBdr>
        <w:top w:val="none" w:sz="0" w:space="0" w:color="auto"/>
        <w:left w:val="none" w:sz="0" w:space="0" w:color="auto"/>
        <w:bottom w:val="none" w:sz="0" w:space="0" w:color="auto"/>
        <w:right w:val="none" w:sz="0" w:space="0" w:color="auto"/>
      </w:divBdr>
    </w:div>
    <w:div w:id="1619068472">
      <w:bodyDiv w:val="1"/>
      <w:marLeft w:val="0"/>
      <w:marRight w:val="0"/>
      <w:marTop w:val="0"/>
      <w:marBottom w:val="0"/>
      <w:divBdr>
        <w:top w:val="none" w:sz="0" w:space="0" w:color="auto"/>
        <w:left w:val="none" w:sz="0" w:space="0" w:color="auto"/>
        <w:bottom w:val="none" w:sz="0" w:space="0" w:color="auto"/>
        <w:right w:val="none" w:sz="0" w:space="0" w:color="auto"/>
      </w:divBdr>
    </w:div>
    <w:div w:id="1767265710">
      <w:bodyDiv w:val="1"/>
      <w:marLeft w:val="0"/>
      <w:marRight w:val="0"/>
      <w:marTop w:val="0"/>
      <w:marBottom w:val="0"/>
      <w:divBdr>
        <w:top w:val="none" w:sz="0" w:space="0" w:color="auto"/>
        <w:left w:val="none" w:sz="0" w:space="0" w:color="auto"/>
        <w:bottom w:val="none" w:sz="0" w:space="0" w:color="auto"/>
        <w:right w:val="none" w:sz="0" w:space="0" w:color="auto"/>
      </w:divBdr>
    </w:div>
    <w:div w:id="1907497591">
      <w:bodyDiv w:val="1"/>
      <w:marLeft w:val="0"/>
      <w:marRight w:val="0"/>
      <w:marTop w:val="0"/>
      <w:marBottom w:val="0"/>
      <w:divBdr>
        <w:top w:val="none" w:sz="0" w:space="0" w:color="auto"/>
        <w:left w:val="none" w:sz="0" w:space="0" w:color="auto"/>
        <w:bottom w:val="none" w:sz="0" w:space="0" w:color="auto"/>
        <w:right w:val="none" w:sz="0" w:space="0" w:color="auto"/>
      </w:divBdr>
    </w:div>
    <w:div w:id="1957178358">
      <w:bodyDiv w:val="1"/>
      <w:marLeft w:val="0"/>
      <w:marRight w:val="0"/>
      <w:marTop w:val="0"/>
      <w:marBottom w:val="0"/>
      <w:divBdr>
        <w:top w:val="none" w:sz="0" w:space="0" w:color="auto"/>
        <w:left w:val="none" w:sz="0" w:space="0" w:color="auto"/>
        <w:bottom w:val="none" w:sz="0" w:space="0" w:color="auto"/>
        <w:right w:val="none" w:sz="0" w:space="0" w:color="auto"/>
      </w:divBdr>
    </w:div>
    <w:div w:id="210514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2.xml"/><Relationship Id="rId8" Type="http://schemas.openxmlformats.org/officeDocument/2006/relationships/image" Target="media/image2.png"/><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2" Type="http://schemas.openxmlformats.org/officeDocument/2006/relationships/image" Target="media/image28.png"/><Relationship Id="rId1" Type="http://schemas.openxmlformats.org/officeDocument/2006/relationships/image" Target="media/image2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acé">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2291</Words>
  <Characters>12603</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Franck Arnold Junior Migone</cp:lastModifiedBy>
  <cp:revision>2</cp:revision>
  <dcterms:created xsi:type="dcterms:W3CDTF">2025-08-22T16:32:00Z</dcterms:created>
  <dcterms:modified xsi:type="dcterms:W3CDTF">2025-09-08T14:24:00Z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ion">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