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Comprendre le pipeline et l’estimation des salaires selon les années d’expérience</w:t>
      </w:r>
    </w:p>
    <w:p>
      <w:pPr>
        <w:pStyle w:val="Petittexte"/>
      </w:pPr>
      <w:r>
        <w:t>Panel administratif des salaires | Note méthodologique | 13 octobre 2026</w:t>
      </w:r>
    </w:p>
    <w:p>
      <w:r>
        <w:t>Cette note explique comment les fichiers de paie deviennent un panel agent–mois, comment l’expérience est calculée et comment les salaires sont résumés par tranche d’ancienneté. Le résultat est une statistique descriptive des observations retenues : il ne mesure pas l’effet causal d’une année d’expérience sur le salaire.</w:t>
      </w:r>
    </w:p>
    <w:p>
      <w:pPr>
        <w:pStyle w:val="Heading1"/>
      </w:pPr>
      <w:r>
        <w:t>Le parcours des données</w:t>
      </w:r>
    </w:p>
    <w:p>
      <w:r>
        <w:t>Les étapes utiles à cette analyse sont les suivantes. Les numéros correspondent aux scripts du dépôt.</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Étape</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Ce qu’elle fait</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Résultat utile</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01 à 05</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Contrôle des Excel mensuels, conversion en Parquet, normalisation, enrichissement ANSTAT et contrôles qualité.</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Données Silver et Gold préparées</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06</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Regroupe les postes d’un même matricule et d’un même mois ; calcule les montants M1 et M2.</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panel_complet.parquet</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07 puis 07a</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Classe les salaires au regard d’un référentiel par secteur et grade ; corrige certains mois hors barème.</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base_avec_statut_corrigee.parquet</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10</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Harmonise les informations de trajectoire, notamment la date de prise de service.</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panel_trajectoire_clean.parquet</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11</w:t>
            </w:r>
          </w:p>
        </w:tc>
        <w:tc>
          <w:tcPr>
            <w:tcW w:type="dxa" w:w="51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Joint les deux sorties, calcule l’expérience et agrège les salaires par classes.</w:t>
            </w:r>
          </w:p>
        </w:tc>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salaire_experience.xlsx</w:t>
            </w:r>
          </w:p>
        </w:tc>
      </w:tr>
    </w:tbl>
    <w:p>
      <w:pPr>
        <w:spacing w:after="0"/>
      </w:pPr>
    </w:p>
    <w:p>
      <w:r>
        <w:t>L’orchestrateur exécute 10 puis 11 après 07a. L’étape 11 lit les sorties déjà produites ; elle ne relance pas les transformations amont.</w:t>
      </w:r>
    </w:p>
    <w:p>
      <w:pPr>
        <w:pStyle w:val="Heading1"/>
      </w:pPr>
      <w:r>
        <w:t>Deux mesures de salaire</w:t>
      </w:r>
    </w:p>
    <w:tbl>
      <w:tblPr>
        <w:tblStyle w:val="TableGrid"/>
        <w:tblW w:type="auto" w:w="0"/>
        <w:jc w:val="center"/>
        <w:tblLayout w:type="fixed"/>
        <w:tblLook w:firstColumn="1" w:firstRow="1" w:lastColumn="0" w:lastRow="0" w:noHBand="0" w:noVBand="1" w:val="04A0"/>
      </w:tblPr>
      <w:tblGrid>
        <w:gridCol w:w="3173"/>
        <w:gridCol w:w="3173"/>
        <w:gridCol w:w="3173"/>
      </w:tblGrid>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Mesure</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Contenu</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Population retenue à l’étape 11</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M1</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Somme des postes F2 124, 228, 271 et 425 ; hors indemnités et allocation familiale 421.</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Statut = « Conforme au barème »</w:t>
            </w:r>
          </w:p>
        </w:tc>
      </w:tr>
      <w:tr>
        <w:tc>
          <w:tcPr>
            <w:tcW w:type="dxa" w:w="907"/>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M2</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Montant brut total de la feuille 1, tous codes postes confondus.</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Statut_Total = « Conforme au barème »</w:t>
            </w:r>
          </w:p>
        </w:tc>
      </w:tr>
    </w:tbl>
    <w:p>
      <w:pPr>
        <w:spacing w:after="0"/>
      </w:pPr>
    </w:p>
    <w:p>
      <w:r>
        <w:t>Les populations M1 et M2 peuvent être différentes : chacune est filtrée selon son propre statut de conformité. Les montants sont mensuels, en FCFA. Le panel compte une ligne par matricule et mois après regroupement des postes.</w:t>
      </w:r>
    </w:p>
    <w:p>
      <w:pPr>
        <w:pStyle w:val="Heading1"/>
      </w:pPr>
      <w:r>
        <w:t>Comment un salaire devient conforme</w:t>
      </w:r>
    </w:p>
    <w:p>
      <w:r>
        <w:t>L’étape 07 compare M1 et M2, séparément, aux minimum et maximum observés dans le référentiel ANSTAT 2025 pour le cluster secteur × grade. Une valeur dans l’intervalle reçoit le statut « Conforme au barème ». Le script récupère aussi les valeurs situées à moins de 5 % sous le minimum ou au-dessus du maximum. Les cas sans cluster déterminé ne satisfont pas le filtre de l’étape 11.</w:t>
      </w:r>
    </w:p>
    <w:p>
      <w:r>
        <w:t>L’étape 07a peut remplacer un mois hors barème si le matricule compte de 1 à 5 mois hors barème pour la mesure concernée. Elle cherche, dans un même groupe matricule × grade × emploi × organisme lorsque ces champs existent, le salaire conforme le plus proche avant ou après ce mois ; en cas d’égalité de distance, le passé est privilégié. Le remplacement n’est conservé que s’il respecte les bornes du mois cible. Le statut est alors recalculé. Une observation « conforme » de l’analyse peut donc contenir un montant imputé.</w:t>
      </w:r>
    </w:p>
    <w:p>
      <w:pPr>
        <w:pStyle w:val="Heading1"/>
      </w:pPr>
      <w:r>
        <w:t>Comment l’expérience est construite</w:t>
      </w:r>
    </w:p>
    <w:p>
      <w:r>
        <w:t>L’étape 10 recherche, pour chaque matricule, la date de prise de service la plus fréquente parmi les dates parsables à partir du 1er janvier 1960. Elle applique cette date au parcours de l’agent. Les égalités de fréquence sont recensées dans un rapport, mais le départage du code n’est pas garanti chronologiquement. Les dates non parsables restent manquantes si aucune valeur valide ne permet une correction.</w:t>
      </w:r>
    </w:p>
    <w:p>
      <w:r>
        <w:t>À l’étape 11, la période d’observation est le premier jour du mois. La formule est : expérience en années = (date d’observation − date de prise de service corrigée) en jours ÷ 365,25. Le calcul utilise la valeur non arrondie, et non l’indicateur anciennete_a_la_periode arrondi du panel.</w:t>
      </w:r>
    </w:p>
    <w:p>
      <w:r>
        <w:t>Exemple : une expérience de 9,99 ans entre dans la classe 5–10 ans ; une expérience de 10,00 ans entre dans la classe 10–15 ans. Les analyses « 10 ans » et « 15 ans » portent respectivement sur les intervalles [10, 11[ et [15, 16[ : il s’agit d’années révolues, pas d’une date anniversaire exacte.</w:t>
      </w:r>
    </w:p>
    <w:p>
      <w:pPr>
        <w:pStyle w:val="Heading1"/>
      </w:pPr>
      <w:r>
        <w:t>Sélection des observations</w:t>
      </w:r>
    </w:p>
    <w:p>
      <w:pPr>
        <w:pStyle w:val="ListBullet"/>
        <w:spacing w:after="60"/>
      </w:pPr>
      <w:r>
        <w:t>Périodes autorisées par le code : années 2015 à 2026 incluses ; seules les années effectivement présentes dans les deux sources peuvent figurer dans la sortie.</w:t>
      </w:r>
    </w:p>
    <w:p>
      <w:pPr>
        <w:pStyle w:val="ListBullet"/>
        <w:spacing w:after="60"/>
      </w:pPr>
      <w:r>
        <w:t>Jointure interne sur matricule et mois_annee : tout agent–mois absent de l’une des deux sources est écarté.</w:t>
      </w:r>
    </w:p>
    <w:p>
      <w:pPr>
        <w:pStyle w:val="ListBullet"/>
        <w:spacing w:after="60"/>
      </w:pPr>
      <w:r>
        <w:t>Pour chaque mesure : statut conforme, montant strictement positif et non manquant, date de prise de service utilisable et expérience non négative. Les barèmes GREFFE, MAGISTRAT, para militaire, CORPS DIPL et CORPS PREF sont exclus avant les agrégations M1 et M2.</w:t>
      </w:r>
    </w:p>
    <w:p>
      <w:pPr>
        <w:pStyle w:val="ListBullet"/>
        <w:spacing w:after="60"/>
      </w:pPr>
      <w:r>
        <w:t>Les modalités absentes des ventilations sont affichées « (NC) » ; elles ne sont pas exclues pour ce seul motif.</w:t>
      </w:r>
    </w:p>
    <w:p>
      <w:r>
        <w:t>Avant la jointure, le script vérifie les années manquantes dans la base des statuts et refuse les doublons matricule–mois dans cette base. Il contrôle aussi qu’au moins une ligne commune subsiste.</w:t>
      </w:r>
    </w:p>
    <w:p>
      <w:r>
        <w:br w:type="page"/>
      </w:r>
    </w:p>
    <w:p>
      <w:pPr>
        <w:pStyle w:val="Heading1"/>
      </w:pPr>
      <w:r>
        <w:t>Ce que calcule le fichier de sortie</w:t>
      </w:r>
    </w:p>
    <w:p>
      <w:r>
        <w:t>Chaque ligne d’un tableau regroupe une mesure salariale, une classe d’expérience de 5 ans et, selon la feuille, une catégorie supplémentaire. Les classes sont 0–5, 5–10, …, 40–45 et 45 ans ou plus.</w:t>
      </w:r>
    </w:p>
    <w:tbl>
      <w:tblPr>
        <w:tblStyle w:val="TableGrid"/>
        <w:tblW w:type="auto" w:w="0"/>
        <w:jc w:val="center"/>
        <w:tblLayout w:type="fixed"/>
        <w:tblLook w:firstColumn="1" w:firstRow="1" w:lastColumn="0" w:lastRow="0" w:noHBand="0" w:noVBand="1" w:val="04A0"/>
      </w:tblPr>
      <w:tblGrid>
        <w:gridCol w:w="4759"/>
        <w:gridCol w:w="4759"/>
      </w:tblGrid>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Indicateur</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DCE6F1"/>
          </w:tcPr>
          <w:p>
            <w:pPr>
              <w:spacing w:after="0" w:line="252" w:lineRule="auto"/>
            </w:pPr>
            <w:r>
              <w:rPr>
                <w:rFonts w:ascii="Liberation Sans" w:hAnsi="Liberation Sans"/>
                <w:b/>
                <w:sz w:val="17"/>
              </w:rPr>
              <w:t>Lecture</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Observations</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Nombre de lignes agent–mois retenues dans le groupe.</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Agents distincts</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Nombre de matricules distincts dans le groupe ; un même agent peut figurer dans plusieurs classes ou années.</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Salaire moyen et médian</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Moyenne arithmétique et médiane des montants mensuels retenus.</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P25 et P75</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shd w:fill="F6F8FA"/>
          </w:tcPr>
          <w:p>
            <w:pPr>
              <w:spacing w:after="0" w:line="252" w:lineRule="auto"/>
            </w:pPr>
            <w:r>
              <w:rPr>
                <w:rFonts w:ascii="Liberation Sans" w:hAnsi="Liberation Sans"/>
                <w:b w:val="0"/>
                <w:sz w:val="17"/>
              </w:rPr>
              <w:t>Quartiles des montants mensuels, avec interpolation linéaire.</w:t>
            </w:r>
          </w:p>
        </w:tc>
      </w:tr>
      <w:t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Min et max</w:t>
            </w:r>
          </w:p>
        </w:tc>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110" w:type="dxa"/>
              <w:left w:w="110" w:type="dxa"/>
              <w:bottom w:w="110" w:type="dxa"/>
              <w:right w:w="110" w:type="dxa"/>
            </w:tcMar>
          </w:tcPr>
          <w:p>
            <w:pPr>
              <w:spacing w:after="0" w:line="252" w:lineRule="auto"/>
            </w:pPr>
            <w:r>
              <w:rPr>
                <w:rFonts w:ascii="Liberation Sans" w:hAnsi="Liberation Sans"/>
                <w:b w:val="0"/>
                <w:sz w:val="17"/>
              </w:rPr>
              <w:t>Plus petit et plus grand montant observé dans le groupe.</w:t>
            </w:r>
          </w:p>
        </w:tc>
      </w:tr>
    </w:tbl>
    <w:p>
      <w:pPr>
        <w:spacing w:after="0"/>
      </w:pPr>
    </w:p>
    <w:p>
      <w:r>
        <w:t>Le script courant produit six ventilations : Global, ParAnnee, ParSexe, ParSituationMatrimoniale, ParGrade et ParCITP. Deux feuilles supplémentaires portent sur 10 et 15 ans révolus, chacune pour l’ensemble et par année. Chaque bloc est calculé séparément pour M1 et M2. Les montants sont arrondis à l’unité de FCFA dans les tableaux.</w:t>
      </w:r>
    </w:p>
    <w:p>
      <w:pPr>
        <w:pStyle w:val="Heading1"/>
      </w:pPr>
      <w:r>
        <w:t>Comment interpréter les résultats</w:t>
      </w:r>
    </w:p>
    <w:p>
      <w:r>
        <w:t>La moyenne est une moyenne d’observations mensuelles : un agent présent 12 mois pèse davantage qu’un agent présent 2 mois. Le nombre d’agents distincts sert à apprécier la couverture, mais ne change pas cette pondération. Une différence entre classes peut refléter l’expérience, mais aussi la composition en grades, métiers, organismes et années, ainsi que les règles de sélection au barème.</w:t>
      </w:r>
    </w:p>
    <w:p>
      <w:r>
        <w:t>Pour comparer des années, garder à l’esprit que les salaires sont nominaux : l’étape 11 ne corrige pas l’inflation. Le référentiel ANSTAT 2025 sert à qualifier la conformité sur toutes les années traitées. Les analyses ciblées de 10 et 15 ans sont des sous-ensembles des classes 10–15 et 15–20, respectivement.</w:t>
      </w:r>
    </w:p>
    <w:p>
      <w:pPr>
        <w:pStyle w:val="Heading1"/>
      </w:pPr>
      <w:r>
        <w:t>Points de vigilance pour la lecture</w:t>
      </w:r>
    </w:p>
    <w:p>
      <w:pPr>
        <w:pStyle w:val="ListBullet"/>
        <w:spacing w:after="60"/>
      </w:pPr>
      <w:r>
        <w:t>La conformité est un filtre méthodologique, pas une preuve que toutes les valeurs retenues sont observées : l’étape 07a peut avoir imputé M1 ou M2.</w:t>
      </w:r>
    </w:p>
    <w:p>
      <w:pPr>
        <w:pStyle w:val="ListBullet"/>
        <w:spacing w:after="60"/>
      </w:pPr>
      <w:r>
        <w:t>Une prise de service future par rapport au mois d’observation donne une expérience négative et est exclue à l’étape 11. La correction de l’étape 10 ne garantit pas, dans son vote modal, toutes les bornes de plausibilité décrites dans ses commentaires.</w:t>
      </w:r>
    </w:p>
    <w:p>
      <w:pPr>
        <w:pStyle w:val="ListBullet"/>
        <w:spacing w:after="60"/>
      </w:pPr>
      <w:r>
        <w:t>Les classes 45 ans ou plus sont regroupées dans une seule catégorie. Aucune précision statistique ou incertitude d’estimation n’est calculée.</w:t>
      </w:r>
    </w:p>
    <w:p>
      <w:pPr>
        <w:pStyle w:val="ListBullet"/>
        <w:spacing w:after="60"/>
      </w:pPr>
      <w:r>
        <w:t>Le fichier Excel local présent dans le dépôt date du 12 octobre à 12 h 30, avant la dernière modification du script à 15 h 30. Il comporte 17 feuilles et ses métadonnées désignent panel_complet.parquet comme source. La version actuelle du code prévoit 10 feuilles et joint panel_trajectoire_clean.parquet à base_avec_statut_corrigee.parquet. Pour documenter une exécution actuelle, il faut régénérer l’export.</w:t>
      </w:r>
    </w:p>
    <w:p>
      <w:pPr>
        <w:pStyle w:val="Heading1"/>
      </w:pPr>
      <w:r>
        <w:t>Sources du dépôt</w:t>
      </w:r>
    </w:p>
    <w:p>
      <w:pPr>
        <w:pStyle w:val="Petittexte"/>
      </w:pPr>
      <w:r>
        <w:t>orchestrateur.py ; 06_compiler_panel.py ; 07_calcul_indicateur.py ; 07a_imputer_hors_bareme.py ; 10_correction_gold_trajectoire.py ; 11_analyse_salaire_experience.py. Fichier de sortie local inspecté : analyse_experience_out/salaire_experience.xlsx.</w:t>
      </w:r>
    </w:p>
    <w:sectPr w:rsidR="00FC693F" w:rsidRPr="0006063C" w:rsidSect="00034616">
      <w:pgSz w:w="12240" w:h="15840"/>
      <w:pgMar w:top="1077"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Liberation Sans" w:hAnsi="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Liberation Sans" w:hAnsi="Liberation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tittexte">
    <w:name w:val="Petit text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