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29E42" w14:textId="42E4026A" w:rsidR="00360203" w:rsidRPr="00DE5F86" w:rsidRDefault="00342D37" w:rsidP="00360203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DE5F8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METHODOLOGIE DE CALCUL DU REVENU </w:t>
      </w:r>
    </w:p>
    <w:p w14:paraId="67716DAE" w14:textId="77777777" w:rsidR="00360203" w:rsidRPr="00DE5F86" w:rsidRDefault="00360203" w:rsidP="00360203">
      <w:pPr>
        <w:spacing w:before="60" w:after="60"/>
        <w:rPr>
          <w:rFonts w:ascii="Times New Roman" w:hAnsi="Times New Roman" w:cs="Times New Roman"/>
        </w:rPr>
      </w:pPr>
    </w:p>
    <w:p w14:paraId="36094ABC" w14:textId="61FF1211" w:rsidR="00342D37" w:rsidRPr="00DE5F86" w:rsidRDefault="00360203" w:rsidP="00342D37">
      <w:pPr>
        <w:pStyle w:val="Titre1"/>
        <w:numPr>
          <w:ilvl w:val="0"/>
          <w:numId w:val="2"/>
        </w:numPr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>Définition du revenu</w:t>
      </w:r>
      <w:r w:rsidR="00717674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 xml:space="preserve"> mensuel</w:t>
      </w:r>
      <w:r w:rsidRPr="00DE5F86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 xml:space="preserve"> moyen</w:t>
      </w:r>
    </w:p>
    <w:p w14:paraId="189C5493" w14:textId="001D0E6F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Le revenu</w:t>
      </w:r>
      <w:r w:rsidR="00717674">
        <w:rPr>
          <w:rFonts w:ascii="Times New Roman" w:hAnsi="Times New Roman" w:cs="Times New Roman"/>
          <w:sz w:val="24"/>
          <w:szCs w:val="24"/>
        </w:rPr>
        <w:t xml:space="preserve"> mensuel</w:t>
      </w:r>
      <w:r w:rsidRPr="00DE5F86">
        <w:rPr>
          <w:rFonts w:ascii="Times New Roman" w:hAnsi="Times New Roman" w:cs="Times New Roman"/>
          <w:sz w:val="24"/>
          <w:szCs w:val="24"/>
        </w:rPr>
        <w:t xml:space="preserve"> moyen est la moyenne arithmétique du salaire mensuel des fonctionnaires. Il est calculé </w:t>
      </w:r>
      <w:r w:rsidR="00A87127">
        <w:rPr>
          <w:rFonts w:ascii="Times New Roman" w:hAnsi="Times New Roman" w:cs="Times New Roman"/>
          <w:sz w:val="24"/>
          <w:szCs w:val="24"/>
        </w:rPr>
        <w:t>en considérant</w:t>
      </w:r>
      <w:r w:rsidRPr="00DE5F86">
        <w:rPr>
          <w:rFonts w:ascii="Times New Roman" w:hAnsi="Times New Roman" w:cs="Times New Roman"/>
          <w:sz w:val="24"/>
          <w:szCs w:val="24"/>
        </w:rPr>
        <w:t xml:space="preserve"> les agents conformes au barème officiel, c'est-à-dire dont le salaire se situe dans la fourchette prévue par la grille salariale de l'État.</w:t>
      </w:r>
    </w:p>
    <w:p w14:paraId="40655D73" w14:textId="77777777" w:rsidR="00360203" w:rsidRPr="00DE5F86" w:rsidRDefault="00360203" w:rsidP="00360203">
      <w:p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0BBEDAA6" w14:textId="77777777" w:rsidR="00360203" w:rsidRPr="00DE5F86" w:rsidRDefault="00360203" w:rsidP="00360203">
      <w:pPr>
        <w:shd w:val="clear" w:color="auto" w:fill="E8F0FE"/>
        <w:spacing w:before="80" w:after="80" w:line="276" w:lineRule="auto"/>
        <w:ind w:left="360"/>
        <w:rPr>
          <w:rFonts w:ascii="Times New Roman" w:hAnsi="Times New Roman" w:cs="Times New Roman"/>
        </w:rPr>
      </w:pPr>
      <w:r w:rsidRPr="00DE5F86">
        <w:rPr>
          <w:rFonts w:ascii="Times New Roman" w:eastAsia="Courier New" w:hAnsi="Times New Roman" w:cs="Times New Roman"/>
          <w:b/>
          <w:bCs/>
          <w:color w:val="1F4E79"/>
        </w:rPr>
        <w:t>Revenu moyen = Somme des salaires / Nombre d'agents conformes</w:t>
      </w:r>
    </w:p>
    <w:p w14:paraId="33D6CBED" w14:textId="77777777" w:rsidR="00360203" w:rsidRPr="00DE5F86" w:rsidRDefault="00360203" w:rsidP="00360203">
      <w:pPr>
        <w:spacing w:before="60" w:after="60"/>
        <w:rPr>
          <w:rFonts w:ascii="Times New Roman" w:hAnsi="Times New Roman" w:cs="Times New Roman"/>
        </w:rPr>
      </w:pPr>
    </w:p>
    <w:p w14:paraId="644069F0" w14:textId="79CE4249" w:rsidR="00360203" w:rsidRPr="00DE5F86" w:rsidRDefault="00360203" w:rsidP="00360203">
      <w:pPr>
        <w:pStyle w:val="Titre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>Composition du salaire</w:t>
      </w:r>
    </w:p>
    <w:p w14:paraId="162D0923" w14:textId="4190AD59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Le salaire dans la base de données, est construit en additionnant les composantes suivantes :</w:t>
      </w:r>
    </w:p>
    <w:p w14:paraId="58C43B3C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Code 124 : </w:t>
      </w:r>
      <w:r w:rsidRPr="00DE5F86">
        <w:rPr>
          <w:rFonts w:ascii="Times New Roman" w:hAnsi="Times New Roman" w:cs="Times New Roman"/>
          <w:sz w:val="24"/>
          <w:szCs w:val="24"/>
        </w:rPr>
        <w:t>Salaire de Base</w:t>
      </w:r>
    </w:p>
    <w:p w14:paraId="7B215D7C" w14:textId="012FCCEE" w:rsidR="00360203" w:rsidRPr="00C51B62" w:rsidRDefault="00360203" w:rsidP="00C51B62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Code 228 </w:t>
      </w:r>
      <w:r w:rsidR="00C51B62" w:rsidRPr="00DE5F86">
        <w:rPr>
          <w:rFonts w:ascii="Times New Roman" w:hAnsi="Times New Roman" w:cs="Times New Roman"/>
          <w:sz w:val="24"/>
          <w:szCs w:val="24"/>
        </w:rPr>
        <w:t>Indemnité de Transport</w:t>
      </w:r>
    </w:p>
    <w:p w14:paraId="4A0C6571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Code 271 : </w:t>
      </w:r>
      <w:r w:rsidRPr="00DE5F86">
        <w:rPr>
          <w:rFonts w:ascii="Times New Roman" w:hAnsi="Times New Roman" w:cs="Times New Roman"/>
          <w:sz w:val="24"/>
          <w:szCs w:val="24"/>
        </w:rPr>
        <w:t>Indemnité de Logement</w:t>
      </w:r>
    </w:p>
    <w:p w14:paraId="12D99EB6" w14:textId="6F2ACFD8" w:rsidR="00C51B62" w:rsidRPr="00DE5F86" w:rsidRDefault="00360203" w:rsidP="00C51B62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Code 425 : </w:t>
      </w:r>
      <w:r w:rsidR="00C51B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1B62" w:rsidRPr="00DE5F86">
        <w:rPr>
          <w:rFonts w:ascii="Times New Roman" w:hAnsi="Times New Roman" w:cs="Times New Roman"/>
          <w:sz w:val="24"/>
          <w:szCs w:val="24"/>
        </w:rPr>
        <w:t xml:space="preserve">Indemnité de </w:t>
      </w:r>
      <w:r w:rsidR="00A5361C">
        <w:rPr>
          <w:rFonts w:ascii="Times New Roman" w:hAnsi="Times New Roman" w:cs="Times New Roman"/>
          <w:sz w:val="24"/>
          <w:szCs w:val="24"/>
        </w:rPr>
        <w:t>résidence</w:t>
      </w:r>
    </w:p>
    <w:p w14:paraId="41AA7596" w14:textId="77777777" w:rsidR="00C51B62" w:rsidRPr="00DE5F86" w:rsidRDefault="00C51B62" w:rsidP="00C51B62">
      <w:p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02101C21" w14:textId="5C154F4F" w:rsidR="00485BA8" w:rsidRPr="00485BA8" w:rsidRDefault="00360203" w:rsidP="00485BA8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color w:val="000000" w:themeColor="text1"/>
          <w:u w:val="single"/>
        </w:rPr>
      </w:pPr>
      <w:r w:rsidRPr="00DE5F86">
        <w:rPr>
          <w:rFonts w:ascii="Times New Roman" w:hAnsi="Times New Roman" w:cs="Times New Roman"/>
          <w:b/>
          <w:bCs/>
          <w:color w:val="7F4F00"/>
          <w:sz w:val="24"/>
          <w:szCs w:val="24"/>
        </w:rPr>
        <w:t xml:space="preserve">Note : </w:t>
      </w:r>
      <w:r w:rsidRPr="00DE5F86">
        <w:rPr>
          <w:rFonts w:ascii="Times New Roman" w:hAnsi="Times New Roman" w:cs="Times New Roman"/>
          <w:sz w:val="24"/>
          <w:szCs w:val="24"/>
        </w:rPr>
        <w:t xml:space="preserve">L'allocation familiale (code 421) </w:t>
      </w:r>
      <w:r w:rsidR="00A87127">
        <w:rPr>
          <w:rFonts w:ascii="Times New Roman" w:hAnsi="Times New Roman" w:cs="Times New Roman"/>
          <w:sz w:val="24"/>
          <w:szCs w:val="24"/>
        </w:rPr>
        <w:t xml:space="preserve">n’est pas prise en compte </w:t>
      </w:r>
      <w:r w:rsidR="00183752">
        <w:rPr>
          <w:rFonts w:ascii="Times New Roman" w:hAnsi="Times New Roman" w:cs="Times New Roman"/>
          <w:sz w:val="24"/>
          <w:szCs w:val="24"/>
        </w:rPr>
        <w:t xml:space="preserve">dans la définition </w:t>
      </w:r>
      <w:r w:rsidR="00183752">
        <w:rPr>
          <w:rFonts w:ascii="Times New Roman" w:hAnsi="Times New Roman" w:cs="Times New Roman"/>
          <w:sz w:val="24"/>
          <w:szCs w:val="24"/>
        </w:rPr>
        <w:t>de l’agrégat masse salariale</w:t>
      </w:r>
      <w:r w:rsidR="00183752">
        <w:rPr>
          <w:rFonts w:ascii="Times New Roman" w:hAnsi="Times New Roman" w:cs="Times New Roman"/>
          <w:sz w:val="24"/>
          <w:szCs w:val="24"/>
        </w:rPr>
        <w:t xml:space="preserve"> </w:t>
      </w:r>
      <w:r w:rsidR="00485BA8">
        <w:rPr>
          <w:rFonts w:ascii="Times New Roman" w:hAnsi="Times New Roman" w:cs="Times New Roman"/>
          <w:sz w:val="24"/>
          <w:szCs w:val="24"/>
        </w:rPr>
        <w:t>selon le manuel de</w:t>
      </w:r>
      <w:r w:rsidR="009C778A">
        <w:rPr>
          <w:rFonts w:ascii="Times New Roman" w:hAnsi="Times New Roman" w:cs="Times New Roman"/>
          <w:sz w:val="24"/>
          <w:szCs w:val="24"/>
        </w:rPr>
        <w:t xml:space="preserve"> </w:t>
      </w:r>
      <w:r w:rsidR="00485BA8">
        <w:rPr>
          <w:rFonts w:ascii="Times New Roman" w:hAnsi="Times New Roman" w:cs="Times New Roman"/>
          <w:sz w:val="24"/>
          <w:szCs w:val="24"/>
        </w:rPr>
        <w:t xml:space="preserve">statistiques des </w:t>
      </w:r>
      <w:r w:rsidR="00A87127">
        <w:rPr>
          <w:rFonts w:ascii="Times New Roman" w:hAnsi="Times New Roman" w:cs="Times New Roman"/>
          <w:sz w:val="24"/>
          <w:szCs w:val="24"/>
        </w:rPr>
        <w:t>F</w:t>
      </w:r>
      <w:r w:rsidR="00485BA8">
        <w:rPr>
          <w:rFonts w:ascii="Times New Roman" w:hAnsi="Times New Roman" w:cs="Times New Roman"/>
          <w:sz w:val="24"/>
          <w:szCs w:val="24"/>
        </w:rPr>
        <w:t xml:space="preserve">inances </w:t>
      </w:r>
      <w:r w:rsidR="00A87127">
        <w:rPr>
          <w:rFonts w:ascii="Times New Roman" w:hAnsi="Times New Roman" w:cs="Times New Roman"/>
          <w:sz w:val="24"/>
          <w:szCs w:val="24"/>
        </w:rPr>
        <w:t>P</w:t>
      </w:r>
      <w:r w:rsidR="00485BA8">
        <w:rPr>
          <w:rFonts w:ascii="Times New Roman" w:hAnsi="Times New Roman" w:cs="Times New Roman"/>
          <w:sz w:val="24"/>
          <w:szCs w:val="24"/>
        </w:rPr>
        <w:t xml:space="preserve">ublique du </w:t>
      </w:r>
      <w:r w:rsidR="000509EA">
        <w:rPr>
          <w:rFonts w:ascii="Times New Roman" w:hAnsi="Times New Roman" w:cs="Times New Roman"/>
          <w:sz w:val="24"/>
          <w:szCs w:val="24"/>
        </w:rPr>
        <w:t>FMI.</w:t>
      </w:r>
    </w:p>
    <w:p w14:paraId="3F13C2A1" w14:textId="77777777" w:rsidR="00485BA8" w:rsidRPr="00485BA8" w:rsidRDefault="00485BA8" w:rsidP="00485BA8">
      <w:pPr>
        <w:pStyle w:val="Paragraphedeliste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u w:val="single"/>
        </w:rPr>
      </w:pPr>
    </w:p>
    <w:p w14:paraId="5B0A8E4E" w14:textId="19EBB1C9" w:rsidR="00360203" w:rsidRPr="00DE5F86" w:rsidRDefault="00360203" w:rsidP="00485BA8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color w:val="000000" w:themeColor="text1"/>
          <w:u w:val="single"/>
        </w:rPr>
      </w:pPr>
      <w:r w:rsidRPr="00DE5F8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u w:val="single"/>
        </w:rPr>
        <w:t>Population retenue pour le calcul</w:t>
      </w:r>
    </w:p>
    <w:p w14:paraId="3F022160" w14:textId="77777777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Le revenu moyen est calculé sur les agents dont le salaire est conforme au barème officiel de l'État (référentiel anstat_2025). Trois conditions sont requises :</w:t>
      </w:r>
    </w:p>
    <w:p w14:paraId="4FC72DF3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>Être agent fonctionnaire</w:t>
      </w:r>
      <w:r w:rsidRPr="00DE5F86">
        <w:rPr>
          <w:rFonts w:ascii="Times New Roman" w:hAnsi="Times New Roman" w:cs="Times New Roman"/>
          <w:sz w:val="24"/>
          <w:szCs w:val="24"/>
        </w:rPr>
        <w:t xml:space="preserve"> (les contractuels sont exclus)</w:t>
      </w:r>
    </w:p>
    <w:p w14:paraId="273AA775" w14:textId="4B4C8C6E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>Avoir un grade reconnu dans la nomenclature officielle</w:t>
      </w:r>
      <w:r w:rsidRPr="00DE5F86">
        <w:rPr>
          <w:rFonts w:ascii="Times New Roman" w:hAnsi="Times New Roman" w:cs="Times New Roman"/>
          <w:sz w:val="24"/>
          <w:szCs w:val="24"/>
        </w:rPr>
        <w:t xml:space="preserve"> (A</w:t>
      </w:r>
      <w:proofErr w:type="gramStart"/>
      <w:r w:rsidR="00A5361C">
        <w:rPr>
          <w:rFonts w:ascii="Times New Roman" w:hAnsi="Times New Roman" w:cs="Times New Roman"/>
          <w:sz w:val="24"/>
          <w:szCs w:val="24"/>
        </w:rPr>
        <w:t>3</w:t>
      </w:r>
      <w:r w:rsidR="000509EA">
        <w:rPr>
          <w:rFonts w:ascii="Times New Roman" w:hAnsi="Times New Roman" w:cs="Times New Roman"/>
          <w:sz w:val="24"/>
          <w:szCs w:val="24"/>
        </w:rPr>
        <w:t>,A</w:t>
      </w:r>
      <w:proofErr w:type="gramEnd"/>
      <w:r w:rsidR="000509EA">
        <w:rPr>
          <w:rFonts w:ascii="Times New Roman" w:hAnsi="Times New Roman" w:cs="Times New Roman"/>
          <w:sz w:val="24"/>
          <w:szCs w:val="24"/>
        </w:rPr>
        <w:t>4,A5,A6,</w:t>
      </w:r>
      <w:r w:rsidRPr="00DE5F86">
        <w:rPr>
          <w:rFonts w:ascii="Times New Roman" w:hAnsi="Times New Roman" w:cs="Times New Roman"/>
          <w:sz w:val="24"/>
          <w:szCs w:val="24"/>
        </w:rPr>
        <w:t>A7, B</w:t>
      </w:r>
      <w:r w:rsidR="000509EA" w:rsidRPr="00DE5F86">
        <w:rPr>
          <w:rFonts w:ascii="Times New Roman" w:hAnsi="Times New Roman" w:cs="Times New Roman"/>
          <w:sz w:val="24"/>
          <w:szCs w:val="24"/>
        </w:rPr>
        <w:t>1</w:t>
      </w:r>
      <w:r w:rsidR="000509EA">
        <w:rPr>
          <w:rFonts w:ascii="Times New Roman" w:hAnsi="Times New Roman" w:cs="Times New Roman"/>
          <w:sz w:val="24"/>
          <w:szCs w:val="24"/>
        </w:rPr>
        <w:t>,</w:t>
      </w:r>
      <w:r w:rsidR="000509EA" w:rsidRPr="00DE5F86">
        <w:rPr>
          <w:rFonts w:ascii="Times New Roman" w:hAnsi="Times New Roman" w:cs="Times New Roman"/>
          <w:sz w:val="24"/>
          <w:szCs w:val="24"/>
        </w:rPr>
        <w:t xml:space="preserve"> B</w:t>
      </w:r>
      <w:r w:rsidR="00A5361C">
        <w:rPr>
          <w:rFonts w:ascii="Times New Roman" w:hAnsi="Times New Roman" w:cs="Times New Roman"/>
          <w:sz w:val="24"/>
          <w:szCs w:val="24"/>
        </w:rPr>
        <w:t>3</w:t>
      </w:r>
      <w:r w:rsidRPr="00DE5F86">
        <w:rPr>
          <w:rFonts w:ascii="Times New Roman" w:hAnsi="Times New Roman" w:cs="Times New Roman"/>
          <w:sz w:val="24"/>
          <w:szCs w:val="24"/>
        </w:rPr>
        <w:t>, C1</w:t>
      </w:r>
      <w:r w:rsidR="000509EA">
        <w:rPr>
          <w:rFonts w:ascii="Times New Roman" w:hAnsi="Times New Roman" w:cs="Times New Roman"/>
          <w:sz w:val="24"/>
          <w:szCs w:val="24"/>
        </w:rPr>
        <w:t>,C2,</w:t>
      </w:r>
      <w:r w:rsidRPr="00DE5F86">
        <w:rPr>
          <w:rFonts w:ascii="Times New Roman" w:hAnsi="Times New Roman" w:cs="Times New Roman"/>
          <w:sz w:val="24"/>
          <w:szCs w:val="24"/>
        </w:rPr>
        <w:t>C</w:t>
      </w:r>
      <w:r w:rsidR="00A5361C">
        <w:rPr>
          <w:rFonts w:ascii="Times New Roman" w:hAnsi="Times New Roman" w:cs="Times New Roman"/>
          <w:sz w:val="24"/>
          <w:szCs w:val="24"/>
        </w:rPr>
        <w:t>3</w:t>
      </w:r>
      <w:r w:rsidRPr="00DE5F86">
        <w:rPr>
          <w:rFonts w:ascii="Times New Roman" w:hAnsi="Times New Roman" w:cs="Times New Roman"/>
          <w:sz w:val="24"/>
          <w:szCs w:val="24"/>
        </w:rPr>
        <w:t>, D</w:t>
      </w:r>
      <w:r w:rsidR="000509EA" w:rsidRPr="00DE5F86">
        <w:rPr>
          <w:rFonts w:ascii="Times New Roman" w:hAnsi="Times New Roman" w:cs="Times New Roman"/>
          <w:sz w:val="24"/>
          <w:szCs w:val="24"/>
        </w:rPr>
        <w:t>1</w:t>
      </w:r>
      <w:r w:rsidR="000509EA">
        <w:rPr>
          <w:rFonts w:ascii="Times New Roman" w:hAnsi="Times New Roman" w:cs="Times New Roman"/>
          <w:sz w:val="24"/>
          <w:szCs w:val="24"/>
        </w:rPr>
        <w:t>,</w:t>
      </w:r>
      <w:r w:rsidR="000509EA" w:rsidRPr="00DE5F86">
        <w:rPr>
          <w:rFonts w:ascii="Times New Roman" w:hAnsi="Times New Roman" w:cs="Times New Roman"/>
          <w:sz w:val="24"/>
          <w:szCs w:val="24"/>
        </w:rPr>
        <w:t xml:space="preserve"> D</w:t>
      </w:r>
      <w:r w:rsidRPr="00DE5F86">
        <w:rPr>
          <w:rFonts w:ascii="Times New Roman" w:hAnsi="Times New Roman" w:cs="Times New Roman"/>
          <w:sz w:val="24"/>
          <w:szCs w:val="24"/>
        </w:rPr>
        <w:t>2)</w:t>
      </w:r>
    </w:p>
    <w:p w14:paraId="103707BA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>Avoir un salaire situé dans la fourchette [min, max]</w:t>
      </w:r>
      <w:r w:rsidRPr="00DE5F86">
        <w:rPr>
          <w:rFonts w:ascii="Times New Roman" w:hAnsi="Times New Roman" w:cs="Times New Roman"/>
          <w:sz w:val="24"/>
          <w:szCs w:val="24"/>
        </w:rPr>
        <w:t xml:space="preserve"> du barème de son grade et secteur</w:t>
      </w:r>
    </w:p>
    <w:p w14:paraId="2A302457" w14:textId="77777777" w:rsidR="00360203" w:rsidRPr="00DE5F86" w:rsidRDefault="00360203" w:rsidP="00360203">
      <w:p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7E54868B" w14:textId="41A149C4" w:rsidR="00342D37" w:rsidRPr="00DE5F86" w:rsidRDefault="00360203" w:rsidP="00342D37">
      <w:pPr>
        <w:shd w:val="clear" w:color="auto" w:fill="FFF9E6"/>
        <w:spacing w:before="80" w:after="8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color w:val="7F4F00"/>
          <w:sz w:val="24"/>
          <w:szCs w:val="24"/>
        </w:rPr>
        <w:t xml:space="preserve">Note : </w:t>
      </w:r>
    </w:p>
    <w:p w14:paraId="0BBA7896" w14:textId="716855C2" w:rsidR="00342D37" w:rsidRPr="00DE5F86" w:rsidRDefault="00342D37" w:rsidP="00342D37">
      <w:pPr>
        <w:shd w:val="clear" w:color="auto" w:fill="FFF9E6"/>
        <w:spacing w:before="80" w:after="8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>L'organisme de code 59</w:t>
      </w:r>
      <w:r w:rsidRPr="00DE5F86">
        <w:rPr>
          <w:rFonts w:ascii="Times New Roman" w:hAnsi="Times New Roman" w:cs="Times New Roman"/>
          <w:sz w:val="24"/>
          <w:szCs w:val="24"/>
        </w:rPr>
        <w:t xml:space="preserve">, correspondant </w:t>
      </w:r>
      <w:r w:rsidR="00A5361C">
        <w:rPr>
          <w:rFonts w:ascii="Times New Roman" w:hAnsi="Times New Roman" w:cs="Times New Roman"/>
          <w:sz w:val="24"/>
          <w:szCs w:val="24"/>
        </w:rPr>
        <w:t xml:space="preserve">aux </w:t>
      </w:r>
      <w:r w:rsidR="00ED1A1A">
        <w:rPr>
          <w:rFonts w:ascii="Times New Roman" w:hAnsi="Times New Roman" w:cs="Times New Roman"/>
          <w:sz w:val="24"/>
          <w:szCs w:val="24"/>
        </w:rPr>
        <w:t>représentations Nationales à l’Etranger,</w:t>
      </w:r>
      <w:r w:rsidRPr="00DE5F86">
        <w:rPr>
          <w:rFonts w:ascii="Times New Roman" w:hAnsi="Times New Roman" w:cs="Times New Roman"/>
          <w:sz w:val="24"/>
          <w:szCs w:val="24"/>
        </w:rPr>
        <w:t xml:space="preserve"> est exclu de l'analyse. Les agents de cet organisme </w:t>
      </w:r>
      <w:r w:rsidR="00F5096E">
        <w:rPr>
          <w:rFonts w:ascii="Times New Roman" w:hAnsi="Times New Roman" w:cs="Times New Roman"/>
          <w:sz w:val="24"/>
          <w:szCs w:val="24"/>
        </w:rPr>
        <w:t>bénéficient d’indemnités spécifiques</w:t>
      </w:r>
      <w:r w:rsidRPr="00DE5F86">
        <w:rPr>
          <w:rFonts w:ascii="Times New Roman" w:hAnsi="Times New Roman" w:cs="Times New Roman"/>
          <w:sz w:val="24"/>
          <w:szCs w:val="24"/>
        </w:rPr>
        <w:t>, non comparable à la grille salariale nationale utilisée comme référence.</w:t>
      </w:r>
    </w:p>
    <w:p w14:paraId="13EEF92C" w14:textId="7E48E6DF" w:rsidR="00360203" w:rsidRPr="00DE5F86" w:rsidRDefault="00360203" w:rsidP="00360203">
      <w:pPr>
        <w:shd w:val="clear" w:color="auto" w:fill="FFF9E6"/>
        <w:spacing w:before="80" w:after="8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1D9BF1C" w14:textId="77777777" w:rsidR="00360203" w:rsidRPr="00DE5F86" w:rsidRDefault="00360203" w:rsidP="00360203">
      <w:pPr>
        <w:spacing w:before="60" w:after="60"/>
        <w:rPr>
          <w:rFonts w:ascii="Times New Roman" w:hAnsi="Times New Roman" w:cs="Times New Roman"/>
        </w:rPr>
      </w:pPr>
    </w:p>
    <w:p w14:paraId="01FA557F" w14:textId="74E811AF" w:rsidR="00360203" w:rsidRPr="00DE5F86" w:rsidRDefault="00360203" w:rsidP="00360203">
      <w:pPr>
        <w:pStyle w:val="Titre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>Revenus désagrégés par secteur</w:t>
      </w:r>
    </w:p>
    <w:p w14:paraId="7BAE8A40" w14:textId="77777777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 xml:space="preserve">En complément du salaire strict (codes 124 + 228 + 271 + 425), une deuxième mesure du revenu est calculée : le salaire brut total. Il correspond au montant brut total versé à l'agent tel qu'il apparaît </w:t>
      </w:r>
      <w:r w:rsidRPr="00DE5F86">
        <w:rPr>
          <w:rFonts w:ascii="Times New Roman" w:hAnsi="Times New Roman" w:cs="Times New Roman"/>
          <w:sz w:val="24"/>
          <w:szCs w:val="24"/>
        </w:rPr>
        <w:lastRenderedPageBreak/>
        <w:t>dans le fichier de paie, tous codes postes confondus (y compris les indemnités et l'allocation familiale).</w:t>
      </w:r>
    </w:p>
    <w:p w14:paraId="71FAC464" w14:textId="77777777" w:rsidR="00360203" w:rsidRPr="00DE5F86" w:rsidRDefault="00360203" w:rsidP="00360203">
      <w:pPr>
        <w:spacing w:before="60" w:after="60"/>
        <w:rPr>
          <w:rFonts w:ascii="Times New Roman" w:hAnsi="Times New Roman" w:cs="Times New Roman"/>
        </w:rPr>
      </w:pPr>
    </w:p>
    <w:p w14:paraId="3C4D2CEF" w14:textId="77777777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Cette variable permet de produire des indicateurs de revenu désagrégés par secteur, selon les axes suivants :</w:t>
      </w:r>
    </w:p>
    <w:p w14:paraId="77C1A95C" w14:textId="01A1BC7E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Par barème (secteur d'appartenance) : </w:t>
      </w:r>
      <w:r w:rsidRPr="00DE5F86">
        <w:rPr>
          <w:rFonts w:ascii="Times New Roman" w:hAnsi="Times New Roman" w:cs="Times New Roman"/>
          <w:sz w:val="24"/>
          <w:szCs w:val="24"/>
        </w:rPr>
        <w:t>Enseignement Primaire</w:t>
      </w:r>
      <w:r w:rsidR="00ED1A1A">
        <w:rPr>
          <w:rFonts w:ascii="Times New Roman" w:hAnsi="Times New Roman" w:cs="Times New Roman"/>
          <w:sz w:val="24"/>
          <w:szCs w:val="24"/>
        </w:rPr>
        <w:t xml:space="preserve"> et</w:t>
      </w:r>
      <w:r w:rsidRPr="00DE5F86">
        <w:rPr>
          <w:rFonts w:ascii="Times New Roman" w:hAnsi="Times New Roman" w:cs="Times New Roman"/>
          <w:sz w:val="24"/>
          <w:szCs w:val="24"/>
        </w:rPr>
        <w:t xml:space="preserve"> Secondaire, Enseignement Supérieur, Santé (cadres supérieurs et personnels techniques), </w:t>
      </w:r>
      <w:r w:rsidR="00A87127">
        <w:rPr>
          <w:rFonts w:ascii="Times New Roman" w:hAnsi="Times New Roman" w:cs="Times New Roman"/>
          <w:sz w:val="24"/>
          <w:szCs w:val="24"/>
        </w:rPr>
        <w:t xml:space="preserve">Grille </w:t>
      </w:r>
      <w:r w:rsidRPr="00DE5F86">
        <w:rPr>
          <w:rFonts w:ascii="Times New Roman" w:hAnsi="Times New Roman" w:cs="Times New Roman"/>
          <w:sz w:val="24"/>
          <w:szCs w:val="24"/>
        </w:rPr>
        <w:t>Général, Magistrats, Corps préfectoral, Greffiers</w:t>
      </w:r>
      <w:r w:rsidR="00485BA8">
        <w:rPr>
          <w:rFonts w:ascii="Times New Roman" w:hAnsi="Times New Roman" w:cs="Times New Roman"/>
          <w:sz w:val="24"/>
          <w:szCs w:val="24"/>
        </w:rPr>
        <w:t>, corps diplomatiques.</w:t>
      </w:r>
    </w:p>
    <w:p w14:paraId="5B8B14C6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Par barème × grade : </w:t>
      </w:r>
      <w:r w:rsidRPr="00DE5F86">
        <w:rPr>
          <w:rFonts w:ascii="Times New Roman" w:hAnsi="Times New Roman" w:cs="Times New Roman"/>
          <w:sz w:val="24"/>
          <w:szCs w:val="24"/>
        </w:rPr>
        <w:t>croisement du secteur d'appartenance et du grade de l'agent (ex : Enseignement Supérieur × A3)</w:t>
      </w:r>
    </w:p>
    <w:p w14:paraId="01A8CE91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sz w:val="24"/>
          <w:szCs w:val="24"/>
        </w:rPr>
        <w:t xml:space="preserve">Par barème × sexe : </w:t>
      </w:r>
      <w:r w:rsidRPr="00DE5F86">
        <w:rPr>
          <w:rFonts w:ascii="Times New Roman" w:hAnsi="Times New Roman" w:cs="Times New Roman"/>
          <w:sz w:val="24"/>
          <w:szCs w:val="24"/>
        </w:rPr>
        <w:t>ventilation par genre au sein de chaque secteur</w:t>
      </w:r>
    </w:p>
    <w:p w14:paraId="440953F6" w14:textId="77777777" w:rsidR="00360203" w:rsidRPr="00DE5F86" w:rsidRDefault="00360203" w:rsidP="00360203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6E28E" w14:textId="77777777" w:rsidR="00360203" w:rsidRPr="00DE5F86" w:rsidRDefault="00360203" w:rsidP="00360203">
      <w:pPr>
        <w:shd w:val="clear" w:color="auto" w:fill="FFF9E6"/>
        <w:spacing w:before="80" w:after="8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b/>
          <w:bCs/>
          <w:color w:val="7F4F00"/>
          <w:sz w:val="24"/>
          <w:szCs w:val="24"/>
        </w:rPr>
        <w:t xml:space="preserve">Note : </w:t>
      </w:r>
      <w:r w:rsidRPr="00DE5F86">
        <w:rPr>
          <w:rFonts w:ascii="Times New Roman" w:hAnsi="Times New Roman" w:cs="Times New Roman"/>
          <w:sz w:val="24"/>
          <w:szCs w:val="24"/>
        </w:rPr>
        <w:t>Seuls les agents dont le salaire brut total est conforme au barème total de référence (anstat_2025) sont inclus dans ces indicateurs.</w:t>
      </w:r>
    </w:p>
    <w:p w14:paraId="188E2CE4" w14:textId="77777777" w:rsidR="00360203" w:rsidRPr="00DE5F86" w:rsidRDefault="00360203" w:rsidP="00360203">
      <w:pPr>
        <w:spacing w:before="60" w:after="60"/>
        <w:rPr>
          <w:rFonts w:ascii="Times New Roman" w:hAnsi="Times New Roman" w:cs="Times New Roman"/>
        </w:rPr>
      </w:pPr>
    </w:p>
    <w:p w14:paraId="05576FAC" w14:textId="3B229A63" w:rsidR="00360203" w:rsidRPr="00DE5F86" w:rsidRDefault="00360203" w:rsidP="00360203">
      <w:pPr>
        <w:pStyle w:val="Titre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color w:val="000000" w:themeColor="text1"/>
          <w:sz w:val="30"/>
          <w:szCs w:val="30"/>
          <w:u w:val="single"/>
        </w:rPr>
        <w:t>Synthèse des indicateurs produits</w:t>
      </w:r>
    </w:p>
    <w:p w14:paraId="3C98781A" w14:textId="204FD72C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Le document final regroupe deux familles d'indicateurs :</w:t>
      </w:r>
    </w:p>
    <w:p w14:paraId="40445111" w14:textId="77777777" w:rsidR="00360203" w:rsidRPr="00DE5F86" w:rsidRDefault="00360203" w:rsidP="00E507DE">
      <w:pPr>
        <w:pStyle w:val="Titre2"/>
        <w:spacing w:line="276" w:lineRule="auto"/>
        <w:ind w:left="60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  <w:t>Indicateurs sur le salaire (codes 124 + 228 + 271 + 425)</w:t>
      </w:r>
    </w:p>
    <w:p w14:paraId="17E6C7EE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grade</w:t>
      </w:r>
    </w:p>
    <w:p w14:paraId="0B90A545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grade et par sexe</w:t>
      </w:r>
    </w:p>
    <w:p w14:paraId="4720F732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groupe de professions (CITP)</w:t>
      </w:r>
    </w:p>
    <w:p w14:paraId="56B81CAB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des agents multi-postes (occupant plusieurs postes simultanément)</w:t>
      </w:r>
    </w:p>
    <w:p w14:paraId="7030AE59" w14:textId="77777777" w:rsidR="00360203" w:rsidRPr="00DE5F86" w:rsidRDefault="00360203" w:rsidP="00360203">
      <w:p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169D918F" w14:textId="77777777" w:rsidR="00360203" w:rsidRPr="00DE5F86" w:rsidRDefault="00360203" w:rsidP="00E507DE">
      <w:pPr>
        <w:pStyle w:val="Titre2"/>
        <w:spacing w:line="276" w:lineRule="auto"/>
        <w:ind w:left="60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r w:rsidRPr="00DE5F86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  <w:t>Indicateurs sur le salaire brut total (tous codes postes)</w:t>
      </w:r>
    </w:p>
    <w:p w14:paraId="35E5CCED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secteur (barème)</w:t>
      </w:r>
    </w:p>
    <w:p w14:paraId="4BF37FDB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secteur × grade</w:t>
      </w:r>
    </w:p>
    <w:p w14:paraId="577CD3A4" w14:textId="77777777" w:rsidR="00360203" w:rsidRPr="00DE5F86" w:rsidRDefault="00360203" w:rsidP="00360203">
      <w:pPr>
        <w:pStyle w:val="Paragraphedeliste"/>
        <w:numPr>
          <w:ilvl w:val="0"/>
          <w:numId w:val="1"/>
        </w:numPr>
        <w:spacing w:before="50" w:after="5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Revenu moyen par secteur × sexe</w:t>
      </w:r>
    </w:p>
    <w:p w14:paraId="6AD027AC" w14:textId="77777777" w:rsidR="00360203" w:rsidRPr="00DE5F86" w:rsidRDefault="00360203" w:rsidP="00360203">
      <w:p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4E8EDD4E" w14:textId="77777777" w:rsidR="00360203" w:rsidRPr="00DE5F86" w:rsidRDefault="00360203" w:rsidP="0036020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F86">
        <w:rPr>
          <w:rFonts w:ascii="Times New Roman" w:hAnsi="Times New Roman" w:cs="Times New Roman"/>
          <w:sz w:val="24"/>
          <w:szCs w:val="24"/>
        </w:rPr>
        <w:t>Pour chaque indicateur, les statistiques suivantes sont fournies : effectif, P25, médiane, P75 et moyenne.</w:t>
      </w:r>
    </w:p>
    <w:p w14:paraId="50850A6A" w14:textId="77777777" w:rsidR="00335E4A" w:rsidRPr="00360203" w:rsidRDefault="00335E4A">
      <w:pPr>
        <w:rPr>
          <w:rFonts w:ascii="Times New Roman" w:hAnsi="Times New Roman" w:cs="Times New Roman"/>
        </w:rPr>
      </w:pPr>
    </w:p>
    <w:sectPr w:rsidR="00335E4A" w:rsidRPr="00360203" w:rsidSect="00360203"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DBED" w14:textId="77777777" w:rsidR="00007013" w:rsidRDefault="00007013" w:rsidP="00360203">
      <w:r>
        <w:separator/>
      </w:r>
    </w:p>
  </w:endnote>
  <w:endnote w:type="continuationSeparator" w:id="0">
    <w:p w14:paraId="7BA8FB07" w14:textId="77777777" w:rsidR="00007013" w:rsidRDefault="00007013" w:rsidP="00360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5707474"/>
      <w:docPartObj>
        <w:docPartGallery w:val="Page Numbers (Bottom of Page)"/>
        <w:docPartUnique/>
      </w:docPartObj>
    </w:sdtPr>
    <w:sdtEndPr/>
    <w:sdtContent>
      <w:p w14:paraId="6D0AA6C6" w14:textId="36A52C17" w:rsidR="00360203" w:rsidRDefault="00360203" w:rsidP="00342D3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92FD" w14:textId="77777777" w:rsidR="00007013" w:rsidRDefault="00007013" w:rsidP="00360203">
      <w:r>
        <w:separator/>
      </w:r>
    </w:p>
  </w:footnote>
  <w:footnote w:type="continuationSeparator" w:id="0">
    <w:p w14:paraId="636AFED5" w14:textId="77777777" w:rsidR="00007013" w:rsidRDefault="00007013" w:rsidP="00360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550F"/>
    <w:multiLevelType w:val="hybridMultilevel"/>
    <w:tmpl w:val="B55AEF70"/>
    <w:lvl w:ilvl="0" w:tplc="5AF0397C">
      <w:start w:val="1"/>
      <w:numFmt w:val="bullet"/>
      <w:lvlText w:val="•"/>
      <w:lvlJc w:val="left"/>
      <w:pPr>
        <w:ind w:left="600" w:hanging="300"/>
      </w:pPr>
    </w:lvl>
    <w:lvl w:ilvl="1" w:tplc="AF06F792">
      <w:numFmt w:val="decimal"/>
      <w:lvlText w:val=""/>
      <w:lvlJc w:val="left"/>
    </w:lvl>
    <w:lvl w:ilvl="2" w:tplc="4FEED87C">
      <w:numFmt w:val="decimal"/>
      <w:lvlText w:val=""/>
      <w:lvlJc w:val="left"/>
    </w:lvl>
    <w:lvl w:ilvl="3" w:tplc="9E3033E4">
      <w:numFmt w:val="decimal"/>
      <w:lvlText w:val=""/>
      <w:lvlJc w:val="left"/>
    </w:lvl>
    <w:lvl w:ilvl="4" w:tplc="07941FAE">
      <w:numFmt w:val="decimal"/>
      <w:lvlText w:val=""/>
      <w:lvlJc w:val="left"/>
    </w:lvl>
    <w:lvl w:ilvl="5" w:tplc="967EEB6A">
      <w:numFmt w:val="decimal"/>
      <w:lvlText w:val=""/>
      <w:lvlJc w:val="left"/>
    </w:lvl>
    <w:lvl w:ilvl="6" w:tplc="CB5AD600">
      <w:numFmt w:val="decimal"/>
      <w:lvlText w:val=""/>
      <w:lvlJc w:val="left"/>
    </w:lvl>
    <w:lvl w:ilvl="7" w:tplc="6A469C36">
      <w:numFmt w:val="decimal"/>
      <w:lvlText w:val=""/>
      <w:lvlJc w:val="left"/>
    </w:lvl>
    <w:lvl w:ilvl="8" w:tplc="6E96DE64">
      <w:numFmt w:val="decimal"/>
      <w:lvlText w:val=""/>
      <w:lvlJc w:val="left"/>
    </w:lvl>
  </w:abstractNum>
  <w:abstractNum w:abstractNumId="1" w15:restartNumberingAfterBreak="0">
    <w:nsid w:val="2E731BD2"/>
    <w:multiLevelType w:val="hybridMultilevel"/>
    <w:tmpl w:val="BC2A1494"/>
    <w:lvl w:ilvl="0" w:tplc="B4D603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03"/>
    <w:rsid w:val="00007013"/>
    <w:rsid w:val="00043F8F"/>
    <w:rsid w:val="000509EA"/>
    <w:rsid w:val="000F062E"/>
    <w:rsid w:val="00183752"/>
    <w:rsid w:val="001D1FDC"/>
    <w:rsid w:val="00245CDC"/>
    <w:rsid w:val="00335E4A"/>
    <w:rsid w:val="00342D37"/>
    <w:rsid w:val="00360203"/>
    <w:rsid w:val="00432E17"/>
    <w:rsid w:val="00451BAB"/>
    <w:rsid w:val="004530F7"/>
    <w:rsid w:val="00485BA8"/>
    <w:rsid w:val="004B3F04"/>
    <w:rsid w:val="00717674"/>
    <w:rsid w:val="009C778A"/>
    <w:rsid w:val="009E4CDA"/>
    <w:rsid w:val="00A5361C"/>
    <w:rsid w:val="00A87127"/>
    <w:rsid w:val="00B94DA3"/>
    <w:rsid w:val="00BD62AC"/>
    <w:rsid w:val="00C51B62"/>
    <w:rsid w:val="00CC49F9"/>
    <w:rsid w:val="00DE5F86"/>
    <w:rsid w:val="00E0078A"/>
    <w:rsid w:val="00E20BB1"/>
    <w:rsid w:val="00E507DE"/>
    <w:rsid w:val="00ED1A1A"/>
    <w:rsid w:val="00F5096E"/>
    <w:rsid w:val="00FF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4DC39"/>
  <w15:chartTrackingRefBased/>
  <w15:docId w15:val="{221C02FA-547C-44D9-A287-2DE27FA6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203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6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02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02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02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02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02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02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02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02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02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02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0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0203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3602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02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02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020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6020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60203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36020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60203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02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9135A-F781-4822-B8DA-DF9ECC187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Aminata ZONGO</dc:creator>
  <cp:keywords/>
  <dc:description/>
  <cp:lastModifiedBy>Kimou Sandrine Prisca (430789C)</cp:lastModifiedBy>
  <cp:revision>22</cp:revision>
  <cp:lastPrinted>2026-05-29T09:59:00Z</cp:lastPrinted>
  <dcterms:created xsi:type="dcterms:W3CDTF">2026-05-28T17:53:00Z</dcterms:created>
  <dcterms:modified xsi:type="dcterms:W3CDTF">2026-05-29T16:04:00Z</dcterms:modified>
</cp:coreProperties>
</file>