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B18F4D"/>
          <w:sz w:val="18"/>
        </w:rPr>
        <w:t>CLIENT DECISION WORKBOOK</w:t>
      </w:r>
    </w:p>
    <w:p>
      <w:pPr>
        <w:spacing w:after="120"/>
      </w:pPr>
      <w:r>
        <w:rPr>
          <w:rFonts w:ascii="Calibri" w:hAnsi="Calibri"/>
          <w:b/>
          <w:color w:val="0F2038"/>
          <w:sz w:val="48"/>
        </w:rPr>
        <w:t>Anchor Website Copy Priorities</w:t>
      </w:r>
    </w:p>
    <w:p>
      <w:pPr>
        <w:spacing w:after="200"/>
      </w:pPr>
      <w:r>
        <w:rPr>
          <w:rFonts w:ascii="Calibri" w:hAnsi="Calibri"/>
          <w:color w:val="425B72"/>
          <w:sz w:val="22"/>
        </w:rPr>
        <w:t>Part 1 contains the decisions that materially affect accuracy, trust, positioning, and conversion. Complete those first. Part 2 contains secondary wording that only needs attention if Alex wants it changed.</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FFF"/>
          </w:tcPr>
          <w:p>
            <w:pPr>
              <w:spacing w:after="60"/>
            </w:pPr>
            <w:r/>
          </w:p>
          <w:p>
            <w:pPr>
              <w:spacing w:before="0" w:after="80"/>
            </w:pPr>
            <w:r>
              <w:rPr>
                <w:rFonts w:ascii="Calibri" w:hAnsi="Calibri"/>
                <w:b/>
                <w:color w:val="B18F4D"/>
                <w:sz w:val="15"/>
              </w:rPr>
              <w:t>START HERE</w:t>
            </w:r>
          </w:p>
          <w:p>
            <w:pPr>
              <w:spacing w:after="100"/>
            </w:pPr>
            <w:r>
              <w:rPr>
                <w:rFonts w:ascii="Calibri" w:hAnsi="Calibri"/>
                <w:b/>
                <w:color w:val="0F2038"/>
                <w:sz w:val="21"/>
              </w:rPr>
              <w:t>How to complete this review</w:t>
            </w:r>
          </w:p>
          <w:p>
            <w:pPr>
              <w:spacing w:after="80"/>
            </w:pPr>
            <w:r>
              <w:rPr>
                <w:rFonts w:ascii="Calibri" w:hAnsi="Calibri"/>
                <w:color w:val="425B72"/>
                <w:sz w:val="19"/>
              </w:rPr>
              <w:t>1. Complete every REQUIRED BEFORE LAUNCH block.</w:t>
            </w:r>
          </w:p>
          <w:p>
            <w:pPr>
              <w:spacing w:after="80"/>
            </w:pPr>
            <w:r>
              <w:rPr>
                <w:rFonts w:ascii="Calibri" w:hAnsi="Calibri"/>
                <w:color w:val="425B72"/>
                <w:sz w:val="19"/>
              </w:rPr>
              <w:t>2. Review the HIGH-IMPACT MESSAGE blocks and change only what does not sound like Alex.</w:t>
            </w:r>
          </w:p>
          <w:p>
            <w:pPr>
              <w:spacing w:after="80"/>
            </w:pPr>
            <w:r>
              <w:rPr>
                <w:rFonts w:ascii="Calibri" w:hAnsi="Calibri"/>
                <w:color w:val="425B72"/>
                <w:sz w:val="19"/>
              </w:rPr>
              <w:t>3. Complete CONTENT DIRECTION if articles or the podcast will launch with the site.</w:t>
            </w:r>
          </w:p>
          <w:p>
            <w:pPr>
              <w:spacing w:after="80"/>
            </w:pPr>
            <w:r>
              <w:rPr>
                <w:rFonts w:ascii="Calibri" w:hAnsi="Calibri"/>
                <w:color w:val="425B72"/>
                <w:sz w:val="19"/>
              </w:rPr>
              <w:t>4. Use Part 2 only for wording Alex actively wants to change.</w:t>
            </w:r>
          </w:p>
          <w:p>
            <w:pPr>
              <w:spacing w:after="80"/>
            </w:pPr>
            <w:r>
              <w:rPr>
                <w:rFonts w:ascii="Calibri" w:hAnsi="Calibri"/>
                <w:color w:val="425B72"/>
                <w:sz w:val="19"/>
              </w:rPr>
              <w:t>5. Plain-language notes are enough; final copy will be polished after the factual decisions are settled.</w:t>
            </w:r>
          </w:p>
          <w:p>
            <w:pPr>
              <w:spacing w:after="80"/>
            </w:pPr>
            <w:r>
              <w:rPr>
                <w:rFonts w:ascii="Calibri" w:hAnsi="Calibri"/>
                <w:color w:val="425B72"/>
                <w:sz w:val="19"/>
              </w:rPr>
              <w:t>REMOVED FROM THIS WORKBOOK: routine navigation, repeated buttons, standard footer labels, SEO/social metadata, schema, accessibility labels, and duplicated copy that can safely remain as written.</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Use this box for any overall voice direction or non-negotiable language.</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p>
      <w:r>
        <w:br w:type="page"/>
      </w:r>
    </w:p>
    <w:p>
      <w:pPr>
        <w:keepNext/>
        <w:pageBreakBefore w:val="0"/>
        <w:spacing w:before="0" w:after="40"/>
      </w:pPr>
      <w:r>
        <w:rPr>
          <w:rFonts w:ascii="Calibri" w:hAnsi="Calibri"/>
          <w:b/>
          <w:color w:val="B18F4D"/>
          <w:sz w:val="16"/>
        </w:rPr>
        <w:t>PART 1 — COMPLETE FIRST</w:t>
      </w:r>
    </w:p>
    <w:p>
      <w:pPr>
        <w:pStyle w:val="Heading1"/>
      </w:pPr>
      <w:r>
        <w:t>The copy decisions that matter</w:t>
      </w:r>
    </w:p>
    <w:p>
      <w:pPr>
        <w:spacing w:after="160"/>
      </w:pPr>
      <w:r>
        <w:rPr>
          <w:rFonts w:ascii="Calibri" w:hAnsi="Calibri"/>
          <w:i/>
          <w:color w:val="425B72"/>
          <w:sz w:val="19"/>
        </w:rPr>
        <w:t>These blocks are intentionally ordered by launch risk and business impact. Alex does not need to work through the website page by page.</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9ED"/>
          </w:tcPr>
          <w:p>
            <w:pPr>
              <w:spacing w:after="60"/>
            </w:pPr>
            <w:r/>
          </w:p>
          <w:p>
            <w:pPr>
              <w:spacing w:before="0" w:after="80"/>
            </w:pPr>
            <w:r>
              <w:rPr>
                <w:rFonts w:ascii="Calibri" w:hAnsi="Calibri"/>
                <w:b/>
                <w:color w:val="B18F4D"/>
                <w:sz w:val="15"/>
              </w:rPr>
              <w:t>REQUIRED BEFORE LAUNCH</w:t>
            </w:r>
          </w:p>
          <w:p>
            <w:pPr>
              <w:spacing w:after="100"/>
            </w:pPr>
            <w:r>
              <w:rPr>
                <w:rFonts w:ascii="Calibri" w:hAnsi="Calibri"/>
                <w:b/>
                <w:color w:val="0F2038"/>
                <w:sz w:val="21"/>
              </w:rPr>
              <w:t>Firm identity and legal disclosure</w:t>
            </w:r>
          </w:p>
          <w:p>
            <w:pPr>
              <w:spacing w:after="80"/>
            </w:pPr>
            <w:r>
              <w:rPr>
                <w:rFonts w:ascii="Calibri" w:hAnsi="Calibri"/>
                <w:color w:val="425B72"/>
                <w:sz w:val="19"/>
              </w:rPr>
              <w:t>CURRENT POSITIONING: Houston-based fiduciary wealth management for high-net-worth families, oil &amp; gas executives, and business owners.</w:t>
            </w:r>
          </w:p>
          <w:p>
            <w:pPr>
              <w:spacing w:after="80"/>
            </w:pPr>
            <w:r>
              <w:rPr>
                <w:rFonts w:ascii="Calibri" w:hAnsi="Calibri"/>
                <w:color w:val="425B72"/>
                <w:sz w:val="19"/>
              </w:rPr>
              <w:t>CURRENT PLACEHOLDER: [VERIFY: RIA entity name] is a registered investment advisor.</w:t>
            </w:r>
          </w:p>
          <w:p>
            <w:pPr>
              <w:spacing w:after="80"/>
            </w:pPr>
            <w:r>
              <w:rPr>
                <w:rFonts w:ascii="Calibri" w:hAnsi="Calibri"/>
                <w:color w:val="425B72"/>
                <w:sz w:val="19"/>
              </w:rPr>
              <w:t>CURRENT DISCLOSURE: Information presented is for educational purposes only and does not intend to make an offer or solicitation for the sale or purchase of any specific securities, investments, or investment strategies. Investments involve risk and unless otherwise stated, are not guaranteed. Past performance is not a guarantee of future results.</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Provide the exact legal entity name, approved regulatory description, and compliance-approved disclosure. Confirm whether ‘fiduciary wealth management’ is approved public language.</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9ED"/>
          </w:tcPr>
          <w:p>
            <w:pPr>
              <w:spacing w:after="60"/>
            </w:pPr>
            <w:r/>
          </w:p>
          <w:p>
            <w:pPr>
              <w:spacing w:before="0" w:after="80"/>
            </w:pPr>
            <w:r>
              <w:rPr>
                <w:rFonts w:ascii="Calibri" w:hAnsi="Calibri"/>
                <w:b/>
                <w:color w:val="B18F4D"/>
                <w:sz w:val="15"/>
              </w:rPr>
              <w:t>REQUIRED BEFORE LAUNCH</w:t>
            </w:r>
          </w:p>
          <w:p>
            <w:pPr>
              <w:spacing w:after="100"/>
            </w:pPr>
            <w:r>
              <w:rPr>
                <w:rFonts w:ascii="Calibri" w:hAnsi="Calibri"/>
                <w:b/>
                <w:color w:val="0F2038"/>
                <w:sz w:val="21"/>
              </w:rPr>
              <w:t>Alex’s public title, biography, and founding story</w:t>
            </w:r>
          </w:p>
          <w:p>
            <w:pPr>
              <w:spacing w:after="80"/>
            </w:pPr>
            <w:r>
              <w:rPr>
                <w:rFonts w:ascii="Calibri" w:hAnsi="Calibri"/>
                <w:color w:val="425B72"/>
                <w:sz w:val="19"/>
              </w:rPr>
              <w:t>CURRENT TITLE: Alex Miller, Financial Advisor and Managing Partner (client supplied; compliance review pending).</w:t>
            </w:r>
          </w:p>
          <w:p>
            <w:pPr>
              <w:spacing w:after="80"/>
            </w:pPr>
            <w:r>
              <w:rPr>
                <w:rFonts w:ascii="Calibri" w:hAnsi="Calibri"/>
                <w:color w:val="425B72"/>
                <w:sz w:val="19"/>
              </w:rPr>
              <w:t>CURRENT STORY POSITIONING: Anchor was founded to coordinate the decisions that fall between investments, taxes, estate work, and business planning.</w:t>
            </w:r>
          </w:p>
          <w:p>
            <w:pPr>
              <w:spacing w:after="80"/>
            </w:pPr>
            <w:r>
              <w:rPr>
                <w:rFonts w:ascii="Calibri" w:hAnsi="Calibri"/>
                <w:color w:val="425B72"/>
                <w:sz w:val="19"/>
              </w:rPr>
              <w:t>CURRENT BIOGRAPHY: Alex brings 19 years of experience helping individuals and families pursue their financial goals through comprehensive planning and investment management. His work emphasizes family legacy, estate and wealth planning, and retirement strategies.</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Supply Alex’s exact title, approved short biography, prior-firm history, founding story, community involvement, and any personal details that should appear publicly.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9ED"/>
          </w:tcPr>
          <w:p>
            <w:pPr>
              <w:spacing w:after="60"/>
            </w:pPr>
            <w:r/>
          </w:p>
          <w:p>
            <w:pPr>
              <w:spacing w:before="0" w:after="80"/>
            </w:pPr>
            <w:r>
              <w:rPr>
                <w:rFonts w:ascii="Calibri" w:hAnsi="Calibri"/>
                <w:b/>
                <w:color w:val="B18F4D"/>
                <w:sz w:val="15"/>
              </w:rPr>
              <w:t>REQUIRED BEFORE LAUNCH</w:t>
            </w:r>
          </w:p>
          <w:p>
            <w:pPr>
              <w:spacing w:after="100"/>
            </w:pPr>
            <w:r>
              <w:rPr>
                <w:rFonts w:ascii="Calibri" w:hAnsi="Calibri"/>
                <w:b/>
                <w:color w:val="0F2038"/>
                <w:sz w:val="21"/>
              </w:rPr>
              <w:t>Verified experience, credentials, and accolades</w:t>
            </w:r>
          </w:p>
          <w:p>
            <w:pPr>
              <w:spacing w:after="80"/>
            </w:pPr>
            <w:r>
              <w:rPr>
                <w:rFonts w:ascii="Calibri" w:hAnsi="Calibri"/>
                <w:color w:val="425B72"/>
                <w:sz w:val="19"/>
              </w:rPr>
              <w:t>19 years in the industry (client supplied; compliance review pending).</w:t>
            </w:r>
          </w:p>
          <w:p>
            <w:pPr>
              <w:spacing w:after="80"/>
            </w:pPr>
            <w:r>
              <w:rPr>
                <w:rFonts w:ascii="Calibri" w:hAnsi="Calibri"/>
                <w:color w:val="425B72"/>
                <w:sz w:val="19"/>
              </w:rPr>
              <w:t>APMA® — Accredited Portfolio Management Advisor, College for Financial Planning (client supplied; compliance review pending).</w:t>
            </w:r>
          </w:p>
          <w:p>
            <w:pPr>
              <w:spacing w:after="80"/>
            </w:pPr>
            <w:r>
              <w:rPr>
                <w:rFonts w:ascii="Calibri" w:hAnsi="Calibri"/>
                <w:color w:val="425B72"/>
                <w:sz w:val="19"/>
              </w:rPr>
              <w:t>CRPC® — Chartered Retirement Planning Counselor, College for Financial Planning (client supplied; compliance review pending).</w:t>
            </w:r>
          </w:p>
          <w:p>
            <w:pPr>
              <w:spacing w:after="80"/>
            </w:pPr>
            <w:r>
              <w:rPr>
                <w:rFonts w:ascii="Calibri" w:hAnsi="Calibri"/>
                <w:color w:val="425B72"/>
                <w:sz w:val="19"/>
              </w:rPr>
              <w:t>No accolade supplied; the placeholder has been removed.</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Replace every placeholder with a verified fact. Include issuing organizations, dates where relevant, and accolade source/selection criteria—or remove the item.</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9ED"/>
          </w:tcPr>
          <w:p>
            <w:pPr>
              <w:spacing w:after="60"/>
            </w:pPr>
            <w:r/>
          </w:p>
          <w:p>
            <w:pPr>
              <w:spacing w:before="0" w:after="80"/>
            </w:pPr>
            <w:r>
              <w:rPr>
                <w:rFonts w:ascii="Calibri" w:hAnsi="Calibri"/>
                <w:b/>
                <w:color w:val="B18F4D"/>
                <w:sz w:val="15"/>
              </w:rPr>
              <w:t>REQUIRED BEFORE LAUNCH</w:t>
            </w:r>
          </w:p>
          <w:p>
            <w:pPr>
              <w:spacing w:after="100"/>
            </w:pPr>
            <w:r>
              <w:rPr>
                <w:rFonts w:ascii="Calibri" w:hAnsi="Calibri"/>
                <w:b/>
                <w:color w:val="0F2038"/>
                <w:sz w:val="21"/>
              </w:rPr>
              <w:t>Team structure and public profiles</w:t>
            </w:r>
          </w:p>
          <w:p>
            <w:pPr>
              <w:spacing w:after="80"/>
            </w:pPr>
            <w:r>
              <w:rPr>
                <w:rFonts w:ascii="Calibri" w:hAnsi="Calibri"/>
                <w:color w:val="425B72"/>
                <w:sz w:val="19"/>
              </w:rPr>
              <w:t>CURRENT TEAM PROMISE: Dedicated people who own the next step. A coordinated plan works only when responsibility is clear and accountability is paramount.</w:t>
            </w:r>
          </w:p>
          <w:p>
            <w:pPr>
              <w:spacing w:after="80"/>
            </w:pPr>
            <w:r>
              <w:rPr>
                <w:rFonts w:ascii="Calibri" w:hAnsi="Calibri"/>
                <w:color w:val="425B72"/>
                <w:sz w:val="19"/>
              </w:rPr>
              <w:t>Haley Johnson — Director of Operations.</w:t>
            </w:r>
          </w:p>
          <w:p>
            <w:pPr>
              <w:spacing w:after="80"/>
            </w:pPr>
            <w:r>
              <w:rPr>
                <w:rFonts w:ascii="Calibri" w:hAnsi="Calibri"/>
                <w:color w:val="425B72"/>
                <w:sz w:val="19"/>
              </w:rPr>
              <w:t>Dawn Cooper — Team Operations Leader, Advisor Services — Axiom.</w:t>
            </w:r>
          </w:p>
          <w:p>
            <w:pPr>
              <w:spacing w:after="80"/>
            </w:pPr>
            <w:r>
              <w:rPr>
                <w:rFonts w:ascii="Calibri" w:hAnsi="Calibri"/>
                <w:color w:val="425B72"/>
                <w:sz w:val="19"/>
              </w:rPr>
              <w:t>Derek Morris — Director of Insurance Strategies — Axiom.</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Identify who should appear publicly. Provide each person’s role, responsibilities, credentials, biography, headshot, and contact routing. Confirm whether unfilled profiles should remain hidden.</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9ED"/>
          </w:tcPr>
          <w:p>
            <w:pPr>
              <w:spacing w:after="60"/>
            </w:pPr>
            <w:r/>
          </w:p>
          <w:p>
            <w:pPr>
              <w:spacing w:before="0" w:after="80"/>
            </w:pPr>
            <w:r>
              <w:rPr>
                <w:rFonts w:ascii="Calibri" w:hAnsi="Calibri"/>
                <w:b/>
                <w:color w:val="B18F4D"/>
                <w:sz w:val="15"/>
              </w:rPr>
              <w:t>REQUIRED BEFORE LAUNCH</w:t>
            </w:r>
          </w:p>
          <w:p>
            <w:pPr>
              <w:spacing w:after="100"/>
            </w:pPr>
            <w:r>
              <w:rPr>
                <w:rFonts w:ascii="Calibri" w:hAnsi="Calibri"/>
                <w:b/>
                <w:color w:val="0F2038"/>
                <w:sz w:val="21"/>
              </w:rPr>
              <w:t>Services Anchor actually delivers</w:t>
            </w:r>
          </w:p>
          <w:p>
            <w:pPr>
              <w:spacing w:after="80"/>
            </w:pPr>
            <w:r>
              <w:rPr>
                <w:rFonts w:ascii="Calibri" w:hAnsi="Calibri"/>
                <w:color w:val="425B72"/>
                <w:sz w:val="19"/>
              </w:rPr>
              <w:t>Coordinated Planning — Joint planning meetings with the CPA and estate attorney; one living document shared across the team.</w:t>
            </w:r>
          </w:p>
          <w:p>
            <w:pPr>
              <w:spacing w:after="80"/>
            </w:pPr>
            <w:r>
              <w:rPr>
                <w:rFonts w:ascii="Calibri" w:hAnsi="Calibri"/>
                <w:color w:val="425B72"/>
                <w:sz w:val="19"/>
              </w:rPr>
              <w:t>Investment Management — Strategy built around vesting schedules, trading restrictions, commodity exposure, and family cash-flow needs.</w:t>
            </w:r>
          </w:p>
          <w:p>
            <w:pPr>
              <w:spacing w:after="80"/>
            </w:pPr>
            <w:r>
              <w:rPr>
                <w:rFonts w:ascii="Calibri" w:hAnsi="Calibri"/>
                <w:color w:val="425B72"/>
                <w:sz w:val="19"/>
              </w:rPr>
              <w:t>Tax Strategy &amp; Coordination — Year-end coordination with the CPA; modeling of vesting, deferred compensation, charitable timing, and estimated payments.</w:t>
            </w:r>
          </w:p>
          <w:p>
            <w:pPr>
              <w:spacing w:after="80"/>
            </w:pPr>
            <w:r>
              <w:rPr>
                <w:rFonts w:ascii="Calibri" w:hAnsi="Calibri"/>
                <w:color w:val="425B72"/>
                <w:sz w:val="19"/>
              </w:rPr>
              <w:t>Equity Compensation — RSUs, NQDC elections, 10b5-1 plans, blackout periods, concentration, and tax-aware diversification.</w:t>
            </w:r>
          </w:p>
          <w:p>
            <w:pPr>
              <w:spacing w:after="80"/>
            </w:pPr>
            <w:r>
              <w:rPr>
                <w:rFonts w:ascii="Calibri" w:hAnsi="Calibri"/>
                <w:color w:val="425B72"/>
                <w:sz w:val="19"/>
              </w:rPr>
              <w:t>Estate &amp; Legacy — Existing-trust review, beneficiary/funding coordination, and work with the estate attorney.</w:t>
            </w:r>
          </w:p>
          <w:p>
            <w:pPr>
              <w:spacing w:after="80"/>
            </w:pPr>
            <w:r>
              <w:rPr>
                <w:rFonts w:ascii="Calibri" w:hAnsi="Calibri"/>
                <w:color w:val="425B72"/>
                <w:sz w:val="19"/>
              </w:rPr>
              <w:t>Business Owner Planning — Exit readiness, entity structure, personal/enterprise balance sheets, and post-liquidity planning.</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Confirm each service is genuinely offered and accurately described. Correct anything that overstates Anchor’s role versus the CPA or attorney. Confirm whether joint planning meetings and one living document are standard client experiences.</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9ED"/>
          </w:tcPr>
          <w:p>
            <w:pPr>
              <w:spacing w:after="60"/>
            </w:pPr>
            <w:r/>
          </w:p>
          <w:p>
            <w:pPr>
              <w:spacing w:before="0" w:after="80"/>
            </w:pPr>
            <w:r>
              <w:rPr>
                <w:rFonts w:ascii="Calibri" w:hAnsi="Calibri"/>
                <w:b/>
                <w:color w:val="B18F4D"/>
                <w:sz w:val="15"/>
              </w:rPr>
              <w:t>REQUIRED BEFORE LAUNCH</w:t>
            </w:r>
          </w:p>
          <w:p>
            <w:pPr>
              <w:spacing w:after="100"/>
            </w:pPr>
            <w:r>
              <w:rPr>
                <w:rFonts w:ascii="Calibri" w:hAnsi="Calibri"/>
                <w:b/>
                <w:color w:val="0F2038"/>
                <w:sz w:val="21"/>
              </w:rPr>
              <w:t>Fit Check questions, thresholds, and response promise</w:t>
            </w:r>
          </w:p>
          <w:p>
            <w:pPr>
              <w:spacing w:after="80"/>
            </w:pPr>
            <w:r>
              <w:rPr>
                <w:rFonts w:ascii="Calibri" w:hAnsi="Calibri"/>
                <w:color w:val="425B72"/>
                <w:sz w:val="19"/>
              </w:rPr>
              <w:t>PROMISE: Four questions. Two minutes. We’ll tell you honestly whether we can help—and if we can’t, we’ll refer you to someone who can.</w:t>
            </w:r>
          </w:p>
          <w:p>
            <w:pPr>
              <w:spacing w:after="80"/>
            </w:pPr>
            <w:r>
              <w:rPr>
                <w:rFonts w:ascii="Calibri" w:hAnsi="Calibri"/>
                <w:color w:val="425B72"/>
                <w:sz w:val="19"/>
              </w:rPr>
              <w:t>SITUATION OPTIONS: High-net-worth family with estate and legacy complexity · Executive with equity compensation · Business owner considering a transition.</w:t>
            </w:r>
          </w:p>
          <w:p>
            <w:pPr>
              <w:spacing w:after="80"/>
            </w:pPr>
            <w:r>
              <w:rPr>
                <w:rFonts w:ascii="Calibri" w:hAnsi="Calibri"/>
                <w:color w:val="425B72"/>
                <w:sz w:val="19"/>
              </w:rPr>
              <w:t>INVESTABLE-ASSET OPTIONS: $500K–$2M · $2M–$5M · $10M+.</w:t>
            </w:r>
          </w:p>
          <w:p>
            <w:pPr>
              <w:spacing w:after="80"/>
            </w:pPr>
            <w:r>
              <w:rPr>
                <w:rFonts w:ascii="Calibri" w:hAnsi="Calibri"/>
                <w:color w:val="425B72"/>
                <w:sz w:val="19"/>
              </w:rPr>
              <w:t>FIRST-NEED OPTIONS: Tax coordination · Equity compensation · Business transition · Estate and legacy · Investment strategy · Not sure.</w:t>
            </w:r>
          </w:p>
          <w:p>
            <w:pPr>
              <w:spacing w:after="80"/>
            </w:pPr>
            <w:r>
              <w:rPr>
                <w:rFonts w:ascii="Calibri" w:hAnsi="Calibri"/>
                <w:color w:val="425B72"/>
                <w:sz w:val="19"/>
              </w:rPr>
              <w:t>CURRENT REVIEW RESPONSE: Production will route answers to a fit-results experience. We’ll review your responses and follow up within one business day. No pitch. Just a clear next step.</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Approve every option and promise. Resolve the missing $5M–$10M band, confirm response timing, and confirm whether Anchor will make referrals when the visitor is not a fit.</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HIGH-IMPACT MESSAGE</w:t>
            </w:r>
          </w:p>
          <w:p>
            <w:pPr>
              <w:spacing w:after="100"/>
            </w:pPr>
            <w:r>
              <w:rPr>
                <w:rFonts w:ascii="Calibri" w:hAnsi="Calibri"/>
                <w:b/>
                <w:color w:val="0F2038"/>
                <w:sz w:val="21"/>
              </w:rPr>
              <w:t>Homepage hero — High-Net-Worth Families</w:t>
            </w:r>
          </w:p>
          <w:p>
            <w:pPr>
              <w:spacing w:after="80"/>
            </w:pPr>
            <w:r>
              <w:rPr>
                <w:rFonts w:ascii="Calibri" w:hAnsi="Calibri"/>
                <w:color w:val="425B72"/>
                <w:sz w:val="19"/>
              </w:rPr>
              <w:t>Your wealth grew. Did your plan keep up?</w:t>
            </w:r>
          </w:p>
          <w:p>
            <w:pPr>
              <w:spacing w:after="80"/>
            </w:pPr>
            <w:r>
              <w:rPr>
                <w:rFonts w:ascii="Calibri" w:hAnsi="Calibri"/>
                <w:color w:val="425B72"/>
                <w:sz w:val="19"/>
              </w:rPr>
              <w:t>Trust funding, beneficiary reviews, multi-generational coordination. Anchor keeps your CPA, attorney, and advisor reading from the same page—so your estate matches your actual net worth.</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Alex selected this as the lead hero. Approve, edit, or replace the headline and description.</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HIGH-IMPACT MESSAGE</w:t>
            </w:r>
          </w:p>
          <w:p>
            <w:pPr>
              <w:spacing w:after="100"/>
            </w:pPr>
            <w:r>
              <w:rPr>
                <w:rFonts w:ascii="Calibri" w:hAnsi="Calibri"/>
                <w:b/>
                <w:color w:val="0F2038"/>
                <w:sz w:val="21"/>
              </w:rPr>
              <w:t>Homepage hero — Oil &amp; Gas</w:t>
            </w:r>
          </w:p>
          <w:p>
            <w:pPr>
              <w:spacing w:after="80"/>
            </w:pPr>
            <w:r>
              <w:rPr>
                <w:rFonts w:ascii="Calibri" w:hAnsi="Calibri"/>
                <w:color w:val="425B72"/>
                <w:sz w:val="19"/>
              </w:rPr>
              <w:t>When your equity vests, who sees the whole picture?</w:t>
            </w:r>
          </w:p>
          <w:p>
            <w:pPr>
              <w:spacing w:after="80"/>
            </w:pPr>
            <w:r>
              <w:rPr>
                <w:rFonts w:ascii="Calibri" w:hAnsi="Calibri"/>
                <w:color w:val="425B72"/>
                <w:sz w:val="19"/>
              </w:rPr>
              <w:t>RSUs, deferred comp, blackout periods, commodity cycles. Anchor coordinates your investments, taxes, and estate plan with your CPA and attorney—so every vest, bonus, and decision happens in context.</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Approve or replace this headline and description.</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HIGH-IMPACT MESSAGE</w:t>
            </w:r>
          </w:p>
          <w:p>
            <w:pPr>
              <w:spacing w:after="100"/>
            </w:pPr>
            <w:r>
              <w:rPr>
                <w:rFonts w:ascii="Calibri" w:hAnsi="Calibri"/>
                <w:b/>
                <w:color w:val="0F2038"/>
                <w:sz w:val="21"/>
              </w:rPr>
              <w:t>Homepage hero — Business Owners</w:t>
            </w:r>
          </w:p>
          <w:p>
            <w:pPr>
              <w:spacing w:after="80"/>
            </w:pPr>
            <w:r>
              <w:rPr>
                <w:rFonts w:ascii="Calibri" w:hAnsi="Calibri"/>
                <w:color w:val="425B72"/>
                <w:sz w:val="19"/>
              </w:rPr>
              <w:t>Your business is your largest asset. What’s the plan for it?</w:t>
            </w:r>
          </w:p>
          <w:p>
            <w:pPr>
              <w:spacing w:after="80"/>
            </w:pPr>
            <w:r>
              <w:rPr>
                <w:rFonts w:ascii="Calibri" w:hAnsi="Calibri"/>
                <w:color w:val="425B72"/>
                <w:sz w:val="19"/>
              </w:rPr>
              <w:t>Entity structure, exit timing, liquidity events, and the line between business value and personal wealth. Anchor starts the planning conversation years before the LOI arrives.</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Approve or replace this headline and description. Confirm the ‘before the LOI’ framing matches Alex’s process.</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HIGH-IMPACT MESSAGE</w:t>
            </w:r>
          </w:p>
          <w:p>
            <w:pPr>
              <w:spacing w:after="100"/>
            </w:pPr>
            <w:r>
              <w:rPr>
                <w:rFonts w:ascii="Calibri" w:hAnsi="Calibri"/>
                <w:b/>
                <w:color w:val="0F2038"/>
                <w:sz w:val="21"/>
              </w:rPr>
              <w:t>Why Anchor</w:t>
            </w:r>
          </w:p>
          <w:p>
            <w:pPr>
              <w:spacing w:after="80"/>
            </w:pPr>
            <w:r>
              <w:rPr>
                <w:rFonts w:ascii="Calibri" w:hAnsi="Calibri"/>
                <w:color w:val="425B72"/>
                <w:sz w:val="19"/>
              </w:rPr>
              <w:t>A dedicated advisor who sees the whole picture.</w:t>
            </w:r>
          </w:p>
          <w:p>
            <w:pPr>
              <w:spacing w:after="80"/>
            </w:pPr>
            <w:r>
              <w:rPr>
                <w:rFonts w:ascii="Calibri" w:hAnsi="Calibri"/>
                <w:color w:val="425B72"/>
                <w:sz w:val="19"/>
              </w:rPr>
              <w:t>Complex wealth does not need another specialist working alone. It needs one accountable lead who keeps every professional, deadline, and decision moving from the same plan.</w:t>
            </w:r>
          </w:p>
          <w:p>
            <w:pPr>
              <w:spacing w:after="80"/>
            </w:pPr>
            <w:r>
              <w:rPr>
                <w:rFonts w:ascii="Calibri" w:hAnsi="Calibri"/>
                <w:color w:val="425B72"/>
                <w:sz w:val="19"/>
              </w:rPr>
              <w:t>Coordinated, not siloed · One accountable lead · Built for complexity.</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Approve the core differentiation. Clarify exactly what Alex owns, what outside professionals own, and whether ‘one accountable lead’ is the right promise.</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HIGH-IMPACT MESSAGE</w:t>
            </w:r>
          </w:p>
          <w:p>
            <w:pPr>
              <w:spacing w:after="100"/>
            </w:pPr>
            <w:r>
              <w:rPr>
                <w:rFonts w:ascii="Calibri" w:hAnsi="Calibri"/>
                <w:b/>
                <w:color w:val="0F2038"/>
                <w:sz w:val="21"/>
              </w:rPr>
              <w:t>Who Anchor is—and is not—for</w:t>
            </w:r>
          </w:p>
          <w:p>
            <w:pPr>
              <w:spacing w:after="80"/>
            </w:pPr>
            <w:r>
              <w:rPr>
                <w:rFonts w:ascii="Calibri" w:hAnsi="Calibri"/>
                <w:color w:val="425B72"/>
                <w:sz w:val="19"/>
              </w:rPr>
              <w:t>High-Net-Worth Families — Trust funding, current beneficiaries, and a plan the next generation can understand.</w:t>
            </w:r>
          </w:p>
          <w:p>
            <w:pPr>
              <w:spacing w:after="80"/>
            </w:pPr>
            <w:r>
              <w:rPr>
                <w:rFonts w:ascii="Calibri" w:hAnsi="Calibri"/>
                <w:color w:val="425B72"/>
                <w:sz w:val="19"/>
              </w:rPr>
              <w:t>Oil &amp; Gas Executives — RSUs, NQDC elections, blackout periods, and commodity-cycle exposure.</w:t>
            </w:r>
          </w:p>
          <w:p>
            <w:pPr>
              <w:spacing w:after="80"/>
            </w:pPr>
            <w:r>
              <w:rPr>
                <w:rFonts w:ascii="Calibri" w:hAnsi="Calibri"/>
                <w:color w:val="425B72"/>
                <w:sz w:val="19"/>
              </w:rPr>
              <w:t>Business Owners — Exit readiness, entity structure, and the line between business value and personal wealth.</w:t>
            </w:r>
          </w:p>
          <w:p>
            <w:pPr>
              <w:spacing w:after="80"/>
            </w:pPr>
            <w:r>
              <w:rPr>
                <w:rFonts w:ascii="Calibri" w:hAnsi="Calibri"/>
                <w:color w:val="425B72"/>
                <w:sz w:val="19"/>
              </w:rPr>
              <w:t>CURRENT FRAMING: If you do not see your situation below, let’s have a quick introduction. Anchor will offer an honest opinion about whether the relationship is a fit.</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Define the strongest-fit client for each audience: role or situation, complexity, approximate assets, timing, and any industries or situations Alex does not serve.</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HIGH-IMPACT MESSAGE</w:t>
            </w:r>
          </w:p>
          <w:p>
            <w:pPr>
              <w:spacing w:after="100"/>
            </w:pPr>
            <w:r>
              <w:rPr>
                <w:rFonts w:ascii="Calibri" w:hAnsi="Calibri"/>
                <w:b/>
                <w:color w:val="0F2038"/>
                <w:sz w:val="21"/>
              </w:rPr>
              <w:t>Primary conversion path</w:t>
            </w:r>
          </w:p>
          <w:p>
            <w:pPr>
              <w:spacing w:after="80"/>
            </w:pPr>
            <w:r>
              <w:rPr>
                <w:rFonts w:ascii="Calibri" w:hAnsi="Calibri"/>
                <w:color w:val="425B72"/>
                <w:sz w:val="19"/>
              </w:rPr>
              <w:t>CURRENT PRIMARY CTA: Take the Fit Check.</w:t>
            </w:r>
          </w:p>
          <w:p>
            <w:pPr>
              <w:spacing w:after="80"/>
            </w:pPr>
            <w:r>
              <w:rPr>
                <w:rFonts w:ascii="Calibri" w:hAnsi="Calibri"/>
                <w:color w:val="425B72"/>
                <w:sz w:val="19"/>
              </w:rPr>
              <w:t>CURRENT SECONDARY CTA: Schedule a 30-Minute Conversation.</w:t>
            </w:r>
          </w:p>
          <w:p>
            <w:pPr>
              <w:spacing w:after="80"/>
            </w:pPr>
            <w:r>
              <w:rPr>
                <w:rFonts w:ascii="Calibri" w:hAnsi="Calibri"/>
                <w:color w:val="425B72"/>
                <w:sz w:val="19"/>
              </w:rPr>
              <w:t>CURRENT BEHAVIOR: Call CTAs route into the Fit Check before scheduling.</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Choose the intended sequence: Fit Check first, direct scheduling first, or Fit Check followed by scheduling. Confirm the preferred meeting length and CTA wording.</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HIGH-IMPACT MESSAGE</w:t>
            </w:r>
          </w:p>
          <w:p>
            <w:pPr>
              <w:spacing w:after="100"/>
            </w:pPr>
            <w:r>
              <w:rPr>
                <w:rFonts w:ascii="Calibri" w:hAnsi="Calibri"/>
                <w:b/>
                <w:color w:val="0F2038"/>
                <w:sz w:val="21"/>
              </w:rPr>
              <w:t>Visitor pain language and first-person statements</w:t>
            </w:r>
          </w:p>
          <w:p>
            <w:pPr>
              <w:spacing w:after="80"/>
            </w:pPr>
            <w:r>
              <w:rPr>
                <w:rFonts w:ascii="Calibri" w:hAnsi="Calibri"/>
                <w:color w:val="425B72"/>
                <w:sz w:val="19"/>
              </w:rPr>
              <w:t>‘No one sees the full picture. My CPA handles taxes, my advisor handles investments, my attorney has the estate docs—and none of them talk to each other.’</w:t>
            </w:r>
          </w:p>
          <w:p>
            <w:pPr>
              <w:spacing w:after="80"/>
            </w:pPr>
            <w:r>
              <w:rPr>
                <w:rFonts w:ascii="Calibri" w:hAnsi="Calibri"/>
                <w:color w:val="425B72"/>
                <w:sz w:val="19"/>
              </w:rPr>
              <w:t>‘My RSUs vest, I get a huge tax hit, and by the time I think about selling to diversify, I’m emotionally attached to the stock and it’s already dropped.’</w:t>
            </w:r>
          </w:p>
          <w:p>
            <w:pPr>
              <w:spacing w:after="80"/>
            </w:pPr>
            <w:r>
              <w:rPr>
                <w:rFonts w:ascii="Calibri" w:hAnsi="Calibri"/>
                <w:color w:val="425B72"/>
                <w:sz w:val="19"/>
              </w:rPr>
              <w:t>‘We have a trust that was set up years ago. I’m honestly not sure if it’s even funded correctly, or if it still matches what we actually own.’</w:t>
            </w:r>
          </w:p>
          <w:p>
            <w:pPr>
              <w:spacing w:after="80"/>
            </w:pPr>
            <w:r>
              <w:rPr>
                <w:rFonts w:ascii="Calibri" w:hAnsi="Calibri"/>
                <w:color w:val="425B72"/>
                <w:sz w:val="19"/>
              </w:rPr>
              <w:t>‘I know my business inside and out, but I have no idea what it’s actually worth or what I’d walk away with after taxes if I sold.’</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Approve, soften, or replace these audience statements. They should sound recognizably true to Alex’s clients without pretending to be direct client quotations unless they are sourced and approved.</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HIGH-IMPACT MESSAGE</w:t>
            </w:r>
          </w:p>
          <w:p>
            <w:pPr>
              <w:spacing w:after="100"/>
            </w:pPr>
            <w:r>
              <w:rPr>
                <w:rFonts w:ascii="Calibri" w:hAnsi="Calibri"/>
                <w:b/>
                <w:color w:val="0F2038"/>
                <w:sz w:val="21"/>
              </w:rPr>
              <w:t>Client process and ongoing service rhythm</w:t>
            </w:r>
          </w:p>
          <w:p>
            <w:pPr>
              <w:spacing w:after="80"/>
            </w:pPr>
            <w:r>
              <w:rPr>
                <w:rFonts w:ascii="Calibri" w:hAnsi="Calibri"/>
                <w:color w:val="425B72"/>
                <w:sz w:val="19"/>
              </w:rPr>
              <w:t>01 Discovery — A 30-minute conversation about the situation and concerns.</w:t>
            </w:r>
          </w:p>
          <w:p>
            <w:pPr>
              <w:spacing w:after="80"/>
            </w:pPr>
            <w:r>
              <w:rPr>
                <w:rFonts w:ascii="Calibri" w:hAnsi="Calibri"/>
                <w:color w:val="425B72"/>
                <w:sz w:val="19"/>
              </w:rPr>
              <w:t>02 Assessment — Review investments, tax returns, equity documents, estate plan, and business interests.</w:t>
            </w:r>
          </w:p>
          <w:p>
            <w:pPr>
              <w:spacing w:after="80"/>
            </w:pPr>
            <w:r>
              <w:rPr>
                <w:rFonts w:ascii="Calibri" w:hAnsi="Calibri"/>
                <w:color w:val="425B72"/>
                <w:sz w:val="19"/>
              </w:rPr>
              <w:t>03 The Plan — Build the coordinated investment, tax, estate, and business-owner roadmap.</w:t>
            </w:r>
          </w:p>
          <w:p>
            <w:pPr>
              <w:spacing w:after="80"/>
            </w:pPr>
            <w:r>
              <w:rPr>
                <w:rFonts w:ascii="Calibri" w:hAnsi="Calibri"/>
                <w:color w:val="425B72"/>
                <w:sz w:val="19"/>
              </w:rPr>
              <w:t>04 Partnership — Implement the plan and meet quarterly to keep it current.</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Confirm the real client journey, documents reviewed, deliverables, meeting cadence, and what changes before or after engagement.</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CONTENT DIRECTION</w:t>
            </w:r>
          </w:p>
          <w:p>
            <w:pPr>
              <w:spacing w:after="100"/>
            </w:pPr>
            <w:r>
              <w:rPr>
                <w:rFonts w:ascii="Calibri" w:hAnsi="Calibri"/>
                <w:b/>
                <w:color w:val="0F2038"/>
                <w:sz w:val="21"/>
              </w:rPr>
              <w:t>Resources and Anchor Wealth Podcast</w:t>
            </w:r>
          </w:p>
          <w:p>
            <w:pPr>
              <w:spacing w:after="80"/>
            </w:pPr>
            <w:r>
              <w:rPr>
                <w:rFonts w:ascii="Calibri" w:hAnsi="Calibri"/>
                <w:color w:val="425B72"/>
                <w:sz w:val="19"/>
              </w:rPr>
              <w:t>SERIES NAME: Anchor Wealth Podcast.</w:t>
            </w:r>
          </w:p>
          <w:p>
            <w:pPr>
              <w:spacing w:after="80"/>
            </w:pPr>
            <w:r>
              <w:rPr>
                <w:rFonts w:ascii="Calibri" w:hAnsi="Calibri"/>
                <w:color w:val="425B72"/>
                <w:sz w:val="19"/>
              </w:rPr>
              <w:t>DIRECTORY PROMISE: Clear thinking for decisions that touch everything.</w:t>
            </w:r>
          </w:p>
          <w:p>
            <w:pPr>
              <w:spacing w:after="80"/>
            </w:pPr>
            <w:r>
              <w:rPr>
                <w:rFonts w:ascii="Calibri" w:hAnsi="Calibri"/>
                <w:color w:val="425B72"/>
                <w:sz w:val="19"/>
              </w:rPr>
              <w:t>CURRENT TOPIC AREAS: Equity and tax timing · Business transition · Family and legacy · Advisor coordination.</w:t>
            </w:r>
          </w:p>
          <w:p>
            <w:pPr>
              <w:spacing w:after="80"/>
            </w:pPr>
            <w:r>
              <w:rPr>
                <w:rFonts w:ascii="Calibri" w:hAnsi="Calibri"/>
                <w:color w:val="425B72"/>
                <w:sz w:val="19"/>
              </w:rPr>
              <w:t>CURRENT CONTENT MIX: Articles · Podcast episodes · Checklists · Frameworks.</w:t>
            </w:r>
          </w:p>
          <w:p>
            <w:pPr>
              <w:spacing w:after="80"/>
            </w:pPr>
            <w:r>
              <w:rPr>
                <w:rFonts w:ascii="Calibri" w:hAnsi="Calibri"/>
                <w:color w:val="425B72"/>
                <w:sz w:val="19"/>
              </w:rPr>
              <w:t>CURRENT AUTHORITY: Alex Miller as article author and Anchor Wealth Podcast host; source-backed articles, episode notes, and transcripts lead to the Fit Check.</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Approve the podcast name, Alex as author/host, and topic ownership. Choose the first three to six real article or episode topics, publishing platforms, transcript versus show-note policy, compliance review process, and any guide, checklist, or newsletter offer.</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p>
      <w:pPr>
        <w:keepNext/>
        <w:pageBreakBefore/>
        <w:spacing w:before="0" w:after="40"/>
      </w:pPr>
      <w:r>
        <w:rPr>
          <w:rFonts w:ascii="Calibri" w:hAnsi="Calibri"/>
          <w:b/>
          <w:color w:val="B18F4D"/>
          <w:sz w:val="16"/>
        </w:rPr>
        <w:t>PART 2 — ONLY IF NEEDED</w:t>
      </w:r>
    </w:p>
    <w:p>
      <w:pPr>
        <w:pStyle w:val="Heading1"/>
      </w:pPr>
      <w:r>
        <w:t>Secondary copy worth reviewing</w:t>
      </w:r>
    </w:p>
    <w:p>
      <w:pPr>
        <w:spacing w:after="200"/>
      </w:pPr>
      <w:r>
        <w:rPr>
          <w:rFonts w:ascii="Calibri" w:hAnsi="Calibri"/>
          <w:color w:val="425B72"/>
          <w:sz w:val="20"/>
        </w:rPr>
        <w:t>The strongest strategic and factual decisions are already in Part 1. Everything below can stay as written unless Alex wants a different tone, emphasis, or example.</w:t>
      </w:r>
    </w:p>
    <w:p>
      <w:pPr>
        <w:keepNext/>
        <w:pageBreakBefore w:val="0"/>
        <w:spacing w:before="0" w:after="40"/>
      </w:pPr>
      <w:r>
        <w:rPr>
          <w:rFonts w:ascii="Calibri" w:hAnsi="Calibri"/>
          <w:b/>
          <w:color w:val="B18F4D"/>
          <w:sz w:val="16"/>
        </w:rPr>
        <w:t>SECONDARY PAGE REVIEW</w:t>
      </w:r>
    </w:p>
    <w:p>
      <w:pPr>
        <w:pStyle w:val="Heading1"/>
      </w:pPr>
      <w:r>
        <w:t>Homepage</w:t>
      </w:r>
    </w:p>
    <w:p>
      <w:pPr>
        <w:keepNext/>
        <w:spacing w:after="160"/>
      </w:pPr>
      <w:r>
        <w:rPr>
          <w:rFonts w:ascii="Calibri" w:hAnsi="Calibri"/>
          <w:color w:val="2D5474"/>
          <w:sz w:val="16"/>
        </w:rPr>
        <w:t>https://caebaby.github.io/anchor-review/</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Homepage supporting message</w:t>
            </w:r>
          </w:p>
          <w:p>
            <w:pPr>
              <w:spacing w:after="80"/>
            </w:pPr>
            <w:r>
              <w:rPr>
                <w:rFonts w:ascii="Calibri" w:hAnsi="Calibri"/>
                <w:color w:val="425B72"/>
                <w:sz w:val="19"/>
              </w:rPr>
              <w:t>The firm was designed around one missing role.</w:t>
            </w:r>
          </w:p>
          <w:p>
            <w:pPr>
              <w:spacing w:after="80"/>
            </w:pPr>
            <w:r>
              <w:rPr>
                <w:rFonts w:ascii="Calibri" w:hAnsi="Calibri"/>
                <w:color w:val="425B72"/>
                <w:sz w:val="19"/>
              </w:rPr>
              <w:t>Excellent specialists can still leave you with fragmented advice. Anchor exists to own the space between them—to carry context from one conversation into the next and make sure decisions happen in the right order.</w:t>
            </w:r>
          </w:p>
          <w:p>
            <w:pPr>
              <w:spacing w:after="80"/>
            </w:pPr>
            <w:r>
              <w:rPr>
                <w:rFonts w:ascii="Calibri" w:hAnsi="Calibri"/>
                <w:color w:val="425B72"/>
                <w:sz w:val="19"/>
              </w:rPr>
              <w:t>The goal is not to replace your CPA or attorney. It is to help them do better work for you by giving everyone the same view of the plan.</w:t>
            </w:r>
          </w:p>
          <w:p>
            <w:pPr>
              <w:spacing w:after="80"/>
            </w:pPr>
            <w:r>
              <w:rPr>
                <w:rFonts w:ascii="Calibri" w:hAnsi="Calibri"/>
                <w:color w:val="425B72"/>
                <w:sz w:val="19"/>
              </w:rPr>
              <w:t>Turn separate expertise into one coordinated course.</w:t>
            </w:r>
          </w:p>
          <w:p>
            <w:pPr>
              <w:spacing w:after="80"/>
            </w:pPr>
            <w:r>
              <w:rPr>
                <w:rFonts w:ascii="Calibri" w:hAnsi="Calibri"/>
                <w:color w:val="425B72"/>
                <w:sz w:val="19"/>
              </w:rPr>
              <w:t>You've been the project manager long enough.</w:t>
            </w:r>
          </w:p>
          <w:p>
            <w:pPr>
              <w:spacing w:after="80"/>
            </w:pPr>
            <w:r>
              <w:rPr>
                <w:rFonts w:ascii="Calibri" w:hAnsi="Calibri"/>
                <w:color w:val="425B72"/>
                <w:sz w:val="19"/>
              </w:rPr>
              <w:t>If your CPA and your advisor aren't reading from the same plan, you're doing the work your wealth manager should be doing. Let's fix that. 30 minutes. No pitch. We'll listen to your situation and tell you honestly whether we're a fit.</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p>
      <w:pPr>
        <w:keepNext/>
        <w:pageBreakBefore/>
        <w:spacing w:before="0" w:after="40"/>
      </w:pPr>
      <w:r>
        <w:rPr>
          <w:rFonts w:ascii="Calibri" w:hAnsi="Calibri"/>
          <w:b/>
          <w:color w:val="B18F4D"/>
          <w:sz w:val="16"/>
        </w:rPr>
        <w:t>SECONDARY PAGE REVIEW</w:t>
      </w:r>
    </w:p>
    <w:p>
      <w:pPr>
        <w:pStyle w:val="Heading1"/>
      </w:pPr>
      <w:r>
        <w:t>About</w:t>
      </w:r>
    </w:p>
    <w:p>
      <w:pPr>
        <w:keepNext/>
        <w:spacing w:after="160"/>
      </w:pPr>
      <w:r>
        <w:rPr>
          <w:rFonts w:ascii="Calibri" w:hAnsi="Calibri"/>
          <w:color w:val="2D5474"/>
          <w:sz w:val="16"/>
        </w:rPr>
        <w:t>https://caebaby.github.io/anchor-review/about.html</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About-page supporting message</w:t>
            </w:r>
          </w:p>
          <w:p>
            <w:pPr>
              <w:spacing w:after="80"/>
            </w:pPr>
            <w:r>
              <w:rPr>
                <w:rFonts w:ascii="Calibri" w:hAnsi="Calibri"/>
                <w:color w:val="425B72"/>
                <w:sz w:val="19"/>
              </w:rPr>
              <w:t>One plan. One accountable lead.</w:t>
            </w:r>
          </w:p>
          <w:p>
            <w:pPr>
              <w:spacing w:after="80"/>
            </w:pPr>
            <w:r>
              <w:rPr>
                <w:rFonts w:ascii="Calibri" w:hAnsi="Calibri"/>
                <w:color w:val="425B72"/>
                <w:sz w:val="19"/>
              </w:rPr>
              <w:t>Anchor was designed for people whose financial lives have outgrown a collection of disconnected professionals.</w:t>
            </w:r>
          </w:p>
          <w:p>
            <w:pPr>
              <w:spacing w:after="80"/>
            </w:pPr>
            <w:r>
              <w:rPr>
                <w:rFonts w:ascii="Calibri" w:hAnsi="Calibri"/>
                <w:color w:val="425B72"/>
                <w:sz w:val="19"/>
              </w:rPr>
              <w:t>Expert advice can still be fragmented.</w:t>
            </w:r>
          </w:p>
          <w:p>
            <w:pPr>
              <w:spacing w:after="80"/>
            </w:pPr>
            <w:r>
              <w:rPr>
                <w:rFonts w:ascii="Calibri" w:hAnsi="Calibri"/>
                <w:color w:val="425B72"/>
                <w:sz w:val="19"/>
              </w:rPr>
              <w:t>Your CPA may know your tax return. Your attorney may know your estate documents. Your investment advisor may know your portfolio. But when each professional sees only one part, the client is left carrying context between rooms.</w:t>
            </w:r>
          </w:p>
          <w:p>
            <w:pPr>
              <w:spacing w:after="80"/>
            </w:pPr>
            <w:r>
              <w:rPr>
                <w:rFonts w:ascii="Calibri" w:hAnsi="Calibri"/>
                <w:color w:val="425B72"/>
                <w:sz w:val="19"/>
              </w:rPr>
              <w:t>Anchor exists to own that space between the specialists: maintaining one living plan, putting decisions in sequence, and making sure the right people have the right context before deadlines arrive.</w:t>
            </w:r>
          </w:p>
          <w:p>
            <w:pPr>
              <w:spacing w:after="80"/>
            </w:pPr>
            <w:r>
              <w:rPr>
                <w:rFonts w:ascii="Calibri" w:hAnsi="Calibri"/>
                <w:color w:val="425B72"/>
                <w:sz w:val="19"/>
              </w:rPr>
              <w:t>The objective is not more meetings. It is fewer disconnected decisions.</w:t>
            </w:r>
          </w:p>
          <w:p>
            <w:pPr>
              <w:spacing w:after="80"/>
            </w:pPr>
            <w:r>
              <w:rPr>
                <w:rFonts w:ascii="Calibri" w:hAnsi="Calibri"/>
                <w:color w:val="425B72"/>
                <w:sz w:val="19"/>
              </w:rPr>
              <w:t>Keep every decision on the same course.</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p>
      <w:pPr>
        <w:keepNext/>
        <w:pageBreakBefore/>
        <w:spacing w:before="0" w:after="40"/>
      </w:pPr>
      <w:r>
        <w:rPr>
          <w:rFonts w:ascii="Calibri" w:hAnsi="Calibri"/>
          <w:b/>
          <w:color w:val="B18F4D"/>
          <w:sz w:val="16"/>
        </w:rPr>
        <w:t>SECONDARY PAGE REVIEW</w:t>
      </w:r>
    </w:p>
    <w:p>
      <w:pPr>
        <w:pStyle w:val="Heading1"/>
      </w:pPr>
      <w:r>
        <w:t>High-Net-Worth Families</w:t>
      </w:r>
    </w:p>
    <w:p>
      <w:pPr>
        <w:keepNext/>
        <w:spacing w:after="160"/>
      </w:pPr>
      <w:r>
        <w:rPr>
          <w:rFonts w:ascii="Calibri" w:hAnsi="Calibri"/>
          <w:color w:val="2D5474"/>
          <w:sz w:val="16"/>
        </w:rPr>
        <w:t>https://caebaby.github.io/anchor-review/high-net-worth-families.html</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Family page supporting message</w:t>
            </w:r>
          </w:p>
          <w:p>
            <w:pPr>
              <w:spacing w:after="80"/>
            </w:pPr>
            <w:r>
              <w:rPr>
                <w:rFonts w:ascii="Calibri" w:hAnsi="Calibri"/>
                <w:color w:val="425B72"/>
                <w:sz w:val="19"/>
              </w:rPr>
              <w:t>Keep the plan current across generations.</w:t>
            </w:r>
          </w:p>
          <w:p>
            <w:pPr>
              <w:spacing w:after="80"/>
            </w:pPr>
            <w:r>
              <w:rPr>
                <w:rFonts w:ascii="Calibri" w:hAnsi="Calibri"/>
                <w:color w:val="425B72"/>
                <w:sz w:val="19"/>
              </w:rPr>
              <w:t>Investments, trusts, beneficiaries, taxes, and family communication should tell the same story.</w:t>
            </w:r>
          </w:p>
          <w:p>
            <w:pPr>
              <w:spacing w:after="80"/>
            </w:pPr>
            <w:r>
              <w:rPr>
                <w:rFonts w:ascii="Calibri" w:hAnsi="Calibri"/>
                <w:color w:val="425B72"/>
                <w:sz w:val="19"/>
              </w:rPr>
              <w:t>Your wealth changed. Did the plan?</w:t>
            </w:r>
          </w:p>
          <w:p>
            <w:pPr>
              <w:spacing w:after="80"/>
            </w:pPr>
            <w:r>
              <w:rPr>
                <w:rFonts w:ascii="Calibri" w:hAnsi="Calibri"/>
                <w:color w:val="425B72"/>
                <w:sz w:val="19"/>
              </w:rPr>
              <w:t>Estate documents can remain untouched while assets, businesses, relationships, tax rules, and family priorities change around them. A signed document is not the same as an implemented plan.</w:t>
            </w:r>
          </w:p>
          <w:p>
            <w:pPr>
              <w:spacing w:after="80"/>
            </w:pPr>
            <w:r>
              <w:rPr>
                <w:rFonts w:ascii="Calibri" w:hAnsi="Calibri"/>
                <w:color w:val="425B72"/>
                <w:sz w:val="19"/>
              </w:rPr>
              <w:t>Anchor keeps the estate attorney, CPA, investment plan, account ownership, and beneficiary choices connected—and helps the family understand what the structure is designed to accomplish.</w:t>
            </w:r>
          </w:p>
          <w:p>
            <w:pPr>
              <w:spacing w:after="80"/>
            </w:pPr>
            <w:r>
              <w:rPr>
                <w:rFonts w:ascii="Calibri" w:hAnsi="Calibri"/>
                <w:color w:val="425B72"/>
                <w:sz w:val="19"/>
              </w:rPr>
              <w:t>Review what exists</w:t>
            </w:r>
          </w:p>
          <w:p>
            <w:pPr>
              <w:spacing w:after="80"/>
            </w:pPr>
            <w:r>
              <w:rPr>
                <w:rFonts w:ascii="Calibri" w:hAnsi="Calibri"/>
                <w:color w:val="425B72"/>
                <w:sz w:val="19"/>
              </w:rPr>
              <w:t>Compare current documents and beneficiaries with the family’s actual assets and intentions.</w:t>
            </w:r>
          </w:p>
          <w:p>
            <w:pPr>
              <w:spacing w:after="80"/>
            </w:pPr>
            <w:r>
              <w:rPr>
                <w:rFonts w:ascii="Calibri" w:hAnsi="Calibri"/>
                <w:color w:val="425B72"/>
                <w:sz w:val="19"/>
              </w:rPr>
              <w:t>Close implementation gaps</w:t>
            </w:r>
          </w:p>
          <w:p>
            <w:pPr>
              <w:spacing w:after="80"/>
            </w:pPr>
            <w:r>
              <w:rPr>
                <w:rFonts w:ascii="Calibri" w:hAnsi="Calibri"/>
                <w:color w:val="425B72"/>
                <w:sz w:val="19"/>
              </w:rPr>
              <w:t>Coordinate account ownership, trust funding, investment policy, and professional follow-through.</w:t>
            </w:r>
          </w:p>
          <w:p>
            <w:pPr>
              <w:spacing w:after="80"/>
            </w:pPr>
            <w:r>
              <w:rPr>
                <w:rFonts w:ascii="Calibri" w:hAnsi="Calibri"/>
                <w:color w:val="425B72"/>
                <w:sz w:val="19"/>
              </w:rPr>
              <w:t>Prepare the family</w:t>
            </w:r>
          </w:p>
          <w:p>
            <w:pPr>
              <w:spacing w:after="80"/>
            </w:pPr>
            <w:r>
              <w:rPr>
                <w:rFonts w:ascii="Calibri" w:hAnsi="Calibri"/>
                <w:color w:val="425B72"/>
                <w:sz w:val="19"/>
              </w:rPr>
              <w:t>Create an understandable plan and a thoughtful communication rhythm for the next generation.</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p>
      <w:pPr>
        <w:keepNext/>
        <w:pageBreakBefore/>
        <w:spacing w:before="0" w:after="40"/>
      </w:pPr>
      <w:r>
        <w:rPr>
          <w:rFonts w:ascii="Calibri" w:hAnsi="Calibri"/>
          <w:b/>
          <w:color w:val="B18F4D"/>
          <w:sz w:val="16"/>
        </w:rPr>
        <w:t>SECONDARY PAGE REVIEW</w:t>
      </w:r>
    </w:p>
    <w:p>
      <w:pPr>
        <w:pStyle w:val="Heading1"/>
      </w:pPr>
      <w:r>
        <w:t>Oil &amp; Gas Executives</w:t>
      </w:r>
    </w:p>
    <w:p>
      <w:pPr>
        <w:keepNext/>
        <w:spacing w:after="160"/>
      </w:pPr>
      <w:r>
        <w:rPr>
          <w:rFonts w:ascii="Calibri" w:hAnsi="Calibri"/>
          <w:color w:val="2D5474"/>
          <w:sz w:val="16"/>
        </w:rPr>
        <w:t>https://caebaby.github.io/anchor-review/oil-gas-executives.html</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Oil &amp; Gas page supporting message</w:t>
            </w:r>
          </w:p>
          <w:p>
            <w:pPr>
              <w:spacing w:after="80"/>
            </w:pPr>
            <w:r>
              <w:rPr>
                <w:rFonts w:ascii="Calibri" w:hAnsi="Calibri"/>
                <w:color w:val="425B72"/>
                <w:sz w:val="19"/>
              </w:rPr>
              <w:t>Your compensation moves with the cycle.</w:t>
            </w:r>
          </w:p>
          <w:p>
            <w:pPr>
              <w:spacing w:after="80"/>
            </w:pPr>
            <w:r>
              <w:rPr>
                <w:rFonts w:ascii="Calibri" w:hAnsi="Calibri"/>
                <w:color w:val="425B72"/>
                <w:sz w:val="19"/>
              </w:rPr>
              <w:t>Equity awards, deferred compensation, blackout periods, and industry exposure need one coordinated decision calendar.</w:t>
            </w:r>
          </w:p>
          <w:p>
            <w:pPr>
              <w:spacing w:after="80"/>
            </w:pPr>
            <w:r>
              <w:rPr>
                <w:rFonts w:ascii="Calibri" w:hAnsi="Calibri"/>
                <w:color w:val="425B72"/>
                <w:sz w:val="19"/>
              </w:rPr>
              <w:t>Your career and wealth may share one risk.</w:t>
            </w:r>
          </w:p>
          <w:p>
            <w:pPr>
              <w:spacing w:after="80"/>
            </w:pPr>
            <w:r>
              <w:rPr>
                <w:rFonts w:ascii="Calibri" w:hAnsi="Calibri"/>
                <w:color w:val="425B72"/>
                <w:sz w:val="19"/>
              </w:rPr>
              <w:t>Salary, bonus, RSUs, retirement benefits, and reputation may all depend on the same company and commodity cycle. A portfolio viewed in isolation misses that concentration.</w:t>
            </w:r>
          </w:p>
          <w:p>
            <w:pPr>
              <w:spacing w:after="80"/>
            </w:pPr>
            <w:r>
              <w:rPr>
                <w:rFonts w:ascii="Calibri" w:hAnsi="Calibri"/>
                <w:color w:val="425B72"/>
                <w:sz w:val="19"/>
              </w:rPr>
              <w:t>Anchor’s role is to connect the vesting calendar, tax projection, trading constraints, cash-flow needs, and diversification plan before the next deadline controls the decision.</w:t>
            </w:r>
          </w:p>
          <w:p>
            <w:pPr>
              <w:spacing w:after="80"/>
            </w:pPr>
            <w:r>
              <w:rPr>
                <w:rFonts w:ascii="Calibri" w:hAnsi="Calibri"/>
                <w:color w:val="425B72"/>
                <w:sz w:val="19"/>
              </w:rPr>
              <w:t>Map the calendar</w:t>
            </w:r>
          </w:p>
          <w:p>
            <w:pPr>
              <w:spacing w:after="80"/>
            </w:pPr>
            <w:r>
              <w:rPr>
                <w:rFonts w:ascii="Calibri" w:hAnsi="Calibri"/>
                <w:color w:val="425B72"/>
                <w:sz w:val="19"/>
              </w:rPr>
              <w:t>Vesting, NQDC elections, bonuses, estimated taxes, and trading windows in one view.</w:t>
            </w:r>
          </w:p>
          <w:p>
            <w:pPr>
              <w:spacing w:after="80"/>
            </w:pPr>
            <w:r>
              <w:rPr>
                <w:rFonts w:ascii="Calibri" w:hAnsi="Calibri"/>
                <w:color w:val="425B72"/>
                <w:sz w:val="19"/>
              </w:rPr>
              <w:t>Model the exposure</w:t>
            </w:r>
          </w:p>
          <w:p>
            <w:pPr>
              <w:spacing w:after="80"/>
            </w:pPr>
            <w:r>
              <w:rPr>
                <w:rFonts w:ascii="Calibri" w:hAnsi="Calibri"/>
                <w:color w:val="425B72"/>
                <w:sz w:val="19"/>
              </w:rPr>
              <w:t>Company stock is considered alongside career, sector, and household risk.</w:t>
            </w:r>
          </w:p>
          <w:p>
            <w:pPr>
              <w:spacing w:after="80"/>
            </w:pPr>
            <w:r>
              <w:rPr>
                <w:rFonts w:ascii="Calibri" w:hAnsi="Calibri"/>
                <w:color w:val="425B72"/>
                <w:sz w:val="19"/>
              </w:rPr>
              <w:t>Coordinate the professionals</w:t>
            </w:r>
          </w:p>
          <w:p>
            <w:pPr>
              <w:spacing w:after="80"/>
            </w:pPr>
            <w:r>
              <w:rPr>
                <w:rFonts w:ascii="Calibri" w:hAnsi="Calibri"/>
                <w:color w:val="425B72"/>
                <w:sz w:val="19"/>
              </w:rPr>
              <w:t>The advisor and CPA work from the same assumptions before tax events arrive.</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p>
      <w:pPr>
        <w:keepNext/>
        <w:pageBreakBefore/>
        <w:spacing w:before="0" w:after="40"/>
      </w:pPr>
      <w:r>
        <w:rPr>
          <w:rFonts w:ascii="Calibri" w:hAnsi="Calibri"/>
          <w:b/>
          <w:color w:val="B18F4D"/>
          <w:sz w:val="16"/>
        </w:rPr>
        <w:t>SECONDARY PAGE REVIEW</w:t>
      </w:r>
    </w:p>
    <w:p>
      <w:pPr>
        <w:pStyle w:val="Heading1"/>
      </w:pPr>
      <w:r>
        <w:t>Business Owners</w:t>
      </w:r>
    </w:p>
    <w:p>
      <w:pPr>
        <w:keepNext/>
        <w:spacing w:after="160"/>
      </w:pPr>
      <w:r>
        <w:rPr>
          <w:rFonts w:ascii="Calibri" w:hAnsi="Calibri"/>
          <w:color w:val="2D5474"/>
          <w:sz w:val="16"/>
        </w:rPr>
        <w:t>https://caebaby.github.io/anchor-review/business-owners.html</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Business-owner page supporting message</w:t>
            </w:r>
          </w:p>
          <w:p>
            <w:pPr>
              <w:spacing w:after="80"/>
            </w:pPr>
            <w:r>
              <w:rPr>
                <w:rFonts w:ascii="Calibri" w:hAnsi="Calibri"/>
                <w:color w:val="425B72"/>
                <w:sz w:val="19"/>
              </w:rPr>
              <w:t>The exit conversation starts before the offer.</w:t>
            </w:r>
          </w:p>
          <w:p>
            <w:pPr>
              <w:spacing w:after="80"/>
            </w:pPr>
            <w:r>
              <w:rPr>
                <w:rFonts w:ascii="Calibri" w:hAnsi="Calibri"/>
                <w:color w:val="425B72"/>
                <w:sz w:val="19"/>
              </w:rPr>
              <w:t>Business value, personal wealth, taxes, succession, and family decisions need time to work together.</w:t>
            </w:r>
          </w:p>
          <w:p>
            <w:pPr>
              <w:spacing w:after="80"/>
            </w:pPr>
            <w:r>
              <w:rPr>
                <w:rFonts w:ascii="Calibri" w:hAnsi="Calibri"/>
                <w:color w:val="425B72"/>
                <w:sz w:val="19"/>
              </w:rPr>
              <w:t>The company is valuable. Is the wealth portable?</w:t>
            </w:r>
          </w:p>
          <w:p>
            <w:pPr>
              <w:spacing w:after="80"/>
            </w:pPr>
            <w:r>
              <w:rPr>
                <w:rFonts w:ascii="Calibri" w:hAnsi="Calibri"/>
                <w:color w:val="425B72"/>
                <w:sz w:val="19"/>
              </w:rPr>
              <w:t>Owners often know the operating business intimately while lacking a clear picture of enterprise value, personal liquidity, tax exposure, or what life after the company should look like.</w:t>
            </w:r>
          </w:p>
          <w:p>
            <w:pPr>
              <w:spacing w:after="80"/>
            </w:pPr>
            <w:r>
              <w:rPr>
                <w:rFonts w:ascii="Calibri" w:hAnsi="Calibri"/>
                <w:color w:val="425B72"/>
                <w:sz w:val="19"/>
              </w:rPr>
              <w:t>Anchor connects the personal plan to the transition work early—while the owner still has choices and before a buyer or deadline compresses them.</w:t>
            </w:r>
          </w:p>
          <w:p>
            <w:pPr>
              <w:spacing w:after="80"/>
            </w:pPr>
            <w:r>
              <w:rPr>
                <w:rFonts w:ascii="Calibri" w:hAnsi="Calibri"/>
                <w:color w:val="425B72"/>
                <w:sz w:val="19"/>
              </w:rPr>
              <w:t>Separate the balance sheets</w:t>
            </w:r>
          </w:p>
          <w:p>
            <w:pPr>
              <w:spacing w:after="80"/>
            </w:pPr>
            <w:r>
              <w:rPr>
                <w:rFonts w:ascii="Calibri" w:hAnsi="Calibri"/>
                <w:color w:val="425B72"/>
                <w:sz w:val="19"/>
              </w:rPr>
              <w:t>Clarify what belongs to the operating company and what supports the family plan.</w:t>
            </w:r>
          </w:p>
          <w:p>
            <w:pPr>
              <w:spacing w:after="80"/>
            </w:pPr>
            <w:r>
              <w:rPr>
                <w:rFonts w:ascii="Calibri" w:hAnsi="Calibri"/>
                <w:color w:val="425B72"/>
                <w:sz w:val="19"/>
              </w:rPr>
              <w:t>Build exit readiness</w:t>
            </w:r>
          </w:p>
          <w:p>
            <w:pPr>
              <w:spacing w:after="80"/>
            </w:pPr>
            <w:r>
              <w:rPr>
                <w:rFonts w:ascii="Calibri" w:hAnsi="Calibri"/>
                <w:color w:val="425B72"/>
                <w:sz w:val="19"/>
              </w:rPr>
              <w:t>Bring valuation, entity structure, succession, and pre-sale planning into the same sequence.</w:t>
            </w:r>
          </w:p>
          <w:p>
            <w:pPr>
              <w:spacing w:after="80"/>
            </w:pPr>
            <w:r>
              <w:rPr>
                <w:rFonts w:ascii="Calibri" w:hAnsi="Calibri"/>
                <w:color w:val="425B72"/>
                <w:sz w:val="19"/>
              </w:rPr>
              <w:t>Plan the other side</w:t>
            </w:r>
          </w:p>
          <w:p>
            <w:pPr>
              <w:spacing w:after="80"/>
            </w:pPr>
            <w:r>
              <w:rPr>
                <w:rFonts w:ascii="Calibri" w:hAnsi="Calibri"/>
                <w:color w:val="425B72"/>
                <w:sz w:val="19"/>
              </w:rPr>
              <w:t>Define the cash flow, investment, family, and legacy decisions after liquidity.</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p>
      <w:pPr>
        <w:keepNext/>
        <w:pageBreakBefore/>
        <w:spacing w:before="0" w:after="40"/>
      </w:pPr>
      <w:r>
        <w:rPr>
          <w:rFonts w:ascii="Calibri" w:hAnsi="Calibri"/>
          <w:b/>
          <w:color w:val="B18F4D"/>
          <w:sz w:val="16"/>
        </w:rPr>
        <w:t>SECONDARY PAGE REVIEW</w:t>
      </w:r>
    </w:p>
    <w:p>
      <w:pPr>
        <w:pStyle w:val="Heading1"/>
      </w:pPr>
      <w:r>
        <w:t>Resources Directory</w:t>
      </w:r>
    </w:p>
    <w:p>
      <w:pPr>
        <w:keepNext/>
        <w:spacing w:after="160"/>
      </w:pPr>
      <w:r>
        <w:rPr>
          <w:rFonts w:ascii="Calibri" w:hAnsi="Calibri"/>
          <w:color w:val="2D5474"/>
          <w:sz w:val="16"/>
        </w:rPr>
        <w:t>https://caebaby.github.io/anchor-review/resources.html</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Resources-directory introduction</w:t>
            </w:r>
          </w:p>
          <w:p>
            <w:pPr>
              <w:spacing w:after="80"/>
            </w:pPr>
            <w:r>
              <w:rPr>
                <w:rFonts w:ascii="Calibri" w:hAnsi="Calibri"/>
                <w:color w:val="425B72"/>
                <w:sz w:val="19"/>
              </w:rPr>
              <w:t>Clear thinking for decisions that touch everything.</w:t>
            </w:r>
          </w:p>
          <w:p>
            <w:pPr>
              <w:spacing w:after="80"/>
            </w:pPr>
            <w:r>
              <w:rPr>
                <w:rFonts w:ascii="Calibri" w:hAnsi="Calibri"/>
                <w:color w:val="425B72"/>
                <w:sz w:val="19"/>
              </w:rPr>
              <w:t>Built for Houston executives, business owners, and families. Browse articles, podcast conversations, and practical frameworks by the decision in front of you.</w:t>
            </w:r>
          </w:p>
          <w:p>
            <w:pPr>
              <w:spacing w:after="80"/>
            </w:pPr>
            <w:r>
              <w:rPr>
                <w:rFonts w:ascii="Calibri" w:hAnsi="Calibri"/>
                <w:color w:val="425B72"/>
                <w:sz w:val="19"/>
              </w:rPr>
              <w:t>Choose how you want to think it through.</w:t>
            </w:r>
          </w:p>
          <w:p>
            <w:pPr>
              <w:spacing w:after="80"/>
            </w:pPr>
            <w:r>
              <w:rPr>
                <w:rFonts w:ascii="Calibri" w:hAnsi="Calibri"/>
                <w:color w:val="425B72"/>
                <w:sz w:val="19"/>
              </w:rPr>
              <w:t>Read the six-minute brief or listen to a focused planning conversation. Both lead to a practical next question.</w:t>
            </w:r>
          </w:p>
          <w:p>
            <w:pPr>
              <w:spacing w:after="80"/>
            </w:pPr>
            <w:r>
              <w:rPr>
                <w:rFonts w:ascii="Calibri" w:hAnsi="Calibri"/>
                <w:color w:val="425B72"/>
                <w:sz w:val="19"/>
              </w:rPr>
              <w:t>Start with the decision, not the format.</w:t>
            </w:r>
          </w:p>
          <w:p>
            <w:pPr>
              <w:spacing w:after="80"/>
            </w:pPr>
            <w:r>
              <w:rPr>
                <w:rFonts w:ascii="Calibri" w:hAnsi="Calibri"/>
                <w:color w:val="425B72"/>
                <w:sz w:val="19"/>
              </w:rPr>
              <w:t>Articles, podcast episodes, and working frameworks live together here. Filter by the issue that needs attention now.</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Sample resource titles and descriptions</w:t>
            </w:r>
          </w:p>
          <w:p>
            <w:pPr>
              <w:spacing w:after="80"/>
            </w:pPr>
            <w:r>
              <w:rPr>
                <w:rFonts w:ascii="Calibri" w:hAnsi="Calibri"/>
                <w:color w:val="425B72"/>
                <w:sz w:val="19"/>
              </w:rPr>
              <w:t>How RSU vesting creates a tax-timing trap</w:t>
            </w:r>
          </w:p>
          <w:p>
            <w:pPr>
              <w:spacing w:after="80"/>
            </w:pPr>
            <w:r>
              <w:rPr>
                <w:rFonts w:ascii="Calibri" w:hAnsi="Calibri"/>
                <w:color w:val="425B72"/>
                <w:sz w:val="19"/>
              </w:rPr>
              <w:t>Why the vest date, withholding method, trading window, and diversification decision need one shared calendar.</w:t>
            </w:r>
          </w:p>
          <w:p>
            <w:pPr>
              <w:spacing w:after="80"/>
            </w:pPr>
            <w:r>
              <w:rPr>
                <w:rFonts w:ascii="Calibri" w:hAnsi="Calibri"/>
                <w:color w:val="425B72"/>
                <w:sz w:val="19"/>
              </w:rPr>
              <w:t>What coordinated planning looks like before year-end</w:t>
            </w:r>
          </w:p>
          <w:p>
            <w:pPr>
              <w:spacing w:after="80"/>
            </w:pPr>
            <w:r>
              <w:rPr>
                <w:rFonts w:ascii="Calibri" w:hAnsi="Calibri"/>
                <w:color w:val="425B72"/>
                <w:sz w:val="19"/>
              </w:rPr>
              <w:t>Put every decision, owner, and deadline on one shared calendar before the year gets crowded.</w:t>
            </w:r>
          </w:p>
          <w:p>
            <w:pPr>
              <w:spacing w:after="80"/>
            </w:pPr>
            <w:r>
              <w:rPr>
                <w:rFonts w:ascii="Calibri" w:hAnsi="Calibri"/>
                <w:color w:val="425B72"/>
                <w:sz w:val="19"/>
              </w:rPr>
              <w:t>What one living plan actually coordinates</w:t>
            </w:r>
          </w:p>
          <w:p>
            <w:pPr>
              <w:spacing w:after="80"/>
            </w:pPr>
            <w:r>
              <w:rPr>
                <w:rFonts w:ascii="Calibri" w:hAnsi="Calibri"/>
                <w:color w:val="425B72"/>
                <w:sz w:val="19"/>
              </w:rPr>
              <w:t>A practical division of labor across the advisor, CPA, attorney, and client.</w:t>
            </w:r>
          </w:p>
          <w:p>
            <w:pPr>
              <w:spacing w:after="80"/>
            </w:pPr>
            <w:r>
              <w:rPr>
                <w:rFonts w:ascii="Calibri" w:hAnsi="Calibri"/>
                <w:color w:val="425B72"/>
                <w:sz w:val="19"/>
              </w:rPr>
              <w:t>The exit conversation starts before the LOI</w:t>
            </w:r>
          </w:p>
          <w:p>
            <w:pPr>
              <w:spacing w:after="80"/>
            </w:pPr>
            <w:r>
              <w:rPr>
                <w:rFonts w:ascii="Calibri" w:hAnsi="Calibri"/>
                <w:color w:val="425B72"/>
                <w:sz w:val="19"/>
              </w:rPr>
              <w:t>Questions to answer while the owner still controls the timeline and the range of options.</w:t>
            </w:r>
          </w:p>
          <w:p>
            <w:pPr>
              <w:spacing w:after="80"/>
            </w:pPr>
            <w:r>
              <w:rPr>
                <w:rFonts w:ascii="Calibri" w:hAnsi="Calibri"/>
                <w:color w:val="425B72"/>
                <w:sz w:val="19"/>
              </w:rPr>
              <w:t>Does the estate plan still match what the family owns?</w:t>
            </w:r>
          </w:p>
          <w:p>
            <w:pPr>
              <w:spacing w:after="80"/>
            </w:pPr>
            <w:r>
              <w:rPr>
                <w:rFonts w:ascii="Calibri" w:hAnsi="Calibri"/>
                <w:color w:val="425B72"/>
                <w:sz w:val="19"/>
              </w:rPr>
              <w:t>Review funding, beneficiaries, decision makers, and family communication after wealth changes.</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p>
      <w:pPr>
        <w:keepNext/>
        <w:pageBreakBefore/>
        <w:spacing w:before="0" w:after="40"/>
      </w:pPr>
      <w:r>
        <w:rPr>
          <w:rFonts w:ascii="Calibri" w:hAnsi="Calibri"/>
          <w:b/>
          <w:color w:val="B18F4D"/>
          <w:sz w:val="16"/>
        </w:rPr>
        <w:t>SECONDARY PAGE REVIEW</w:t>
      </w:r>
    </w:p>
    <w:p>
      <w:pPr>
        <w:pStyle w:val="Heading1"/>
      </w:pPr>
      <w:r>
        <w:t>Article Template</w:t>
      </w:r>
    </w:p>
    <w:p>
      <w:pPr>
        <w:keepNext/>
        <w:spacing w:after="160"/>
      </w:pPr>
      <w:r>
        <w:rPr>
          <w:rFonts w:ascii="Calibri" w:hAnsi="Calibri"/>
          <w:color w:val="2D5474"/>
          <w:sz w:val="16"/>
        </w:rPr>
        <w:t>https://caebaby.github.io/anchor-review/blog-template.html</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Sample article — core message</w:t>
            </w:r>
          </w:p>
          <w:p>
            <w:pPr>
              <w:spacing w:after="80"/>
            </w:pPr>
            <w:r>
              <w:rPr>
                <w:rFonts w:ascii="Calibri" w:hAnsi="Calibri"/>
                <w:color w:val="425B72"/>
                <w:sz w:val="19"/>
              </w:rPr>
              <w:t>How RSU vesting creates a tax-timing trap</w:t>
            </w:r>
          </w:p>
          <w:p>
            <w:pPr>
              <w:spacing w:after="80"/>
            </w:pPr>
            <w:r>
              <w:rPr>
                <w:rFonts w:ascii="Calibri" w:hAnsi="Calibri"/>
                <w:color w:val="425B72"/>
                <w:sz w:val="19"/>
              </w:rPr>
              <w:t>The vest, the tax withholding, and the first open trading window may happen on three different clocks. Your plan has to connect them before the shares arrive.</w:t>
            </w:r>
          </w:p>
          <w:p>
            <w:pPr>
              <w:spacing w:after="80"/>
            </w:pPr>
            <w:r>
              <w:rPr>
                <w:rFonts w:ascii="Calibri" w:hAnsi="Calibri"/>
                <w:color w:val="425B72"/>
                <w:sz w:val="19"/>
              </w:rPr>
              <w:t>The short answer</w:t>
            </w:r>
          </w:p>
          <w:p>
            <w:pPr>
              <w:spacing w:after="80"/>
            </w:pPr>
            <w:r>
              <w:rPr>
                <w:rFonts w:ascii="Calibri" w:hAnsi="Calibri"/>
                <w:color w:val="425B72"/>
                <w:sz w:val="19"/>
              </w:rPr>
              <w:t>RSUs generally create compensation income when the shares settle after vesting. Employer withholding may not equal the tax ultimately due, and a trading restriction can delay your ability to sell. The planning task is to estimate the tax, decide how much stock to retain, and identify the cash source before the vest date.</w:t>
            </w:r>
          </w:p>
          <w:p>
            <w:pPr>
              <w:spacing w:after="80"/>
            </w:pPr>
            <w:r>
              <w:rPr>
                <w:rFonts w:ascii="Calibri" w:hAnsi="Calibri"/>
                <w:color w:val="425B72"/>
                <w:sz w:val="19"/>
              </w:rPr>
              <w:t>An RSU vest can look automatic on a statement. Shares arrive, a portion is withheld, and the rest appears in the account. The harder part is what the statement does not decide: whether the withholding is enough, when the remaining shares can be sold, how much company exposure is reasonable, and what the proceeds are meant to fund.</w:t>
            </w:r>
          </w:p>
          <w:p>
            <w:pPr>
              <w:spacing w:after="80"/>
            </w:pPr>
            <w:r>
              <w:rPr>
                <w:rFonts w:ascii="Calibri" w:hAnsi="Calibri"/>
                <w:color w:val="425B72"/>
                <w:sz w:val="19"/>
              </w:rPr>
              <w:t>A better sequence before the next vest</w:t>
            </w:r>
          </w:p>
          <w:p>
            <w:pPr>
              <w:spacing w:after="80"/>
            </w:pPr>
            <w:r>
              <w:rPr>
                <w:rFonts w:ascii="Calibri" w:hAnsi="Calibri"/>
                <w:color w:val="425B72"/>
                <w:sz w:val="19"/>
              </w:rPr>
              <w:t>Map the dates. Put every expected vest, settlement date, bonus, estimated-tax deadline, and trading window on one calendar.</w:t>
            </w:r>
          </w:p>
          <w:p>
            <w:pPr>
              <w:spacing w:after="80"/>
            </w:pPr>
            <w:r>
              <w:rPr>
                <w:rFonts w:ascii="Calibri" w:hAnsi="Calibri"/>
                <w:color w:val="425B72"/>
                <w:sz w:val="19"/>
              </w:rPr>
              <w:t>Estimate the tax with the CPA. Model the vest in the context of total household income and payments already made.</w:t>
            </w:r>
          </w:p>
          <w:p>
            <w:pPr>
              <w:spacing w:after="80"/>
            </w:pPr>
            <w:r>
              <w:rPr>
                <w:rFonts w:ascii="Calibri" w:hAnsi="Calibri"/>
                <w:color w:val="425B72"/>
                <w:sz w:val="19"/>
              </w:rPr>
              <w:t>Set the retention rule in advance. Decide how much company exposure fits the plan before the market price or an emotional attachment controls the answer.</w:t>
            </w:r>
          </w:p>
          <w:p>
            <w:pPr>
              <w:spacing w:after="80"/>
            </w:pPr>
            <w:r>
              <w:rPr>
                <w:rFonts w:ascii="Calibri" w:hAnsi="Calibri"/>
                <w:color w:val="425B72"/>
                <w:sz w:val="19"/>
              </w:rPr>
              <w:t>Assign the proceeds. Connect any sale to cash reserves, diversification, debt, charitable giving, or another stated goal.</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Sample article — supporting sections</w:t>
            </w:r>
          </w:p>
          <w:p>
            <w:pPr>
              <w:spacing w:after="80"/>
            </w:pPr>
            <w:r>
              <w:rPr>
                <w:rFonts w:ascii="Calibri" w:hAnsi="Calibri"/>
                <w:color w:val="425B72"/>
                <w:sz w:val="19"/>
              </w:rPr>
              <w:t>What should you gather before the vest date?</w:t>
            </w:r>
          </w:p>
          <w:p>
            <w:pPr>
              <w:spacing w:after="80"/>
            </w:pPr>
            <w:r>
              <w:rPr>
                <w:rFonts w:ascii="Calibri" w:hAnsi="Calibri"/>
                <w:color w:val="425B72"/>
                <w:sz w:val="19"/>
              </w:rPr>
              <w:t>The planning meeting moves faster when the advisor and CPA are working from the same source documents. Bring the items that control the transaction and the items that show its effect on the household.</w:t>
            </w:r>
          </w:p>
          <w:p>
            <w:pPr>
              <w:spacing w:after="80"/>
            </w:pPr>
            <w:r>
              <w:rPr>
                <w:rFonts w:ascii="Calibri" w:hAnsi="Calibri"/>
                <w:color w:val="425B72"/>
                <w:sz w:val="19"/>
              </w:rPr>
              <w:t>Award agreement and current vesting schedule These control the grant conditions, settlement timing, and plan-specific mechanics.</w:t>
            </w:r>
          </w:p>
          <w:p>
            <w:pPr>
              <w:spacing w:after="80"/>
            </w:pPr>
            <w:r>
              <w:rPr>
                <w:rFonts w:ascii="Calibri" w:hAnsi="Calibri"/>
                <w:color w:val="425B72"/>
                <w:sz w:val="19"/>
              </w:rPr>
              <w:t>Employer trading policy Include blackout dates, preclearance requirements, and any Rule 10b5-1 plan already in place.</w:t>
            </w:r>
          </w:p>
          <w:p>
            <w:pPr>
              <w:spacing w:after="80"/>
            </w:pPr>
            <w:r>
              <w:rPr>
                <w:rFonts w:ascii="Calibri" w:hAnsi="Calibri"/>
                <w:color w:val="425B72"/>
                <w:sz w:val="19"/>
              </w:rPr>
              <w:t>Recent pay statement and prior-year tax return These help the CPA place the vest inside total household income and withholding.</w:t>
            </w:r>
          </w:p>
          <w:p>
            <w:pPr>
              <w:spacing w:after="80"/>
            </w:pPr>
            <w:r>
              <w:rPr>
                <w:rFonts w:ascii="Calibri" w:hAnsi="Calibri"/>
                <w:color w:val="425B72"/>
                <w:sz w:val="19"/>
              </w:rPr>
              <w:t>Current company-stock exposure Count vested shares, unvested awards, employee stock plans, and other holdings tied to the same employer or industry.</w:t>
            </w:r>
          </w:p>
          <w:p>
            <w:pPr>
              <w:spacing w:after="80"/>
            </w:pPr>
            <w:r>
              <w:rPr>
                <w:rFonts w:ascii="Calibri" w:hAnsi="Calibri"/>
                <w:color w:val="425B72"/>
                <w:sz w:val="19"/>
              </w:rPr>
              <w:t>Near-term cash needs and planned uses Name the tax reserve, major purchase, charitable gift, debt payment, or diversification goal before the shares settle.</w:t>
            </w:r>
          </w:p>
          <w:p>
            <w:pPr>
              <w:spacing w:after="80"/>
            </w:pPr>
            <w:r>
              <w:rPr>
                <w:rFonts w:ascii="Calibri" w:hAnsi="Calibri"/>
                <w:color w:val="425B72"/>
                <w:sz w:val="19"/>
              </w:rPr>
              <w:t>Common RSU tax-planning questions</w:t>
            </w:r>
          </w:p>
          <w:p>
            <w:pPr>
              <w:spacing w:after="80"/>
            </w:pPr>
            <w:r>
              <w:rPr>
                <w:rFonts w:ascii="Calibri" w:hAnsi="Calibri"/>
                <w:color w:val="425B72"/>
                <w:sz w:val="19"/>
              </w:rPr>
              <w:t>Primary sources and further reading</w:t>
            </w:r>
          </w:p>
          <w:p>
            <w:pPr>
              <w:spacing w:after="80"/>
            </w:pPr>
            <w:r>
              <w:rPr>
                <w:rFonts w:ascii="Calibri" w:hAnsi="Calibri"/>
                <w:color w:val="425B72"/>
                <w:sz w:val="19"/>
              </w:rPr>
              <w:t>IRS Publication 525, Taxable and Nontaxable Income , including restricted property and qualified equity grant guidance.</w:t>
            </w:r>
          </w:p>
          <w:p>
            <w:pPr>
              <w:spacing w:after="80"/>
            </w:pPr>
            <w:r>
              <w:rPr>
                <w:rFonts w:ascii="Calibri" w:hAnsi="Calibri"/>
                <w:color w:val="425B72"/>
                <w:sz w:val="19"/>
              </w:rPr>
              <w:t>IRS Publication 15, Employer’s Tax Guide , section 7 on supplemental wage withholding.</w:t>
            </w:r>
          </w:p>
          <w:p>
            <w:pPr>
              <w:spacing w:after="80"/>
            </w:pPr>
            <w:r>
              <w:rPr>
                <w:rFonts w:ascii="Calibri" w:hAnsi="Calibri"/>
                <w:color w:val="425B72"/>
                <w:sz w:val="19"/>
              </w:rPr>
              <w:t>IRS Publication 15-T, Federal Income Tax Withholding Methods .</w:t>
            </w:r>
          </w:p>
          <w:p>
            <w:pPr>
              <w:spacing w:after="80"/>
            </w:pPr>
            <w:r>
              <w:rPr>
                <w:rFonts w:ascii="Calibri" w:hAnsi="Calibri"/>
                <w:color w:val="425B72"/>
                <w:sz w:val="19"/>
              </w:rPr>
              <w:t>SEC guide to Rule 10b5-1 insider trading arrangements , including the conditions and cooling-off periods that apply to qualifying trading plans.</w:t>
            </w:r>
          </w:p>
          <w:p>
            <w:pPr>
              <w:spacing w:after="80"/>
            </w:pPr>
            <w:r>
              <w:rPr>
                <w:rFonts w:ascii="Calibri" w:hAnsi="Calibri"/>
                <w:color w:val="425B72"/>
                <w:sz w:val="19"/>
              </w:rPr>
              <w:t>This material is for educational purposes only and is not individualized tax, legal, or investment advice. Equity plan terms and individual facts vary. Coordinate decisions with the appropriate qualified professionals before acting.</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p>
      <w:pPr>
        <w:keepNext/>
        <w:pageBreakBefore/>
        <w:spacing w:before="0" w:after="40"/>
      </w:pPr>
      <w:r>
        <w:rPr>
          <w:rFonts w:ascii="Calibri" w:hAnsi="Calibri"/>
          <w:b/>
          <w:color w:val="B18F4D"/>
          <w:sz w:val="16"/>
        </w:rPr>
        <w:t>SECONDARY PAGE REVIEW</w:t>
      </w:r>
    </w:p>
    <w:p>
      <w:pPr>
        <w:pStyle w:val="Heading1"/>
      </w:pPr>
      <w:r>
        <w:t>Podcast Episode Template</w:t>
      </w:r>
    </w:p>
    <w:p>
      <w:pPr>
        <w:keepNext/>
        <w:spacing w:after="160"/>
      </w:pPr>
      <w:r>
        <w:rPr>
          <w:rFonts w:ascii="Calibri" w:hAnsi="Calibri"/>
          <w:color w:val="2D5474"/>
          <w:sz w:val="16"/>
        </w:rPr>
        <w:t>https://caebaby.github.io/anchor-review/podcast-template.html</w:t>
      </w:r>
    </w:p>
    <w:tbl>
      <w:tblPr>
        <w:tblW w:type="dxa" w:w="13972"/>
        <w:tblLayout w:type="fixed"/>
        <w:tblLook w:firstColumn="1" w:firstRow="1" w:lastColumn="0" w:lastRow="0" w:noHBand="0" w:noVBand="1" w:val="04A0"/>
        <w:tblInd w:w="140" w:type="dxa"/>
        <w:tblBorders>
          <w:top w:val="single" w:sz="6" w:space="0" w:color="D5DDE5"/>
          <w:left w:val="single" w:sz="6" w:space="0" w:color="D5DDE5"/>
          <w:bottom w:val="single" w:sz="6" w:space="0" w:color="D5DDE5"/>
          <w:right w:val="single" w:sz="6" w:space="0" w:color="D5DDE5"/>
          <w:insideH w:val="single" w:sz="6" w:space="0" w:color="D5DDE5"/>
          <w:insideV w:val="single" w:sz="6" w:space="0" w:color="D5DDE5"/>
        </w:tblBorders>
      </w:tblPr>
      <w:tblGrid>
        <w:gridCol w:w="6986"/>
        <w:gridCol w:w="6986"/>
      </w:tblGrid>
      <w:tr>
        <w:trPr>
          <w:tblHeader w:val="true"/>
        </w:trPr>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CURRENT WEBSITE COPY</w:t>
            </w:r>
          </w:p>
        </w:tc>
        <w:tc>
          <w:tcPr>
            <w:tcW w:type="dxa" w:w="6986"/>
            <w:tcMar>
              <w:top w:w="100" w:type="dxa"/>
              <w:bottom w:w="100" w:type="dxa"/>
              <w:start w:w="140" w:type="dxa"/>
              <w:end w:w="140" w:type="dxa"/>
            </w:tcMar>
            <w:vAlign w:val="top"/>
            <w:shd w:fill="0F2038"/>
          </w:tcPr>
          <w:p>
            <w:pPr>
              <w:spacing w:after="60"/>
              <w:jc w:val="left"/>
            </w:pPr>
            <w:r/>
            <w:r>
              <w:rPr>
                <w:rFonts w:ascii="Calibri" w:hAnsi="Calibri"/>
                <w:b/>
                <w:color w:val="FFFFFF"/>
                <w:sz w:val="18"/>
              </w:rPr>
              <w:t>ALEX'S VERSION / CHANGES</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Sample podcast episode — opening message</w:t>
            </w:r>
          </w:p>
          <w:p>
            <w:pPr>
              <w:spacing w:after="80"/>
            </w:pPr>
            <w:r>
              <w:rPr>
                <w:rFonts w:ascii="Calibri" w:hAnsi="Calibri"/>
                <w:color w:val="425B72"/>
                <w:sz w:val="19"/>
              </w:rPr>
              <w:t>What coordinated planning looks like before year-end</w:t>
            </w:r>
          </w:p>
          <w:p>
            <w:pPr>
              <w:spacing w:after="80"/>
            </w:pPr>
            <w:r>
              <w:rPr>
                <w:rFonts w:ascii="Calibri" w:hAnsi="Calibri"/>
                <w:color w:val="425B72"/>
                <w:sz w:val="19"/>
              </w:rPr>
              <w:t>A focused conversation about timing, ownership, and getting every professional onto the same plan before decisions become deadlines.</w:t>
            </w:r>
          </w:p>
          <w:p>
            <w:pPr>
              <w:spacing w:after="80"/>
            </w:pPr>
            <w:r>
              <w:rPr>
                <w:rFonts w:ascii="Calibri" w:hAnsi="Calibri"/>
                <w:color w:val="425B72"/>
                <w:sz w:val="19"/>
              </w:rPr>
              <w:t>Podcast preview</w:t>
            </w:r>
          </w:p>
          <w:p>
            <w:pPr>
              <w:spacing w:after="80"/>
            </w:pPr>
            <w:r>
              <w:rPr>
                <w:rFonts w:ascii="Calibri" w:hAnsi="Calibri"/>
                <w:color w:val="425B72"/>
                <w:sz w:val="19"/>
              </w:rPr>
              <w:t>Hosted by Alex Miller</w:t>
            </w:r>
          </w:p>
          <w:p>
            <w:pPr>
              <w:spacing w:after="80"/>
            </w:pPr>
            <w:r>
              <w:rPr>
                <w:rFonts w:ascii="Calibri" w:hAnsi="Calibri"/>
                <w:color w:val="425B72"/>
                <w:sz w:val="19"/>
              </w:rPr>
              <w:t>Episode transcript included</w:t>
            </w:r>
          </w:p>
          <w:p>
            <w:pPr>
              <w:spacing w:after="80"/>
            </w:pPr>
            <w:r>
              <w:rPr>
                <w:rFonts w:ascii="Calibri" w:hAnsi="Calibri"/>
                <w:color w:val="425B72"/>
                <w:sz w:val="19"/>
              </w:rPr>
              <w:t>The calendar is where coordination becomes visible.</w:t>
            </w:r>
          </w:p>
          <w:p>
            <w:pPr>
              <w:spacing w:after="80"/>
            </w:pPr>
            <w:r>
              <w:rPr>
                <w:rFonts w:ascii="Calibri" w:hAnsi="Calibri"/>
                <w:color w:val="425B72"/>
                <w:sz w:val="19"/>
              </w:rPr>
              <w:t>Most complex planning problems do not begin with a lack of advice. They begin when good advice arrives from different professionals on different timelines. The podcast puts the decision, the owner, and the deadline in one place.</w:t>
            </w:r>
          </w:p>
          <w:p>
            <w:pPr>
              <w:spacing w:after="80"/>
            </w:pPr>
            <w:r>
              <w:rPr>
                <w:rFonts w:ascii="Calibri" w:hAnsi="Calibri"/>
                <w:color w:val="425B72"/>
                <w:sz w:val="19"/>
              </w:rPr>
              <w:t>Start with the decisions, not the meetings</w:t>
            </w:r>
          </w:p>
          <w:p>
            <w:pPr>
              <w:spacing w:after="80"/>
            </w:pPr>
            <w:r>
              <w:rPr>
                <w:rFonts w:ascii="Calibri" w:hAnsi="Calibri"/>
                <w:color w:val="425B72"/>
                <w:sz w:val="19"/>
              </w:rPr>
              <w:t>List the elections, tax payments, transactions, and family decisions that have a real deadline.</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r>
        <w:trPr>
          <w:cantSplit w:val="true"/>
        </w:trPr>
        <w:tc>
          <w:tcPr>
            <w:tcW w:type="dxa" w:w="6986"/>
            <w:shd w:fill="FFFFFF"/>
          </w:tcPr>
          <w:p>
            <w:pPr>
              <w:spacing w:after="60"/>
            </w:pPr>
            <w:r/>
          </w:p>
          <w:p>
            <w:pPr>
              <w:spacing w:before="0" w:after="80"/>
            </w:pPr>
            <w:r>
              <w:rPr>
                <w:rFonts w:ascii="Calibri" w:hAnsi="Calibri"/>
                <w:b/>
                <w:color w:val="B18F4D"/>
                <w:sz w:val="15"/>
              </w:rPr>
              <w:t>SECONDARY COPY</w:t>
            </w:r>
          </w:p>
          <w:p>
            <w:pPr>
              <w:spacing w:after="100"/>
            </w:pPr>
            <w:r>
              <w:rPr>
                <w:rFonts w:ascii="Calibri" w:hAnsi="Calibri"/>
                <w:b/>
                <w:color w:val="0F2038"/>
                <w:sz w:val="21"/>
              </w:rPr>
              <w:t>Sample podcast episode — practical takeaways</w:t>
            </w:r>
          </w:p>
          <w:p>
            <w:pPr>
              <w:spacing w:after="80"/>
            </w:pPr>
            <w:r>
              <w:rPr>
                <w:rFonts w:ascii="Calibri" w:hAnsi="Calibri"/>
                <w:color w:val="425B72"/>
                <w:sz w:val="19"/>
              </w:rPr>
              <w:t>Give every decision one owner</w:t>
            </w:r>
          </w:p>
          <w:p>
            <w:pPr>
              <w:spacing w:after="80"/>
            </w:pPr>
            <w:r>
              <w:rPr>
                <w:rFonts w:ascii="Calibri" w:hAnsi="Calibri"/>
                <w:color w:val="425B72"/>
                <w:sz w:val="19"/>
              </w:rPr>
              <w:t>The lead professional does not need to do every task, but someone must own the next step.</w:t>
            </w:r>
          </w:p>
          <w:p>
            <w:pPr>
              <w:spacing w:after="80"/>
            </w:pPr>
            <w:r>
              <w:rPr>
                <w:rFonts w:ascii="Calibri" w:hAnsi="Calibri"/>
                <w:color w:val="425B72"/>
                <w:sz w:val="19"/>
              </w:rPr>
              <w:t>Move information before the deadline</w:t>
            </w:r>
          </w:p>
          <w:p>
            <w:pPr>
              <w:spacing w:after="80"/>
            </w:pPr>
            <w:r>
              <w:rPr>
                <w:rFonts w:ascii="Calibri" w:hAnsi="Calibri"/>
                <w:color w:val="425B72"/>
                <w:sz w:val="19"/>
              </w:rPr>
              <w:t>The CPA, attorney, and advisor need the same assumptions before each recommendation is final.</w:t>
            </w:r>
          </w:p>
          <w:p>
            <w:pPr>
              <w:spacing w:after="80"/>
            </w:pPr>
            <w:r>
              <w:rPr>
                <w:rFonts w:ascii="Calibri" w:hAnsi="Calibri"/>
                <w:color w:val="425B72"/>
                <w:sz w:val="19"/>
              </w:rPr>
              <w:t>Update the plan after the decision</w:t>
            </w:r>
          </w:p>
          <w:p>
            <w:pPr>
              <w:spacing w:after="80"/>
            </w:pPr>
            <w:r>
              <w:rPr>
                <w:rFonts w:ascii="Calibri" w:hAnsi="Calibri"/>
                <w:color w:val="425B72"/>
                <w:sz w:val="19"/>
              </w:rPr>
              <w:t>A vest, business offer, trust change, or liquidity event should change the living plan, not disappear into a file.</w:t>
            </w:r>
          </w:p>
          <w:p>
            <w:pPr>
              <w:spacing w:after="80"/>
            </w:pPr>
            <w:r>
              <w:rPr>
                <w:rFonts w:ascii="Calibri" w:hAnsi="Calibri"/>
                <w:color w:val="425B72"/>
                <w:sz w:val="19"/>
              </w:rPr>
              <w:t>Four items for the first calendar pass</w:t>
            </w:r>
          </w:p>
          <w:p>
            <w:pPr>
              <w:spacing w:after="80"/>
            </w:pPr>
            <w:r>
              <w:rPr>
                <w:rFonts w:ascii="Calibri" w:hAnsi="Calibri"/>
                <w:color w:val="425B72"/>
                <w:sz w:val="19"/>
              </w:rPr>
              <w:t>Expected equity vesting and bonus dates</w:t>
            </w:r>
          </w:p>
          <w:p>
            <w:pPr>
              <w:spacing w:after="80"/>
            </w:pPr>
            <w:r>
              <w:rPr>
                <w:rFonts w:ascii="Calibri" w:hAnsi="Calibri"/>
                <w:color w:val="425B72"/>
                <w:sz w:val="19"/>
              </w:rPr>
              <w:t>Estimated-tax and filing deadlines</w:t>
            </w:r>
          </w:p>
          <w:p>
            <w:pPr>
              <w:spacing w:after="80"/>
            </w:pPr>
            <w:r>
              <w:rPr>
                <w:rFonts w:ascii="Calibri" w:hAnsi="Calibri"/>
                <w:color w:val="425B72"/>
                <w:sz w:val="19"/>
              </w:rPr>
              <w:t>Open legal or estate-planning decisions</w:t>
            </w:r>
          </w:p>
          <w:p>
            <w:pPr>
              <w:spacing w:after="80"/>
            </w:pPr>
            <w:r>
              <w:rPr>
                <w:rFonts w:ascii="Calibri" w:hAnsi="Calibri"/>
                <w:color w:val="425B72"/>
                <w:sz w:val="19"/>
              </w:rPr>
              <w:t>Business, family, or liquidity events on the horizon</w:t>
            </w:r>
          </w:p>
        </w:tc>
        <w:tc>
          <w:tcPr>
            <w:tcW w:type="dxa" w:w="6986"/>
            <w:shd w:fill="FFF9ED"/>
          </w:tcPr>
          <w:p>
            <w:pPr>
              <w:spacing w:after="60"/>
            </w:pPr>
            <w:r/>
          </w:p>
          <w:p>
            <w:pPr>
              <w:spacing w:before="0" w:after="80"/>
            </w:pPr>
            <w:r>
              <w:rPr>
                <w:rFonts w:ascii="Calibri" w:hAnsi="Calibri"/>
                <w:b/>
                <w:color w:val="2D5474"/>
                <w:sz w:val="15"/>
              </w:rPr>
              <w:t>DECISION</w:t>
            </w:r>
          </w:p>
          <w:p>
            <w:pPr>
              <w:spacing w:after="100"/>
            </w:pPr>
            <w:r>
              <w:rPr>
                <w:rFonts w:ascii="Calibri" w:hAnsi="Calibri"/>
                <w:b/>
                <w:color w:val="0F2038"/>
                <w:sz w:val="19"/>
              </w:rPr>
              <w:t>Keep  /  Edit  /  Replace</w:t>
            </w:r>
          </w:p>
          <w:p>
            <w:pPr>
              <w:spacing w:after="160"/>
            </w:pPr>
            <w:r>
              <w:rPr>
                <w:rFonts w:ascii="Calibri" w:hAnsi="Calibri"/>
                <w:i/>
                <w:color w:val="425B72"/>
                <w:sz w:val="17"/>
              </w:rPr>
              <w:t>Keep, edit, or replace this copy.</w:t>
            </w:r>
          </w:p>
          <w:p>
            <w:pPr>
              <w:spacing w:after="80"/>
            </w:pPr>
            <w:r>
              <w:rPr>
                <w:rFonts w:ascii="Calibri" w:hAnsi="Calibri"/>
                <w:b/>
                <w:color w:val="2D5474"/>
                <w:sz w:val="17"/>
              </w:rPr>
              <w:t>Alex's replacement copy or notes:</w:t>
            </w:r>
          </w:p>
          <w:p>
            <w:pPr>
              <w:spacing w:after="180"/>
            </w:pPr>
            <w:r>
              <w:rPr>
                <w:rFonts w:ascii="Calibri" w:hAnsi="Calibri"/>
                <w:color w:val="425B72"/>
                <w:sz w:val="19"/>
              </w:rPr>
              <w:t xml:space="preserve"> </w:t>
            </w:r>
          </w:p>
          <w:p>
            <w:pPr>
              <w:spacing w:after="180"/>
            </w:pPr>
            <w:r>
              <w:rPr>
                <w:rFonts w:ascii="Calibri" w:hAnsi="Calibri"/>
                <w:color w:val="425B72"/>
                <w:sz w:val="19"/>
              </w:rPr>
              <w:t xml:space="preserve"> </w:t>
            </w:r>
          </w:p>
        </w:tc>
      </w:tr>
    </w:tbl>
    <w:sectPr w:rsidR="00FC693F" w:rsidRPr="0006063C" w:rsidSect="00034616">
      <w:headerReference w:type="default" r:id="rId9"/>
      <w:footerReference w:type="default" r:id="rId10"/>
      <w:pgSz w:w="15840" w:h="12240" w:orient="landscape"/>
      <w:pgMar w:top="864" w:right="864" w:bottom="864"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425B72"/>
        <w:sz w:val="16"/>
      </w:rPr>
      <w:t xml:space="preserve">Alex copy review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25B72"/>
        <w:sz w:val="16"/>
      </w:rPr>
      <w:t>ANCHOR WEALTH PLANNING  |  COPY REVIEW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Calibri" w:hAnsi="Calibri"/>
      <w:color w:val="425B7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F203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D5474"/>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F20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Anchor Website Copy Priorities — Side by Side</dc:title>
  <dc:subject>Prioritized editable client copy decision workbook</dc:subject>
  <dc:creator>Website Factory</dc:creator>
  <cp:keywords>Anchor Wealth Planning, copy review, Alex Miller</cp:keywords>
  <dc:description>generated by python-docx</dc:description>
  <cp:lastModifiedBy/>
  <cp:revision>1</cp:revision>
  <dcterms:created xsi:type="dcterms:W3CDTF">2013-12-23T23:15:00Z</dcterms:created>
  <dcterms:modified xsi:type="dcterms:W3CDTF">2013-12-23T23:15:00Z</dcterms:modified>
  <cp:category/>
</cp:coreProperties>
</file>