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B18F4D"/>
          <w:sz w:val="18"/>
        </w:rPr>
        <w:t>CLIENT COPY WORKBOOK</w:t>
      </w:r>
    </w:p>
    <w:p>
      <w:pPr>
        <w:keepNext/>
        <w:spacing w:after="160"/>
      </w:pPr>
      <w:r>
        <w:rPr>
          <w:rFonts w:ascii="Calibri" w:hAnsi="Calibri"/>
          <w:b/>
          <w:color w:val="0F2038"/>
          <w:sz w:val="60"/>
        </w:rPr>
        <w:t>Current Website Copy &amp; Alex Review Guide</w:t>
      </w:r>
    </w:p>
    <w:p>
      <w:pPr>
        <w:keepNext/>
        <w:spacing w:after="360"/>
      </w:pPr>
      <w:r>
        <w:rPr>
          <w:rFonts w:ascii="Calibri" w:hAnsi="Calibri"/>
          <w:color w:val="425B72"/>
          <w:sz w:val="27"/>
        </w:rPr>
        <w:t>A page-by-page record of the current Anchor Wealth Planning review site, with the decisions, facts, and approvals needed from Alex before launch.</w:t>
      </w:r>
    </w:p>
    <w:p>
      <w:pPr>
        <w:spacing w:after="360"/>
      </w:pPr>
      <w:r>
        <w:rPr>
          <w:rFonts w:ascii="Calibri" w:hAnsi="Calibri"/>
          <w:color w:val="425B72"/>
          <w:sz w:val="21"/>
        </w:rPr>
        <w:t>Prepared for: Alex Miller and the Anchor review team</w:t>
        <w:br/>
        <w:t>Current public review: https://caebaby.github.io/anchor-review/</w:t>
      </w:r>
    </w:p>
    <w:p>
      <w:pPr>
        <w:pStyle w:val="Heading1"/>
      </w:pPr>
      <w:r>
        <w:t>How to use this document</w:t>
      </w:r>
    </w:p>
    <w:p>
      <w:pPr>
        <w:pStyle w:val="ListBullet"/>
      </w:pPr>
      <w:r>
        <w:t>Read the Alex Review bullets first. Those are the decisions or facts most likely to change the site.</w:t>
      </w:r>
    </w:p>
    <w:p>
      <w:pPr>
        <w:pStyle w:val="ListBullet"/>
      </w:pPr>
      <w:r>
        <w:t>The Current Website Copy sections reproduce the meaningful on-page copy from the present review build. Navigation and repeated footer links are summarized once.</w:t>
      </w:r>
    </w:p>
    <w:p>
      <w:pPr>
        <w:pStyle w:val="ListBullet"/>
      </w:pPr>
      <w:r>
        <w:t>Correct wording directly, add comments, or answer in plain language. The final site copy can be rewritten from Alex’s answers.</w:t>
      </w:r>
    </w:p>
    <w:p>
      <w:pPr>
        <w:pStyle w:val="ListBullet"/>
      </w:pPr>
      <w:r>
        <w:t>Anything involving registration, fiduciary status, credentials, prior employment, tax language, awards, or testimonials requires factual and compliance approval before launch.</w:t>
      </w:r>
    </w:p>
    <w:p>
      <w:pPr>
        <w:pStyle w:val="Heading1"/>
      </w:pPr>
      <w:r>
        <w:t>Launch-critical facts</w:t>
      </w:r>
    </w:p>
    <w:p>
      <w:pPr>
        <w:spacing w:before="120" w:after="120"/>
        <w:pBdr>
          <w:left w:val="single" w:sz="18" w:space="8" w:color="B18F4D"/>
        </w:pBdr>
      </w:pPr>
      <w:r>
        <w:rPr>
          <w:rFonts w:ascii="Calibri" w:hAnsi="Calibri"/>
          <w:b/>
          <w:color w:val="0F2038"/>
          <w:sz w:val="18"/>
        </w:rPr>
        <w:t>ALEX REVIEW — DECISIONS AND INPUTS</w:t>
      </w:r>
    </w:p>
    <w:p>
      <w:pPr>
        <w:pStyle w:val="ListBullet"/>
      </w:pPr>
      <w:r>
        <w:t>Exact legal entity name and registration status, including state or SEC registration as applicable.</w:t>
      </w:r>
    </w:p>
    <w:p>
      <w:pPr>
        <w:pStyle w:val="ListBullet"/>
      </w:pPr>
      <w:r>
        <w:t>Whether “fiduciary,” “RIA,” “fee-only,” or “fee-based” may be used, and the approved disclosure language.</w:t>
      </w:r>
    </w:p>
    <w:p>
      <w:pPr>
        <w:pStyle w:val="ListBullet"/>
      </w:pPr>
      <w:r>
        <w:t>Exact business phone, email, office location, scheduling link, and compliance contact.</w:t>
      </w:r>
    </w:p>
    <w:p>
      <w:pPr>
        <w:pStyle w:val="ListBullet"/>
      </w:pPr>
      <w:r>
        <w:t>Alex’s exact title, verified years in the industry, approved prior-firm history, credentials, licenses, and accolades.</w:t>
      </w:r>
    </w:p>
    <w:p>
      <w:pPr>
        <w:pStyle w:val="ListBullet"/>
      </w:pPr>
      <w:r>
        <w:t>Service scope and fee language, including what Anchor provides directly and what is coordinated through outside professionals.</w:t>
      </w:r>
    </w:p>
    <w:p>
      <w:pPr>
        <w:pStyle w:val="ListBullet"/>
      </w:pPr>
      <w:r>
        <w:t>Fit Check audience and asset bands, response workflow, response-time promise, and whether the assessment can make a “fit” recommendation.</w:t>
      </w:r>
    </w:p>
    <w:p>
      <w:pPr>
        <w:pStyle w:val="ListBullet"/>
      </w:pPr>
      <w:r>
        <w:t>Approved photography, Alex story video, team headshots, article authorship, and podcast media/platform links.</w:t>
      </w:r>
    </w:p>
    <w:p>
      <w:pPr>
        <w:spacing w:after="60"/>
      </w:pPr>
    </w:p>
    <w:p>
      <w:pPr>
        <w:pStyle w:val="Heading1"/>
      </w:pPr>
      <w:r>
        <w:t>Global site copy</w:t>
      </w:r>
    </w:p>
    <w:p>
      <w:pPr>
        <w:spacing w:before="120" w:after="120"/>
        <w:pBdr>
          <w:left w:val="single" w:sz="18" w:space="8" w:color="B18F4D"/>
        </w:pBdr>
      </w:pPr>
      <w:r>
        <w:rPr>
          <w:rFonts w:ascii="Calibri" w:hAnsi="Calibri"/>
          <w:b/>
          <w:color w:val="0F2038"/>
          <w:sz w:val="18"/>
        </w:rPr>
        <w:t>ALEX REVIEW — DECISIONS AND INPUTS</w:t>
      </w:r>
    </w:p>
    <w:p>
      <w:pPr>
        <w:pStyle w:val="ListBullet"/>
      </w:pPr>
      <w:r>
        <w:t>Approve the brand line “Charting the course towards your financial legacy” or replace it.</w:t>
      </w:r>
    </w:p>
    <w:p>
      <w:pPr>
        <w:pStyle w:val="ListBullet"/>
      </w:pPr>
      <w:r>
        <w:t>Confirm the preferred firm description: Houston-based fiduciary wealth management for high-net-worth families, oil and gas executives, and business owners.</w:t>
      </w:r>
    </w:p>
    <w:p>
      <w:pPr>
        <w:pStyle w:val="ListBullet"/>
      </w:pPr>
      <w:r>
        <w:t>Provide the final legal footer and privacy/contact requirements.</w:t>
      </w:r>
    </w:p>
    <w:p>
      <w:pPr>
        <w:spacing w:after="60"/>
      </w:pPr>
    </w:p>
    <w:p>
      <w:pPr>
        <w:spacing w:before="160" w:after="160"/>
        <w:shd w:fill="EEF2F5"/>
      </w:pPr>
      <w:r>
        <w:rPr>
          <w:rFonts w:ascii="Calibri" w:hAnsi="Calibri"/>
          <w:b/>
          <w:color w:val="0F2038"/>
          <w:sz w:val="18"/>
        </w:rPr>
        <w:t>CURRENT WEBSITE COPY</w:t>
      </w:r>
    </w:p>
    <w:p>
      <w:r>
        <w:t>Primary navigation: About · Team · Who We Serve · Resources · Process · Take the Fit Check</w:t>
      </w:r>
    </w:p>
    <w:p>
      <w:r>
        <w:t>Brand line: “Charting the course towards your financial legacy.”</w:t>
      </w:r>
    </w:p>
    <w:p>
      <w:r>
        <w:t>Firm description: Houston-based fiduciary wealth management for high-net-worth families, oil &amp; gas executives, and business owners.</w:t>
      </w:r>
    </w:p>
    <w:p>
      <w:r>
        <w:t>Current legal placeholder: [VERIFY: RIA entity name] is a registered investment advisor. Information presented is for educational purposes only and does not intend to make an offer or solicitation for the sale or purchase of any specific securities, investments, or investment strategies. Investments involve risk and unless otherwise stated, are not guaranteed. Past performance is not a guarantee of future results.</w:t>
      </w:r>
    </w:p>
    <w:p>
      <w:r>
        <w:t>Repeated Fit Check footer headline: Four questions. A better first conversation.</w:t>
      </w:r>
    </w:p>
    <w:p>
      <w:r>
        <w:t>Repeated Fit Check footer explainer: See whether your situation, timing, and coordination needs match the way Anchor works.</w:t>
      </w:r>
    </w:p>
    <w:p>
      <w:r>
        <w:t>Repeated Fit Check footer steps: 01 Your situation · 02 Current complexity · 03 Coordination gap · 04 Best next step.</w:t>
      </w:r>
    </w:p>
    <w:p>
      <w:r>
        <w:t>Repeated Fit Check footer CTA: Start the Fit Check.</w:t>
      </w:r>
    </w:p>
    <w:p>
      <w:pPr>
        <w:spacing w:before="360" w:after="200"/>
        <w:pBdr>
          <w:top w:val="single" w:sz="6" w:space="5" w:color="D8DEE5"/>
        </w:pBdr>
      </w:pPr>
    </w:p>
    <w:p>
      <w:pPr>
        <w:spacing w:after="60"/>
      </w:pPr>
      <w:r>
        <w:rPr>
          <w:rFonts w:ascii="Calibri" w:hAnsi="Calibri"/>
          <w:b/>
          <w:color w:val="B18F4D"/>
          <w:sz w:val="18"/>
        </w:rPr>
        <w:t>PAGE COPY</w:t>
      </w:r>
    </w:p>
    <w:p>
      <w:pPr>
        <w:pStyle w:val="Heading1"/>
        <w:keepNext/>
        <w:spacing w:before="60" w:after="140"/>
      </w:pPr>
      <w:r>
        <w:rPr>
          <w:rFonts w:ascii="Calibri" w:hAnsi="Calibri"/>
          <w:b/>
          <w:color w:val="0F2038"/>
          <w:sz w:val="44"/>
        </w:rPr>
        <w:t>Homepage</w:t>
      </w:r>
    </w:p>
    <w:p>
      <w:pPr>
        <w:spacing w:after="200"/>
      </w:pPr>
      <w:hyperlink r:id="rId11">
        <w:r>
          <w:rPr>
            <w:color w:val="2D5474"/>
            <w:u w:val="single"/>
          </w:rPr>
          <w:t>Open this page in the public review</w:t>
        </w:r>
      </w:hyperlink>
    </w:p>
    <w:p>
      <w:pPr>
        <w:spacing w:before="120" w:after="120"/>
        <w:pBdr>
          <w:left w:val="single" w:sz="18" w:space="8" w:color="B18F4D"/>
        </w:pBdr>
      </w:pPr>
      <w:r>
        <w:rPr>
          <w:rFonts w:ascii="Calibri" w:hAnsi="Calibri"/>
          <w:b/>
          <w:color w:val="0F2038"/>
          <w:sz w:val="18"/>
        </w:rPr>
        <w:t>ALEX REVIEW — DECISIONS AND INPUTS</w:t>
      </w:r>
    </w:p>
    <w:p>
      <w:pPr>
        <w:pStyle w:val="ListBullet"/>
      </w:pPr>
      <w:r>
        <w:t>Choose the lead hero audience and approve all three rotating hero headlines.</w:t>
      </w:r>
    </w:p>
    <w:p>
      <w:pPr>
        <w:pStyle w:val="ListBullet"/>
      </w:pPr>
      <w:r>
        <w:t>Confirm whether “fiduciary wealth management” is accurate and compliance-approved.</w:t>
      </w:r>
    </w:p>
    <w:p>
      <w:pPr>
        <w:pStyle w:val="ListBullet"/>
      </w:pPr>
      <w:r>
        <w:t>Approve, soften, or replace the first-person pain statements used in the ticker and problem section.</w:t>
      </w:r>
    </w:p>
    <w:p>
      <w:pPr>
        <w:pStyle w:val="ListBullet"/>
      </w:pPr>
      <w:r>
        <w:t>Supply the approved biography, prior-firm history, years in the industry, credentials, and any accolade with source and selection criteria.</w:t>
      </w:r>
    </w:p>
    <w:p>
      <w:pPr>
        <w:pStyle w:val="ListBullet"/>
      </w:pPr>
      <w:r>
        <w:t>Confirm every service described is offered and whether “joint planning meetings” is the normal client experience.</w:t>
      </w:r>
    </w:p>
    <w:p>
      <w:pPr>
        <w:pStyle w:val="ListBullet"/>
      </w:pPr>
      <w:r>
        <w:t>Confirm the Fit Check asset bands. The current build moves from $2M–$5M directly to $10M+ and may need a $5M–$10M option.</w:t>
      </w:r>
    </w:p>
    <w:p>
      <w:pPr>
        <w:pStyle w:val="ListBullet"/>
      </w:pPr>
      <w:r>
        <w:t>Decide whether the primary action is a Fit Check, a 30-minute call, or a Fit Check followed by scheduling. Current call CTAs route into the Fit Check.</w:t>
      </w:r>
    </w:p>
    <w:p>
      <w:pPr>
        <w:pStyle w:val="ListBullet"/>
      </w:pPr>
      <w:r>
        <w:t>Approve the response promise, referral language, and “no pitch” wording.</w:t>
      </w:r>
    </w:p>
    <w:p>
      <w:pPr>
        <w:pStyle w:val="ListBullet"/>
      </w:pPr>
      <w:r>
        <w:t>Replace preview story and short-form videos with approved Alex footage when available.</w:t>
      </w:r>
    </w:p>
    <w:p>
      <w:pPr>
        <w:spacing w:after="60"/>
      </w:pPr>
    </w:p>
    <w:p>
      <w:pPr>
        <w:spacing w:before="160" w:after="160"/>
        <w:shd w:fill="EEF2F5"/>
      </w:pPr>
      <w:r>
        <w:rPr>
          <w:rFonts w:ascii="Calibri" w:hAnsi="Calibri"/>
          <w:b/>
          <w:color w:val="0F2038"/>
          <w:sz w:val="18"/>
        </w:rPr>
        <w:t>CURRENT WEBSITE COPY</w:t>
      </w:r>
    </w:p>
    <w:p>
      <w:pPr>
        <w:pStyle w:val="Heading2"/>
      </w:pPr>
      <w:r>
        <w:t>Rotating hero copy</w:t>
      </w:r>
    </w:p>
    <w:p>
      <w:r>
        <w:rPr>
          <w:rFonts w:ascii="Calibri" w:hAnsi="Calibri"/>
          <w:b/>
          <w:color w:val="0F2038"/>
          <w:sz w:val="22"/>
        </w:rPr>
        <w:t>Families: Your wealth grew. Did your plan keep up?</w:t>
      </w:r>
    </w:p>
    <w:p>
      <w:r>
        <w:t>Trust funding, beneficiary reviews, multi-generational coordination. Anchor keeps your CPA, attorney, and advisor reading from the same page — so your estate matches your actual net worth.</w:t>
      </w:r>
    </w:p>
    <w:p>
      <w:r>
        <w:rPr>
          <w:rFonts w:ascii="Calibri" w:hAnsi="Calibri"/>
          <w:b/>
          <w:color w:val="0F2038"/>
          <w:sz w:val="22"/>
        </w:rPr>
        <w:t>Oil &amp; Gas: When your equity vests, who sees the whole picture?</w:t>
      </w:r>
    </w:p>
    <w:p>
      <w:r>
        <w:t>RSUs, deferred comp, blackout periods, commodity cycles. Anchor coordinates your investments, taxes, and estate plan with your CPA and attorney — so every vest, bonus, and decision happens in context.</w:t>
      </w:r>
    </w:p>
    <w:p>
      <w:r>
        <w:rPr>
          <w:rFonts w:ascii="Calibri" w:hAnsi="Calibri"/>
          <w:b/>
          <w:color w:val="0F2038"/>
          <w:sz w:val="22"/>
        </w:rPr>
        <w:t>Business Owners: Your business is your largest asset. What’s the plan for it?</w:t>
      </w:r>
    </w:p>
    <w:p>
      <w:r>
        <w:t>Entity structure, exit timing, liquidity events, and the line between business value and personal wealth. Anchor starts the planning conversation years before the LOI arrives.</w:t>
      </w:r>
    </w:p>
    <w:p>
      <w:r>
        <w:t>CTA: Schedule a 30-Minute Conversation</w:t>
      </w:r>
    </w:p>
    <w:p>
      <w:r>
        <w:t>CTA: Take the 4-Question Fit Check</w:t>
      </w:r>
    </w:p>
    <w:p>
      <w:r>
        <w:t>Proof labels: APMA® · CRPC® · 19 years · Houston-based (client supplied; compliance review pending)</w:t>
      </w:r>
    </w:p>
    <w:p>
      <w:pPr>
        <w:spacing w:before="160" w:after="60"/>
      </w:pPr>
      <w:r>
        <w:rPr>
          <w:rFonts w:ascii="Calibri" w:hAnsi="Calibri"/>
          <w:b/>
          <w:color w:val="B18F4D"/>
          <w:sz w:val="17"/>
        </w:rPr>
        <w:t>THE PROBLEM</w:t>
      </w:r>
    </w:p>
    <w:p>
      <w:pPr>
        <w:pStyle w:val="Heading2"/>
      </w:pPr>
      <w:r>
        <w:t>You're holding it all together. That's the problem.</w:t>
      </w:r>
    </w:p>
    <w:p>
      <w:r>
        <w:t>Your financial life has outgrown a collection of disconnected professionals. The cost is not another meeting — it's every decision made without the whole picture.</w:t>
      </w:r>
    </w:p>
    <w:p>
      <w:r>
        <w:t>"No one sees the full picture. My CPA handles taxes, my advisor handles investments, my attorney has the estate docs — and none of them talk to each other."</w:t>
      </w:r>
    </w:p>
    <w:p>
      <w:r>
        <w:t>You've become the project manager of your own wealth, and you're paying for the gaps in between.</w:t>
      </w:r>
    </w:p>
    <w:p>
      <w:r>
        <w:t>"My RSUs vest, I get a huge tax hit, and by the time I think about selling to diversify, I'm emotionally attached to the stock and it's already dropped."</w:t>
      </w:r>
    </w:p>
    <w:p>
      <w:r>
        <w:t>Equity compensation is how the energy industry pays its leaders. RSU vesting, deferred comp, and blackout periods create a tax-timing problem that generalist advisors don't understand.</w:t>
      </w:r>
    </w:p>
    <w:p>
      <w:r>
        <w:t>"We want to leave a legacy and protect our family when we pass. We are just not sure this has been done properly, and we want a second opinion."</w:t>
      </w:r>
    </w:p>
    <w:p>
      <w:r>
        <w:t>Your net worth has grown. Your estate documents haven't. The gap between your wealth and your plan is widening every year.</w:t>
      </w:r>
    </w:p>
    <w:p>
      <w:r>
        <w:t>"I know my business inside and out, but I have no idea what it's actually worth or what I'd walk away with after taxes if I sold."</w:t>
      </w:r>
    </w:p>
    <w:p>
      <w:r>
        <w:t>Your net worth is locked inside an illiquid entity. Your personal and business finances are tangled. And if an unsolicited offer arrived tomorrow, you wouldn't have a team ready.</w:t>
      </w:r>
    </w:p>
    <w:p>
      <w:pPr>
        <w:spacing w:before="160" w:after="60"/>
      </w:pPr>
      <w:r>
        <w:rPr>
          <w:rFonts w:ascii="Calibri" w:hAnsi="Calibri"/>
          <w:b/>
          <w:color w:val="B18F4D"/>
          <w:sz w:val="17"/>
        </w:rPr>
        <w:t>ALEX'S STORY</w:t>
      </w:r>
    </w:p>
    <w:p>
      <w:pPr>
        <w:pStyle w:val="Heading2"/>
      </w:pPr>
      <w:r>
        <w:t>Meet Alex Miller. Hear why he built Anchor.</w:t>
      </w:r>
    </w:p>
    <w:p>
      <w:r>
        <w:t>The final filmed story and approved biography will replace this preview after client and compliance review.</w:t>
      </w:r>
    </w:p>
    <w:p>
      <w:r>
        <w:rPr>
          <w:rFonts w:ascii="Calibri" w:hAnsi="Calibri"/>
          <w:i/>
          <w:color w:val="425B72"/>
          <w:sz w:val="19"/>
        </w:rPr>
        <w:t>Preview footage · [XX:XX]. Replace with Alex's approved story video before launch.</w:t>
      </w:r>
    </w:p>
    <w:p>
      <w:pPr>
        <w:spacing w:before="160" w:after="60"/>
      </w:pPr>
      <w:r>
        <w:rPr>
          <w:rFonts w:ascii="Calibri" w:hAnsi="Calibri"/>
          <w:b/>
          <w:color w:val="B18F4D"/>
          <w:sz w:val="17"/>
        </w:rPr>
        <w:t>CREDENTIALS</w:t>
      </w:r>
    </w:p>
    <w:p>
      <w:pPr>
        <w:pStyle w:val="Heading2"/>
      </w:pPr>
      <w:r>
        <w:t>Qualified. Independent. Accountable to you.</w:t>
      </w:r>
    </w:p>
    <w:p>
      <w:r>
        <w:t>Not a claim. Here's what it actually means.</w:t>
      </w:r>
    </w:p>
    <w:p>
      <w:pPr>
        <w:pStyle w:val="Heading3"/>
      </w:pPr>
      <w:r>
        <w:t>19 years in the industry</w:t>
      </w:r>
    </w:p>
    <w:p>
      <w:r>
        <w:t>Experience across financial planning, wealth management, and independent advice.</w:t>
      </w:r>
    </w:p>
    <w:p>
      <w:r>
        <w:rPr>
          <w:rFonts w:ascii="Calibri" w:hAnsi="Calibri"/>
          <w:i/>
          <w:color w:val="425B72"/>
          <w:sz w:val="19"/>
        </w:rPr>
        <w:t>Client supplied</w:t>
      </w:r>
    </w:p>
    <w:p>
      <w:pPr>
        <w:pStyle w:val="Heading3"/>
      </w:pPr>
      <w:r>
        <w:t>APMA®</w:t>
      </w:r>
    </w:p>
    <w:p>
      <w:r>
        <w:t>Accredited Portfolio Management Advisor, College for Financial Planning.</w:t>
      </w:r>
    </w:p>
    <w:p>
      <w:r>
        <w:rPr>
          <w:rFonts w:ascii="Calibri" w:hAnsi="Calibri"/>
          <w:i/>
          <w:color w:val="425B72"/>
          <w:sz w:val="19"/>
        </w:rPr>
        <w:t>Client supplied</w:t>
      </w:r>
    </w:p>
    <w:p>
      <w:pPr>
        <w:pStyle w:val="Heading3"/>
      </w:pPr>
      <w:r>
        <w:t>CRPC®</w:t>
      </w:r>
    </w:p>
    <w:p>
      <w:r>
        <w:t>Chartered Retirement Planning Counselor, College for Financial Planning.</w:t>
      </w:r>
    </w:p>
    <w:p>
      <w:r>
        <w:rPr>
          <w:rFonts w:ascii="Calibri" w:hAnsi="Calibri"/>
          <w:i/>
          <w:color w:val="425B72"/>
          <w:sz w:val="19"/>
        </w:rPr>
        <w:t>Client supplied</w:t>
      </w:r>
    </w:p>
    <w:p>
      <w:pPr>
        <w:spacing w:before="160" w:after="60"/>
      </w:pPr>
      <w:r>
        <w:rPr>
          <w:rFonts w:ascii="Calibri" w:hAnsi="Calibri"/>
          <w:b/>
          <w:color w:val="B18F4D"/>
          <w:sz w:val="17"/>
        </w:rPr>
        <w:t>WHY ANCHOR</w:t>
      </w:r>
    </w:p>
    <w:p>
      <w:pPr>
        <w:pStyle w:val="Heading2"/>
      </w:pPr>
      <w:r>
        <w:t>A dedicated advisor who sees the whole picture.</w:t>
      </w:r>
    </w:p>
    <w:p>
      <w:r>
        <w:t>Complex wealth does not need another specialist working alone. It needs one accountable lead who keeps every professional, deadline, and decision connected.</w:t>
      </w:r>
    </w:p>
    <w:p>
      <w:pPr>
        <w:pStyle w:val="Heading3"/>
      </w:pPr>
      <w:r>
        <w:t>Coordinated, not siloed</w:t>
      </w:r>
    </w:p>
    <w:p>
      <w:r>
        <w:t>Investment, tax, estate, and business decisions are evaluated together before one move creates a problem somewhere else.</w:t>
      </w:r>
    </w:p>
    <w:p>
      <w:pPr>
        <w:pStyle w:val="Heading3"/>
      </w:pPr>
      <w:r>
        <w:t>One accountable lead</w:t>
      </w:r>
    </w:p>
    <w:p>
      <w:r>
        <w:t>You know who owns the next step. Anchor keeps the conversation moving across your CPA, attorney, and other specialists.</w:t>
      </w:r>
    </w:p>
    <w:p>
      <w:pPr>
        <w:pStyle w:val="Heading3"/>
      </w:pPr>
      <w:r>
        <w:t>Built for complexity</w:t>
      </w:r>
    </w:p>
    <w:p>
      <w:r>
        <w:t>Equity compensation, concentrated wealth, estate questions, and business transitions belong in one living plan.</w:t>
      </w:r>
    </w:p>
    <w:p>
      <w:pPr>
        <w:spacing w:before="160" w:after="60"/>
      </w:pPr>
      <w:r>
        <w:rPr>
          <w:rFonts w:ascii="Calibri" w:hAnsi="Calibri"/>
          <w:b/>
          <w:color w:val="B18F4D"/>
          <w:sz w:val="17"/>
        </w:rPr>
        <w:t>WHY THE FIRM EXISTS</w:t>
      </w:r>
    </w:p>
    <w:p>
      <w:pPr>
        <w:pStyle w:val="Heading2"/>
      </w:pPr>
      <w:r>
        <w:t>The firm was designed around one missing role.</w:t>
      </w:r>
    </w:p>
    <w:p>
      <w:r>
        <w:t>Excellent specialists can still leave you with fragmented advice. Anchor exists to own the space between them—to carry context from one conversation into the next and make sure decisions happen in the right order.</w:t>
      </w:r>
    </w:p>
    <w:p>
      <w:r>
        <w:t>The goal is not to replace your CPA or attorney. It is to help them do better work for you by giving everyone the same view of the plan.</w:t>
      </w:r>
    </w:p>
    <w:p>
      <w:r>
        <w:rPr>
          <w:rFonts w:ascii="Calibri" w:hAnsi="Calibri"/>
          <w:b/>
          <w:color w:val="2D5474"/>
          <w:sz w:val="20"/>
        </w:rPr>
        <w:t>CTA: See The Planning Process →</w:t>
      </w:r>
    </w:p>
    <w:p>
      <w:pPr>
        <w:spacing w:before="160" w:after="60"/>
      </w:pPr>
      <w:r>
        <w:rPr>
          <w:rFonts w:ascii="Calibri" w:hAnsi="Calibri"/>
          <w:b/>
          <w:color w:val="B18F4D"/>
          <w:sz w:val="17"/>
        </w:rPr>
        <w:t>THE ANCHOR ROLE</w:t>
      </w:r>
    </w:p>
    <w:p>
      <w:pPr>
        <w:pStyle w:val="Heading3"/>
      </w:pPr>
      <w:r>
        <w:t>Turn separate expertise into one coordinated course.</w:t>
      </w:r>
    </w:p>
    <w:p>
      <w:r>
        <w:t>Shared context</w:t>
      </w:r>
    </w:p>
    <w:p>
      <w:r>
        <w:t>Every professional sees the decisions, constraints, and timing that affect their work.</w:t>
      </w:r>
    </w:p>
    <w:p>
      <w:r>
        <w:t>Clear ownership</w:t>
      </w:r>
    </w:p>
    <w:p>
      <w:r>
        <w:t>Each next step has an owner, a deadline, and a reason it belongs in the sequence.</w:t>
      </w:r>
    </w:p>
    <w:p>
      <w:r>
        <w:t>One next move</w:t>
      </w:r>
    </w:p>
    <w:p>
      <w:r>
        <w:t>You leave each conversation knowing what matters now—not with another disconnected list.</w:t>
      </w:r>
    </w:p>
    <w:p>
      <w:pPr>
        <w:spacing w:before="160" w:after="60"/>
      </w:pPr>
      <w:r>
        <w:rPr>
          <w:rFonts w:ascii="Calibri" w:hAnsi="Calibri"/>
          <w:b/>
          <w:color w:val="B18F4D"/>
          <w:sz w:val="17"/>
        </w:rPr>
        <w:t>WHO WE SERVE</w:t>
      </w:r>
    </w:p>
    <w:p>
      <w:pPr>
        <w:pStyle w:val="Heading2"/>
      </w:pPr>
      <w:r>
        <w:t>We specialize. Generalists are everywhere.</w:t>
      </w:r>
    </w:p>
    <w:p>
      <w:r>
        <w:t>If you do not see your situation below, let’s have a quick introduction and find out. We are happy to offer an honest opinion about whether we are the right fit for each other.</w:t>
      </w:r>
    </w:p>
    <w:p>
      <w:r>
        <w:t>01 · Across generations</w:t>
      </w:r>
    </w:p>
    <w:p>
      <w:pPr>
        <w:pStyle w:val="Heading3"/>
      </w:pPr>
      <w:r>
        <w:t>High-Net-Worth Families</w:t>
      </w:r>
    </w:p>
    <w:p>
      <w:r>
        <w:t>Trust funding, current beneficiaries, and a plan the next generation can understand. Your wealth has outgrown the plan built for it.</w:t>
      </w:r>
    </w:p>
    <w:p>
      <w:r>
        <w:t>See how we work with you →</w:t>
      </w:r>
    </w:p>
    <w:p>
      <w:r>
        <w:t>02 · Houston energy</w:t>
      </w:r>
    </w:p>
    <w:p>
      <w:pPr>
        <w:pStyle w:val="Heading3"/>
      </w:pPr>
      <w:r>
        <w:t>Oil &amp; Gas Executives</w:t>
      </w:r>
    </w:p>
    <w:p>
      <w:r>
        <w:t>RSUs, NQDC elections, blackout periods, and commodity-cycle exposure. You are paid in stock and options the way the industry pays its leaders.</w:t>
      </w:r>
    </w:p>
    <w:p>
      <w:r>
        <w:t>See how we work with you →</w:t>
      </w:r>
    </w:p>
    <w:p>
      <w:r>
        <w:t>03 · Closely held</w:t>
      </w:r>
    </w:p>
    <w:p>
      <w:pPr>
        <w:pStyle w:val="Heading3"/>
      </w:pPr>
      <w:r>
        <w:t>Business Owners</w:t>
      </w:r>
    </w:p>
    <w:p>
      <w:r>
        <w:t>Exit readiness, entity structure, and the line between business value and personal wealth. The exit conversation starts years before the LOI.</w:t>
      </w:r>
    </w:p>
    <w:p>
      <w:r>
        <w:t>See how we work with you →</w:t>
      </w:r>
    </w:p>
    <w:p>
      <w:pPr>
        <w:spacing w:before="160" w:after="60"/>
      </w:pPr>
      <w:r>
        <w:rPr>
          <w:rFonts w:ascii="Calibri" w:hAnsi="Calibri"/>
          <w:b/>
          <w:color w:val="B18F4D"/>
          <w:sz w:val="17"/>
        </w:rPr>
        <w:t>FIT CHECK</w:t>
      </w:r>
    </w:p>
    <w:p>
      <w:pPr>
        <w:pStyle w:val="Heading2"/>
      </w:pPr>
      <w:r>
        <w:t>Are we the right fit for you?</w:t>
      </w:r>
    </w:p>
    <w:p>
      <w:r>
        <w:t>Four questions. Two minutes. We'll tell you honestly whether we can help — and if we can't, we'll refer you to someone who can.</w:t>
      </w:r>
    </w:p>
    <w:p>
      <w:r>
        <w:rPr>
          <w:rFonts w:ascii="Calibri" w:hAnsi="Calibri"/>
          <w:b/>
          <w:color w:val="0F2038"/>
          <w:sz w:val="22"/>
        </w:rPr>
        <w:t>Form question: What best describes your situation?</w:t>
      </w:r>
    </w:p>
    <w:p>
      <w:pPr>
        <w:pStyle w:val="ListBullet"/>
      </w:pPr>
      <w:r>
        <w:t>High-net-worth family with estate and legacy complexity</w:t>
      </w:r>
    </w:p>
    <w:p>
      <w:pPr>
        <w:pStyle w:val="ListBullet"/>
      </w:pPr>
      <w:r>
        <w:t>Executive with equity compensation</w:t>
      </w:r>
    </w:p>
    <w:p>
      <w:pPr>
        <w:pStyle w:val="ListBullet"/>
      </w:pPr>
      <w:r>
        <w:t>Business owner considering a transition</w:t>
      </w:r>
    </w:p>
    <w:p>
      <w:r>
        <w:rPr>
          <w:rFonts w:ascii="Calibri" w:hAnsi="Calibri"/>
          <w:b/>
          <w:color w:val="0F2038"/>
          <w:sz w:val="22"/>
        </w:rPr>
        <w:t>Form question: Your approximate investable assets?</w:t>
      </w:r>
    </w:p>
    <w:p>
      <w:pPr>
        <w:pStyle w:val="ListBullet"/>
      </w:pPr>
      <w:r>
        <w:t>$500K to $2M</w:t>
      </w:r>
    </w:p>
    <w:p>
      <w:pPr>
        <w:pStyle w:val="ListBullet"/>
      </w:pPr>
      <w:r>
        <w:t>$2M to $5M</w:t>
      </w:r>
    </w:p>
    <w:p>
      <w:pPr>
        <w:pStyle w:val="ListBullet"/>
      </w:pPr>
      <w:r>
        <w:t>$10M+</w:t>
      </w:r>
    </w:p>
    <w:p>
      <w:r>
        <w:rPr>
          <w:rFonts w:ascii="Calibri" w:hAnsi="Calibri"/>
          <w:b/>
          <w:color w:val="2D5474"/>
          <w:sz w:val="20"/>
        </w:rPr>
        <w:t>CTA: ← Back</w:t>
      </w:r>
    </w:p>
    <w:p>
      <w:r>
        <w:rPr>
          <w:rFonts w:ascii="Calibri" w:hAnsi="Calibri"/>
          <w:b/>
          <w:color w:val="0F2038"/>
          <w:sz w:val="22"/>
        </w:rPr>
        <w:t>Form question: What needs attention first?</w:t>
      </w:r>
    </w:p>
    <w:p>
      <w:pPr>
        <w:pStyle w:val="ListBullet"/>
      </w:pPr>
      <w:r>
        <w:t>Tax coordination — CPA and advisor aren't aligned</w:t>
      </w:r>
    </w:p>
    <w:p>
      <w:pPr>
        <w:pStyle w:val="ListBullet"/>
      </w:pPr>
      <w:r>
        <w:t>Equity compensation — RSUs, deferred comp, concentration</w:t>
      </w:r>
    </w:p>
    <w:p>
      <w:pPr>
        <w:pStyle w:val="ListBullet"/>
      </w:pPr>
      <w:r>
        <w:t>Estate and legacy — trusts, beneficiaries, transfer</w:t>
      </w:r>
    </w:p>
    <w:p>
      <w:pPr>
        <w:pStyle w:val="ListBullet"/>
      </w:pPr>
      <w:r>
        <w:t>Business transition — valuation, exit, succession</w:t>
      </w:r>
    </w:p>
    <w:p>
      <w:r>
        <w:rPr>
          <w:rFonts w:ascii="Calibri" w:hAnsi="Calibri"/>
          <w:b/>
          <w:color w:val="2D5474"/>
          <w:sz w:val="20"/>
        </w:rPr>
        <w:t>CTA: ← Back</w:t>
      </w:r>
    </w:p>
    <w:p>
      <w:r>
        <w:rPr>
          <w:rFonts w:ascii="Calibri" w:hAnsi="Calibri"/>
          <w:b/>
          <w:color w:val="0F2038"/>
          <w:sz w:val="22"/>
        </w:rPr>
        <w:t>Form question: Where should we send your fit assessment?</w:t>
      </w:r>
    </w:p>
    <w:p>
      <w:pPr>
        <w:pStyle w:val="ListBullet"/>
      </w:pPr>
      <w:r>
        <w:t>Email address</w:t>
      </w:r>
    </w:p>
    <w:p>
      <w:r>
        <w:rPr>
          <w:rFonts w:ascii="Calibri" w:hAnsi="Calibri"/>
          <w:b/>
          <w:color w:val="2D5474"/>
          <w:sz w:val="20"/>
        </w:rPr>
        <w:t>CTA: ← Back</w:t>
      </w:r>
    </w:p>
    <w:p>
      <w:r>
        <w:rPr>
          <w:rFonts w:ascii="Calibri" w:hAnsi="Calibri"/>
          <w:b/>
          <w:color w:val="2D5474"/>
          <w:sz w:val="20"/>
        </w:rPr>
        <w:t>CTA: Get My Assessment →</w:t>
      </w:r>
    </w:p>
    <w:p>
      <w:r>
        <w:rPr>
          <w:rFonts w:ascii="Calibri" w:hAnsi="Calibri"/>
          <w:i/>
          <w:color w:val="425B72"/>
          <w:sz w:val="19"/>
        </w:rPr>
        <w:t>No spam. No sales pitch. An honest answer about whether we are a match.</w:t>
      </w:r>
    </w:p>
    <w:p>
      <w:pPr>
        <w:spacing w:before="160" w:after="60"/>
      </w:pPr>
      <w:r>
        <w:rPr>
          <w:rFonts w:ascii="Calibri" w:hAnsi="Calibri"/>
          <w:b/>
          <w:color w:val="B18F4D"/>
          <w:sz w:val="17"/>
        </w:rPr>
        <w:t>ASSESSMENT RECEIVED</w:t>
      </w:r>
    </w:p>
    <w:p>
      <w:pPr>
        <w:pStyle w:val="Heading3"/>
      </w:pPr>
      <w:r>
        <w:t>We have a clear place to start.</w:t>
      </w:r>
    </w:p>
    <w:p>
      <w:r>
        <w:t>This review build does not send data. Production will route your answers to the fit-results experience.</w:t>
      </w:r>
    </w:p>
    <w:p>
      <w:r>
        <w:rPr>
          <w:rFonts w:ascii="Calibri" w:hAnsi="Calibri"/>
          <w:b/>
          <w:color w:val="2D5474"/>
          <w:sz w:val="20"/>
        </w:rPr>
        <w:t>CTA: Schedule the Conversation →</w:t>
      </w:r>
    </w:p>
    <w:p>
      <w:pPr>
        <w:spacing w:before="160" w:after="60"/>
      </w:pPr>
      <w:r>
        <w:rPr>
          <w:rFonts w:ascii="Calibri" w:hAnsi="Calibri"/>
          <w:b/>
          <w:color w:val="B18F4D"/>
          <w:sz w:val="17"/>
        </w:rPr>
        <w:t>WHAT WE DO</w:t>
      </w:r>
    </w:p>
    <w:p>
      <w:pPr>
        <w:pStyle w:val="Heading2"/>
      </w:pPr>
      <w:r>
        <w:t>One plan. Every decision in context.</w:t>
      </w:r>
    </w:p>
    <w:p>
      <w:r>
        <w:t>Most advisors manage your investments and stop there. We coordinate your investments, taxes, estate, and business strategy into a single living document — and we make sure your CPA and attorney are reading from the same page.</w:t>
      </w:r>
    </w:p>
    <w:p>
      <w:pPr>
        <w:pStyle w:val="Heading3"/>
      </w:pPr>
      <w:r>
        <w:t>Coordinated Planning</w:t>
      </w:r>
    </w:p>
    <w:p>
      <w:r>
        <w:t>"No one sees the full picture."</w:t>
      </w:r>
    </w:p>
    <w:p>
      <w:r>
        <w:t>We run joint planning meetings with your CPA and estate attorney. We maintain one living document that all three professionals reference. When your CPA makes a tax move, your portfolio reflects it. When your attorney updates your trust, your investment strategy adjusts. You stop being the translator.</w:t>
      </w:r>
    </w:p>
    <w:p>
      <w:pPr>
        <w:pStyle w:val="Heading3"/>
      </w:pPr>
      <w:r>
        <w:t>Investment Management</w:t>
      </w:r>
    </w:p>
    <w:p>
      <w:r>
        <w:t>"My advisor doesn't understand my situation."</w:t>
      </w:r>
    </w:p>
    <w:p>
      <w:r>
        <w:t>Built around your actual life — your vesting schedule, your blackout periods, your commodity exposure — not a model portfolio. We manage concentration risk, tax-loss harvesting, and asset location in coordination with your tax strategy, not in isolation.</w:t>
      </w:r>
    </w:p>
    <w:p>
      <w:pPr>
        <w:pStyle w:val="Heading3"/>
      </w:pPr>
      <w:r>
        <w:t>Tax Strategy &amp; Coordination</w:t>
      </w:r>
    </w:p>
    <w:p>
      <w:r>
        <w:t>"Every bonus season feels like a tax trap."</w:t>
      </w:r>
    </w:p>
    <w:p>
      <w:r>
        <w:t>We sit down with your CPA before year-end — not after. We model RSU vesting events, deferred comp elections, and bonus timing against your actual tax situation. Proactive tax planning, not reactive tax preparation.</w:t>
      </w:r>
    </w:p>
    <w:p>
      <w:pPr>
        <w:pStyle w:val="Heading3"/>
      </w:pPr>
      <w:r>
        <w:t>Equity Compensation</w:t>
      </w:r>
    </w:p>
    <w:p>
      <w:r>
        <w:t>"My RSUs and bonus feel like a tax trap every year."</w:t>
      </w:r>
    </w:p>
    <w:p>
      <w:r>
        <w:t>RSU vesting schedules, NQDC elections, 10b5-1 plans, blackout period strategy. We model concentration risk against the commodity cycle and build a diversification plan that respects your constraints — not one that ignores them.</w:t>
      </w:r>
    </w:p>
    <w:p>
      <w:pPr>
        <w:pStyle w:val="Heading3"/>
      </w:pPr>
      <w:r>
        <w:t>Estate &amp; Legacy</w:t>
      </w:r>
    </w:p>
    <w:p>
      <w:r>
        <w:t>"I have real wealth but no plan for what comes after me."</w:t>
      </w:r>
    </w:p>
    <w:p>
      <w:r>
        <w:t>We review your existing trusts against your current net worth. We coordinate with your estate attorney to fund trusts correctly, update beneficiaries, and ensure your documents still match your life. Legacy planning is a living process, not a one-time document.</w:t>
      </w:r>
    </w:p>
    <w:p>
      <w:pPr>
        <w:pStyle w:val="Heading3"/>
      </w:pPr>
      <w:r>
        <w:t>Business Owner Planning</w:t>
      </w:r>
    </w:p>
    <w:p>
      <w:r>
        <w:t>"I don't know what I'd walk away with if I sold."</w:t>
      </w:r>
    </w:p>
    <w:p>
      <w:r>
        <w:t>We start the exit conversation 3–5 years before the LOI. Entity structure optimization, personal and business wealth separation, pre-sale tax strategy, and post-liquidity management. By the time a buyer appears, you're ready.</w:t>
      </w:r>
    </w:p>
    <w:p>
      <w:r>
        <w:rPr>
          <w:rFonts w:ascii="Calibri" w:hAnsi="Calibri"/>
          <w:b/>
          <w:color w:val="2D5474"/>
          <w:sz w:val="20"/>
        </w:rPr>
        <w:t>CTA: Start with the Fit Check →</w:t>
      </w:r>
    </w:p>
    <w:p>
      <w:pPr>
        <w:spacing w:before="160" w:after="60"/>
      </w:pPr>
      <w:r>
        <w:rPr>
          <w:rFonts w:ascii="Calibri" w:hAnsi="Calibri"/>
          <w:b/>
          <w:color w:val="B18F4D"/>
          <w:sz w:val="17"/>
        </w:rPr>
        <w:t>HOW IT WORKS</w:t>
      </w:r>
    </w:p>
    <w:p>
      <w:pPr>
        <w:pStyle w:val="Heading2"/>
      </w:pPr>
      <w:r>
        <w:t>Clear from the first conversation.</w:t>
      </w:r>
    </w:p>
    <w:p>
      <w:r>
        <w:t>No surprise sales process. No pressure. Just a clear path from your first question to a coordinated plan.</w:t>
      </w:r>
    </w:p>
    <w:p>
      <w:r>
        <w:t>Step 01</w:t>
      </w:r>
    </w:p>
    <w:p>
      <w:pPr>
        <w:pStyle w:val="Heading3"/>
      </w:pPr>
      <w:r>
        <w:t>Discovery</w:t>
      </w:r>
    </w:p>
    <w:p>
      <w:r>
        <w:t>A 30-minute conversation. You tell us about your situation — your equity comp, your business, your family, your concerns. We listen and tell you honestly whether we can help.</w:t>
      </w:r>
    </w:p>
    <w:p>
      <w:r>
        <w:t>30 minutes, no obligation</w:t>
      </w:r>
    </w:p>
    <w:p>
      <w:r>
        <w:t>Step 02</w:t>
      </w:r>
    </w:p>
    <w:p>
      <w:pPr>
        <w:pStyle w:val="Heading3"/>
      </w:pPr>
      <w:r>
        <w:t>Assessment</w:t>
      </w:r>
    </w:p>
    <w:p>
      <w:r>
        <w:t>We review your full financial picture — investments, tax returns, equity documents, estate plan, business interests. We identify the gaps between where you are and where your wealth needs to be.</w:t>
      </w:r>
    </w:p>
    <w:p>
      <w:r>
        <w:t>Usually 1–2 weeks</w:t>
      </w:r>
    </w:p>
    <w:p>
      <w:r>
        <w:t>Step 03</w:t>
      </w:r>
    </w:p>
    <w:p>
      <w:pPr>
        <w:pStyle w:val="Heading3"/>
      </w:pPr>
      <w:r>
        <w:t>The Plan</w:t>
      </w:r>
    </w:p>
    <w:p>
      <w:r>
        <w:t>We build your coordinated plan. Investment strategy, tax plan, estate review, and (for business owners) exit roadmap. We walk your CPA and estate attorney through it. Everyone reads from the same page.</w:t>
      </w:r>
    </w:p>
    <w:p>
      <w:r>
        <w:t>You keep this document</w:t>
      </w:r>
    </w:p>
    <w:p>
      <w:r>
        <w:t>Step 04</w:t>
      </w:r>
    </w:p>
    <w:p>
      <w:pPr>
        <w:pStyle w:val="Heading3"/>
      </w:pPr>
      <w:r>
        <w:t>Partnership</w:t>
      </w:r>
    </w:p>
    <w:p>
      <w:r>
        <w:t>We implement the plan and meet quarterly to keep it current. When your equity vests, when the commodity cycle turns, when a business opportunity appears — we've already modeled it. You stop being the project manager.</w:t>
      </w:r>
    </w:p>
    <w:p>
      <w:r>
        <w:t>Proactive, not reactive</w:t>
      </w:r>
    </w:p>
    <w:p>
      <w:r>
        <w:t>The first call is just a conversation. 30 minutes. No deck, no pitch, no pressure. If we're not a fit, we'll tell you — and refer you to someone who is.</w:t>
      </w:r>
    </w:p>
    <w:p>
      <w:pPr>
        <w:spacing w:before="160" w:after="60"/>
      </w:pPr>
      <w:r>
        <w:rPr>
          <w:rFonts w:ascii="Calibri" w:hAnsi="Calibri"/>
          <w:b/>
          <w:color w:val="B18F4D"/>
          <w:sz w:val="17"/>
        </w:rPr>
        <w:t>YOUR ADVISOR</w:t>
      </w:r>
    </w:p>
    <w:p>
      <w:pPr>
        <w:pStyle w:val="Heading2"/>
      </w:pPr>
      <w:r>
        <w:t>Institutional discipline, brought to your side of the table.</w:t>
      </w:r>
    </w:p>
    <w:p>
      <w:r>
        <w:t>At Anchor, financial advice is personal, approachable, and centered on what matters most: you and your family.</w:t>
      </w:r>
    </w:p>
    <w:p>
      <w:r>
        <w:t>AM</w:t>
      </w:r>
    </w:p>
    <w:p>
      <w:pPr>
        <w:spacing w:before="160" w:after="60"/>
      </w:pPr>
      <w:r>
        <w:rPr>
          <w:rFonts w:ascii="Calibri" w:hAnsi="Calibri"/>
          <w:b/>
          <w:color w:val="B18F4D"/>
          <w:sz w:val="17"/>
        </w:rPr>
        <w:t>ALEX'S STORY</w:t>
      </w:r>
    </w:p>
    <w:p>
      <w:pPr>
        <w:pStyle w:val="Heading3"/>
      </w:pPr>
      <w:r>
        <w:t>Financial Advisor and Managing Partner.</w:t>
      </w:r>
    </w:p>
    <w:p>
      <w:r>
        <w:t>Alex Miller brings 19 years of experience helping individuals and families pursue their financial goals through comprehensive planning and investment management.</w:t>
      </w:r>
    </w:p>
    <w:p>
      <w:r>
        <w:t>His work emphasizes family legacy, estate and wealth planning, and retirement strategies, with a focus on enduring relationships and coordinated decisions.</w:t>
      </w:r>
    </w:p>
    <w:p>
      <w:r>
        <w:rPr>
          <w:rFonts w:ascii="Calibri" w:hAnsi="Calibri"/>
          <w:b/>
          <w:color w:val="2D5474"/>
          <w:sz w:val="20"/>
        </w:rPr>
        <w:t>CTA: Read why Anchor exists →</w:t>
      </w:r>
    </w:p>
    <w:p>
      <w:r>
        <w:t>APMA®</w:t>
      </w:r>
    </w:p>
    <w:p>
      <w:r>
        <w:t>CRPC®</w:t>
      </w:r>
    </w:p>
    <w:p>
      <w:r>
        <w:t>19 years</w:t>
      </w:r>
    </w:p>
    <w:p>
      <w:r>
        <w:t>Client supplied</w:t>
      </w:r>
    </w:p>
    <w:p>
      <w:r>
        <w:t>01 · Shared context</w:t>
      </w:r>
    </w:p>
    <w:p>
      <w:pPr>
        <w:pStyle w:val="Heading3"/>
      </w:pPr>
      <w:r>
        <w:t>Joint planning conversations</w:t>
      </w:r>
    </w:p>
    <w:p>
      <w:r>
        <w:t>Questions reach the right professional with the financial context already attached. Your CPA, attorney, and advisor sit in the same room — virtual or physical.</w:t>
      </w:r>
    </w:p>
    <w:p>
      <w:r>
        <w:t>02 · Tangible output</w:t>
      </w:r>
    </w:p>
    <w:p>
      <w:pPr>
        <w:pStyle w:val="Heading3"/>
      </w:pPr>
      <w:r>
        <w:t>One living plan</w:t>
      </w:r>
    </w:p>
    <w:p>
      <w:r>
        <w:t>Decisions, dependencies, and next steps live in one document you can understand. When one professional makes a move, the others know.</w:t>
      </w:r>
    </w:p>
    <w:p>
      <w:r>
        <w:t>03 · Ongoing rhythm</w:t>
      </w:r>
    </w:p>
    <w:p>
      <w:pPr>
        <w:pStyle w:val="Heading3"/>
      </w:pPr>
      <w:r>
        <w:t>Reviews before deadlines</w:t>
      </w:r>
    </w:p>
    <w:p>
      <w:r>
        <w:t>The plan is revisited before vesting, year-end, estate changes, and business events force the issue — not after.</w:t>
      </w:r>
    </w:p>
    <w:p>
      <w:pPr>
        <w:spacing w:before="160" w:after="60"/>
      </w:pPr>
      <w:r>
        <w:rPr>
          <w:rFonts w:ascii="Calibri" w:hAnsi="Calibri"/>
          <w:b/>
          <w:color w:val="B18F4D"/>
          <w:sz w:val="17"/>
        </w:rPr>
        <w:t>THE FIRST CALL IS JUST A CONVERSATION</w:t>
      </w:r>
    </w:p>
    <w:p>
      <w:pPr>
        <w:pStyle w:val="Heading2"/>
      </w:pPr>
      <w:r>
        <w:t>You've been the project manager long enough.</w:t>
      </w:r>
    </w:p>
    <w:p>
      <w:r>
        <w:t>If your CPA and your advisor aren't reading from the same plan, you're doing the work your wealth manager should be doing. Let's fix that. 30 minutes. No pitch. We'll listen to your situation and tell you honestly whether we're a fit.</w:t>
      </w:r>
    </w:p>
    <w:p>
      <w:r>
        <w:rPr>
          <w:rFonts w:ascii="Calibri" w:hAnsi="Calibri"/>
          <w:b/>
          <w:color w:val="2D5474"/>
          <w:sz w:val="20"/>
        </w:rPr>
        <w:t>CTA: Schedule a 30-Minute Conversation →</w:t>
      </w:r>
    </w:p>
    <w:p>
      <w:r>
        <w:rPr>
          <w:rFonts w:ascii="Calibri" w:hAnsi="Calibri"/>
          <w:b/>
          <w:color w:val="2D5474"/>
          <w:sz w:val="20"/>
        </w:rPr>
        <w:t>CTA: Take the 4-Question Fit Check</w:t>
      </w:r>
    </w:p>
    <w:p>
      <w:pPr>
        <w:spacing w:before="160" w:after="60"/>
      </w:pPr>
      <w:r>
        <w:rPr>
          <w:rFonts w:ascii="Calibri" w:hAnsi="Calibri"/>
          <w:b/>
          <w:color w:val="B18F4D"/>
          <w:sz w:val="17"/>
        </w:rPr>
        <w:t>FROM ANCHOR WEALTH PODCAST</w:t>
      </w:r>
    </w:p>
    <w:p>
      <w:pPr>
        <w:pStyle w:val="Heading2"/>
      </w:pPr>
      <w:r>
        <w:t>Short answers for the decisions ahead.</w:t>
      </w:r>
    </w:p>
    <w:p>
      <w:r>
        <w:t>Swipe the rail. Hover, focus, or tap a preview to play the silent footage.</w:t>
      </w:r>
    </w:p>
    <w:p>
      <w:r>
        <w:t>Families</w:t>
      </w:r>
    </w:p>
    <w:p>
      <w:pPr>
        <w:pStyle w:val="Heading3"/>
      </w:pPr>
      <w:r>
        <w:t>What "one living plan" actually means</w:t>
      </w:r>
    </w:p>
    <w:p>
      <w:r>
        <w:t>Oil &amp; Gas</w:t>
      </w:r>
    </w:p>
    <w:p>
      <w:pPr>
        <w:pStyle w:val="Heading3"/>
      </w:pPr>
      <w:r>
        <w:t>How RSU vesting creates a tax-timing trap</w:t>
      </w:r>
    </w:p>
    <w:p>
      <w:r>
        <w:t>Business Owners</w:t>
      </w:r>
    </w:p>
    <w:p>
      <w:pPr>
        <w:pStyle w:val="Heading3"/>
      </w:pPr>
      <w:r>
        <w:t>The exit conversation starts before the LOI</w:t>
      </w:r>
    </w:p>
    <w:p>
      <w:r>
        <w:t>Concentrated Wealth</w:t>
      </w:r>
    </w:p>
    <w:p>
      <w:pPr>
        <w:pStyle w:val="Heading3"/>
      </w:pPr>
      <w:r>
        <w:t>When one company shapes the whole financial plan</w:t>
      </w:r>
    </w:p>
    <w:p>
      <w:r>
        <w:t>Estate &amp; Legacy</w:t>
      </w:r>
    </w:p>
    <w:p>
      <w:pPr>
        <w:pStyle w:val="Heading3"/>
      </w:pPr>
      <w:r>
        <w:t>Five questions before revisiting a family trust</w:t>
      </w:r>
    </w:p>
    <w:p>
      <w:r>
        <w:t>Video topics shown for layout review; approved Alex footage will replace preview media before launch.</w:t>
      </w:r>
    </w:p>
    <w:p>
      <w:r>
        <w:rPr>
          <w:rFonts w:ascii="Calibri" w:hAnsi="Calibri"/>
          <w:b/>
          <w:color w:val="2D5474"/>
          <w:sz w:val="20"/>
        </w:rPr>
        <w:t>CTA: Browse all resources →</w:t>
      </w:r>
    </w:p>
    <w:p>
      <w:pPr>
        <w:spacing w:before="360" w:after="200"/>
        <w:pBdr>
          <w:top w:val="single" w:sz="6" w:space="5" w:color="D8DEE5"/>
        </w:pBdr>
      </w:pPr>
    </w:p>
    <w:p>
      <w:pPr>
        <w:spacing w:after="60"/>
      </w:pPr>
      <w:r>
        <w:rPr>
          <w:rFonts w:ascii="Calibri" w:hAnsi="Calibri"/>
          <w:b/>
          <w:color w:val="B18F4D"/>
          <w:sz w:val="18"/>
        </w:rPr>
        <w:t>PAGE COPY</w:t>
      </w:r>
    </w:p>
    <w:p>
      <w:pPr>
        <w:pStyle w:val="Heading1"/>
        <w:keepNext/>
        <w:spacing w:before="60" w:after="140"/>
      </w:pPr>
      <w:r>
        <w:rPr>
          <w:rFonts w:ascii="Calibri" w:hAnsi="Calibri"/>
          <w:b/>
          <w:color w:val="0F2038"/>
          <w:sz w:val="44"/>
        </w:rPr>
        <w:t>About</w:t>
      </w:r>
    </w:p>
    <w:p>
      <w:pPr>
        <w:spacing w:after="200"/>
      </w:pPr>
      <w:hyperlink r:id="rId12">
        <w:r>
          <w:rPr>
            <w:color w:val="2D5474"/>
            <w:u w:val="single"/>
          </w:rPr>
          <w:t>Open this page in the public review</w:t>
        </w:r>
      </w:hyperlink>
    </w:p>
    <w:p>
      <w:pPr>
        <w:spacing w:before="120" w:after="120"/>
        <w:pBdr>
          <w:left w:val="single" w:sz="18" w:space="8" w:color="B18F4D"/>
        </w:pBdr>
      </w:pPr>
      <w:r>
        <w:rPr>
          <w:rFonts w:ascii="Calibri" w:hAnsi="Calibri"/>
          <w:b/>
          <w:color w:val="0F2038"/>
          <w:sz w:val="18"/>
        </w:rPr>
        <w:t>ALEX REVIEW — DECISIONS AND INPUTS</w:t>
      </w:r>
    </w:p>
    <w:p>
      <w:pPr>
        <w:pStyle w:val="ListBullet"/>
      </w:pPr>
      <w:r>
        <w:t>Provide Alex’s approved founding story: why Anchor exists and what was missing in his prior environment.</w:t>
      </w:r>
    </w:p>
    <w:p>
      <w:pPr>
        <w:pStyle w:val="ListBullet"/>
      </w:pPr>
      <w:r>
        <w:t>Confirm the promise that Anchor maintains one living plan and coordinates outside professionals.</w:t>
      </w:r>
    </w:p>
    <w:p>
      <w:pPr>
        <w:pStyle w:val="ListBullet"/>
      </w:pPr>
      <w:r>
        <w:t>Approve the phrase “one accountable lead” and clarify what Alex owns versus what the CPA or attorney owns.</w:t>
      </w:r>
    </w:p>
    <w:p>
      <w:pPr>
        <w:pStyle w:val="ListBullet"/>
      </w:pPr>
      <w:r>
        <w:t>Supply approved credentials, experience, community involvement, and personal details that should appear publicly.</w:t>
      </w:r>
    </w:p>
    <w:p>
      <w:pPr>
        <w:spacing w:after="60"/>
      </w:pPr>
    </w:p>
    <w:p>
      <w:pPr>
        <w:spacing w:before="160" w:after="160"/>
        <w:shd w:fill="EEF2F5"/>
      </w:pPr>
      <w:r>
        <w:rPr>
          <w:rFonts w:ascii="Calibri" w:hAnsi="Calibri"/>
          <w:b/>
          <w:color w:val="0F2038"/>
          <w:sz w:val="18"/>
        </w:rPr>
        <w:t>CURRENT WEBSITE COPY</w:t>
      </w:r>
    </w:p>
    <w:p>
      <w:pPr>
        <w:spacing w:before="160" w:after="60"/>
      </w:pPr>
      <w:r>
        <w:rPr>
          <w:rFonts w:ascii="Calibri" w:hAnsi="Calibri"/>
          <w:b/>
          <w:color w:val="B18F4D"/>
          <w:sz w:val="17"/>
        </w:rPr>
        <w:t>WHY ANCHOR EXISTS</w:t>
      </w:r>
    </w:p>
    <w:p>
      <w:pPr>
        <w:keepNext/>
        <w:spacing w:before="200" w:after="160"/>
        <w:pBdr>
          <w:left w:val="single" w:sz="12" w:space="8" w:color="B18F4D"/>
        </w:pBdr>
      </w:pPr>
      <w:r>
        <w:rPr>
          <w:rFonts w:ascii="Calibri" w:hAnsi="Calibri"/>
          <w:b/>
          <w:color w:val="0F2038"/>
          <w:sz w:val="32"/>
        </w:rPr>
        <w:t>One plan. One accountable lead.</w:t>
      </w:r>
    </w:p>
    <w:p>
      <w:r>
        <w:t>Anchor was designed for people whose financial lives have outgrown a collection of disconnected professionals.</w:t>
      </w:r>
    </w:p>
    <w:p>
      <w:r>
        <w:t>Home / About</w:t>
      </w:r>
    </w:p>
    <w:p>
      <w:r>
        <w:rPr>
          <w:rFonts w:ascii="Calibri" w:hAnsi="Calibri"/>
          <w:b/>
          <w:color w:val="2D5474"/>
          <w:sz w:val="20"/>
        </w:rPr>
        <w:t>CTA: Home</w:t>
      </w:r>
    </w:p>
    <w:p>
      <w:pPr>
        <w:spacing w:before="160" w:after="60"/>
      </w:pPr>
      <w:r>
        <w:rPr>
          <w:rFonts w:ascii="Calibri" w:hAnsi="Calibri"/>
          <w:b/>
          <w:color w:val="B18F4D"/>
          <w:sz w:val="17"/>
        </w:rPr>
        <w:t>THE MISSING ROLE</w:t>
      </w:r>
    </w:p>
    <w:p>
      <w:pPr>
        <w:pStyle w:val="Heading2"/>
      </w:pPr>
      <w:r>
        <w:t>Expert advice can still be fragmented.</w:t>
      </w:r>
    </w:p>
    <w:p>
      <w:r>
        <w:t>Your CPA may know your tax return. Your attorney may know your estate documents. Your investment advisor may know your portfolio. But when each professional sees only one part, the client is left carrying context between rooms.</w:t>
      </w:r>
    </w:p>
    <w:p>
      <w:r>
        <w:t>Anchor exists to own that space between the specialists: maintaining one living plan, putting decisions in sequence, and making sure the right people have the right context before deadlines arrive.</w:t>
      </w:r>
    </w:p>
    <w:p>
      <w:r>
        <w:t>The objective is not more meetings. It is fewer disconnected decisions.</w:t>
      </w:r>
    </w:p>
    <w:p>
      <w:pPr>
        <w:spacing w:before="160" w:after="60"/>
      </w:pPr>
      <w:r>
        <w:rPr>
          <w:rFonts w:ascii="Calibri" w:hAnsi="Calibri"/>
          <w:b/>
          <w:color w:val="B18F4D"/>
          <w:sz w:val="17"/>
        </w:rPr>
        <w:t>THE ANCHOR ROLE</w:t>
      </w:r>
    </w:p>
    <w:p>
      <w:pPr>
        <w:pStyle w:val="Heading2"/>
      </w:pPr>
      <w:r>
        <w:t>Keep every decision on the same course.</w:t>
      </w:r>
    </w:p>
    <w:p>
      <w:pPr>
        <w:pStyle w:val="Heading3"/>
      </w:pPr>
      <w:r>
        <w:t>See the whole picture</w:t>
      </w:r>
    </w:p>
    <w:p>
      <w:r>
        <w:t>Investments, taxes, estate work, equity compensation, and business interests belong in one view.</w:t>
      </w:r>
    </w:p>
    <w:p>
      <w:pPr>
        <w:pStyle w:val="Heading3"/>
      </w:pPr>
      <w:r>
        <w:t>Set the sequence</w:t>
      </w:r>
    </w:p>
    <w:p>
      <w:r>
        <w:t>Each decision has an owner, a dependency, and a deadline.</w:t>
      </w:r>
    </w:p>
    <w:p>
      <w:pPr>
        <w:pStyle w:val="Heading3"/>
      </w:pPr>
      <w:r>
        <w:t>Coordinate the room</w:t>
      </w:r>
    </w:p>
    <w:p>
      <w:r>
        <w:t>Your outside professionals receive the context they need to do their best work.</w:t>
      </w:r>
    </w:p>
    <w:p>
      <w:pPr>
        <w:spacing w:before="160" w:after="60"/>
      </w:pPr>
      <w:r>
        <w:rPr>
          <w:rFonts w:ascii="Calibri" w:hAnsi="Calibri"/>
          <w:b/>
          <w:color w:val="B18F4D"/>
          <w:sz w:val="17"/>
        </w:rPr>
        <w:t>ALEX MILLER</w:t>
      </w:r>
    </w:p>
    <w:p>
      <w:pPr>
        <w:pStyle w:val="Heading2"/>
      </w:pPr>
      <w:r>
        <w:t>Built around the client’s side of the table.</w:t>
      </w:r>
    </w:p>
    <w:p>
      <w:r>
        <w:t>Alex Miller is a Financial Advisor and Managing Partner with 19 years of experience helping individuals and families pursue their financial goals through comprehensive planning and investment management.</w:t>
      </w:r>
    </w:p>
    <w:p>
      <w:r>
        <w:t>His work centers on family legacy, estate and wealth planning, and retirement strategies. Anchor’s approach is personal, approachable, and built around enduring relationships with the people and families it serves.</w:t>
      </w:r>
    </w:p>
    <w:p>
      <w:r>
        <w:t>Title, biography, and experience: client supplied · compliance review pending</w:t>
      </w:r>
    </w:p>
    <w:p>
      <w:r>
        <w:rPr>
          <w:rFonts w:ascii="Calibri" w:hAnsi="Calibri"/>
          <w:b/>
          <w:color w:val="2D5474"/>
          <w:sz w:val="20"/>
        </w:rPr>
        <w:t>CTA: Meet the Team →</w:t>
      </w:r>
    </w:p>
    <w:p>
      <w:pPr>
        <w:spacing w:before="160" w:after="60"/>
      </w:pPr>
      <w:r>
        <w:rPr>
          <w:rFonts w:ascii="Calibri" w:hAnsi="Calibri"/>
          <w:b/>
          <w:color w:val="B18F4D"/>
          <w:sz w:val="17"/>
        </w:rPr>
        <w:t>CREDENTIALS</w:t>
      </w:r>
    </w:p>
    <w:p>
      <w:pPr>
        <w:pStyle w:val="Heading2"/>
      </w:pPr>
      <w:r>
        <w:t>Proof should be specific.</w:t>
      </w:r>
    </w:p>
    <w:p>
      <w:r>
        <w:t>Experience in financial planning and investment management</w:t>
      </w:r>
    </w:p>
    <w:p>
      <w:r>
        <w:t>Client supplied · compliance review</w:t>
      </w:r>
    </w:p>
    <w:p>
      <w:r>
        <w:t>Accredited Portfolio Management Advisor, College for Financial Planning</w:t>
      </w:r>
    </w:p>
    <w:p>
      <w:r>
        <w:t>Client supplied · compliance review</w:t>
      </w:r>
    </w:p>
    <w:p>
      <w:r>
        <w:t>Chartered Retirement Planning Counselor, College for Financial Planning</w:t>
      </w:r>
    </w:p>
    <w:p>
      <w:r>
        <w:t>Client supplied · compliance review</w:t>
      </w:r>
    </w:p>
    <w:p>
      <w:pPr>
        <w:spacing w:before="160" w:after="60"/>
      </w:pPr>
      <w:r>
        <w:rPr>
          <w:rFonts w:ascii="Calibri" w:hAnsi="Calibri"/>
          <w:b/>
          <w:color w:val="B18F4D"/>
          <w:sz w:val="17"/>
        </w:rPr>
        <w:t>START HERE</w:t>
      </w:r>
    </w:p>
    <w:p>
      <w:pPr>
        <w:pStyle w:val="Heading2"/>
      </w:pPr>
      <w:r>
        <w:t>Does this approach fit your situation?</w:t>
      </w:r>
    </w:p>
    <w:p>
      <w:r>
        <w:t>Four short questions identify the best next conversation.</w:t>
      </w:r>
    </w:p>
    <w:p>
      <w:r>
        <w:rPr>
          <w:rFonts w:ascii="Calibri" w:hAnsi="Calibri"/>
          <w:b/>
          <w:color w:val="2D5474"/>
          <w:sz w:val="20"/>
        </w:rPr>
        <w:t>CTA: Take the Fit Check →</w:t>
      </w:r>
    </w:p>
    <w:p>
      <w:r>
        <w:rPr>
          <w:rFonts w:ascii="Calibri" w:hAnsi="Calibri"/>
          <w:b/>
          <w:color w:val="2D5474"/>
          <w:sz w:val="20"/>
        </w:rPr>
        <w:t>CTA: Explore Resources</w:t>
      </w:r>
    </w:p>
    <w:p>
      <w:pPr>
        <w:spacing w:before="360" w:after="200"/>
        <w:pBdr>
          <w:top w:val="single" w:sz="6" w:space="5" w:color="D8DEE5"/>
        </w:pBdr>
      </w:pPr>
    </w:p>
    <w:p>
      <w:pPr>
        <w:spacing w:after="60"/>
      </w:pPr>
      <w:r>
        <w:rPr>
          <w:rFonts w:ascii="Calibri" w:hAnsi="Calibri"/>
          <w:b/>
          <w:color w:val="B18F4D"/>
          <w:sz w:val="18"/>
        </w:rPr>
        <w:t>PAGE COPY</w:t>
      </w:r>
    </w:p>
    <w:p>
      <w:pPr>
        <w:pStyle w:val="Heading1"/>
        <w:keepNext/>
        <w:spacing w:before="60" w:after="140"/>
      </w:pPr>
      <w:r>
        <w:rPr>
          <w:rFonts w:ascii="Calibri" w:hAnsi="Calibri"/>
          <w:b/>
          <w:color w:val="0F2038"/>
          <w:sz w:val="44"/>
        </w:rPr>
        <w:t>Team</w:t>
      </w:r>
    </w:p>
    <w:p>
      <w:pPr>
        <w:spacing w:after="200"/>
      </w:pPr>
      <w:hyperlink r:id="rId13">
        <w:r>
          <w:rPr>
            <w:color w:val="2D5474"/>
            <w:u w:val="single"/>
          </w:rPr>
          <w:t>Open this page in the public review</w:t>
        </w:r>
      </w:hyperlink>
    </w:p>
    <w:p>
      <w:pPr>
        <w:spacing w:before="120" w:after="120"/>
        <w:pBdr>
          <w:left w:val="single" w:sz="18" w:space="8" w:color="B18F4D"/>
        </w:pBdr>
      </w:pPr>
      <w:r>
        <w:rPr>
          <w:rFonts w:ascii="Calibri" w:hAnsi="Calibri"/>
          <w:b/>
          <w:color w:val="0F2038"/>
          <w:sz w:val="18"/>
        </w:rPr>
        <w:t>ALEX REVIEW — DECISIONS AND INPUTS</w:t>
      </w:r>
    </w:p>
    <w:p>
      <w:pPr>
        <w:pStyle w:val="ListBullet"/>
      </w:pPr>
      <w:r>
        <w:t>Confirm Alex’s exact public title.</w:t>
      </w:r>
    </w:p>
    <w:p>
      <w:pPr>
        <w:pStyle w:val="ListBullet"/>
      </w:pPr>
      <w:r>
        <w:t>Provide Alex’s approved short biography and headshot.</w:t>
      </w:r>
    </w:p>
    <w:p>
      <w:pPr>
        <w:pStyle w:val="ListBullet"/>
      </w:pPr>
      <w:r>
        <w:t>Identify every team member or outside partner who should appear, including role, responsibilities, credentials, biography, headshot, and contact routing.</w:t>
      </w:r>
    </w:p>
    <w:p>
      <w:pPr>
        <w:pStyle w:val="ListBullet"/>
      </w:pPr>
      <w:r>
        <w:t>Decide whether placeholders should remain hidden until real team profiles are approved.</w:t>
      </w:r>
    </w:p>
    <w:p>
      <w:pPr>
        <w:spacing w:after="60"/>
      </w:pPr>
    </w:p>
    <w:p>
      <w:pPr>
        <w:spacing w:before="160" w:after="160"/>
        <w:shd w:fill="EEF2F5"/>
      </w:pPr>
      <w:r>
        <w:rPr>
          <w:rFonts w:ascii="Calibri" w:hAnsi="Calibri"/>
          <w:b/>
          <w:color w:val="0F2038"/>
          <w:sz w:val="18"/>
        </w:rPr>
        <w:t>CURRENT WEBSITE COPY</w:t>
      </w:r>
    </w:p>
    <w:p>
      <w:pPr>
        <w:spacing w:before="160" w:after="60"/>
      </w:pPr>
      <w:r>
        <w:rPr>
          <w:rFonts w:ascii="Calibri" w:hAnsi="Calibri"/>
          <w:b/>
          <w:color w:val="B18F4D"/>
          <w:sz w:val="17"/>
        </w:rPr>
        <w:t>THE TEAM</w:t>
      </w:r>
    </w:p>
    <w:p>
      <w:pPr>
        <w:keepNext/>
        <w:spacing w:before="200" w:after="160"/>
        <w:pBdr>
          <w:left w:val="single" w:sz="12" w:space="8" w:color="B18F4D"/>
        </w:pBdr>
      </w:pPr>
      <w:r>
        <w:rPr>
          <w:rFonts w:ascii="Calibri" w:hAnsi="Calibri"/>
          <w:b/>
          <w:color w:val="0F2038"/>
          <w:sz w:val="32"/>
        </w:rPr>
        <w:t>People who own the next step.</w:t>
      </w:r>
    </w:p>
    <w:p>
      <w:r>
        <w:t>Dedicated people who own the next step. A coordinated plan works only when responsibility is clear and accountability is paramount.</w:t>
      </w:r>
    </w:p>
    <w:p>
      <w:r>
        <w:t>Home / Team</w:t>
      </w:r>
    </w:p>
    <w:p>
      <w:r>
        <w:rPr>
          <w:rFonts w:ascii="Calibri" w:hAnsi="Calibri"/>
          <w:b/>
          <w:color w:val="2D5474"/>
          <w:sz w:val="20"/>
        </w:rPr>
        <w:t>CTA: Home</w:t>
      </w:r>
    </w:p>
    <w:p>
      <w:r>
        <w:t>Financial Advisor &amp; Managing Partner · Client supplied</w:t>
      </w:r>
    </w:p>
    <w:p>
      <w:pPr>
        <w:pStyle w:val="Heading2"/>
      </w:pPr>
      <w:r>
        <w:t>Alex Miller</w:t>
      </w:r>
    </w:p>
    <w:p>
      <w:r>
        <w:t>Alex brings 19 years of experience helping individuals and families pursue their financial goals through comprehensive planning and investment management. His work emphasizes family legacy, estate and wealth planning, and retirement strategies.</w:t>
      </w:r>
    </w:p>
    <w:p>
      <w:r>
        <w:rPr>
          <w:rFonts w:ascii="Calibri" w:hAnsi="Calibri"/>
          <w:b/>
          <w:color w:val="2D5474"/>
          <w:sz w:val="20"/>
        </w:rPr>
        <w:t>CTA: Start the Fit Check →</w:t>
      </w:r>
    </w:p>
    <w:p>
      <w:r>
        <w:t>Director of Operations · Client supplied</w:t>
      </w:r>
    </w:p>
    <w:p>
      <w:pPr>
        <w:pStyle w:val="Heading2"/>
      </w:pPr>
      <w:r>
        <w:t>Haley Johnson</w:t>
      </w:r>
    </w:p>
    <w:p>
      <w:r>
        <w:t>Team biography and approved headshot are pending client and compliance review.</w:t>
      </w:r>
    </w:p>
    <w:p>
      <w:r>
        <w:t>Biography pending</w:t>
      </w:r>
    </w:p>
    <w:p>
      <w:r>
        <w:t>Team Operations Leader, Advisor Services · Axiom · Client supplied</w:t>
      </w:r>
    </w:p>
    <w:p>
      <w:pPr>
        <w:pStyle w:val="Heading2"/>
      </w:pPr>
      <w:r>
        <w:t>Dawn Cooper</w:t>
      </w:r>
    </w:p>
    <w:p>
      <w:r>
        <w:t>Axiom relationship, team biography, and approved headshot are pending client and compliance review.</w:t>
      </w:r>
    </w:p>
    <w:p>
      <w:r>
        <w:t>Biography pending</w:t>
      </w:r>
    </w:p>
    <w:p>
      <w:r>
        <w:t>Director of Insurance Strategies · Axiom · Client supplied</w:t>
      </w:r>
    </w:p>
    <w:p>
      <w:pPr>
        <w:pStyle w:val="Heading2"/>
      </w:pPr>
      <w:r>
        <w:t>Derek Morris</w:t>
      </w:r>
    </w:p>
    <w:p>
      <w:r>
        <w:t>Axiom relationship, team biography, and approved headshot are pending client and compliance review.</w:t>
      </w:r>
    </w:p>
    <w:p>
      <w:r>
        <w:t>Biography pending</w:t>
      </w:r>
    </w:p>
    <w:p>
      <w:pPr>
        <w:spacing w:before="160" w:after="60"/>
      </w:pPr>
      <w:r>
        <w:rPr>
          <w:rFonts w:ascii="Calibri" w:hAnsi="Calibri"/>
          <w:b/>
          <w:color w:val="B18F4D"/>
          <w:sz w:val="17"/>
        </w:rPr>
        <w:t>A BETTER FIRST STEP</w:t>
      </w:r>
    </w:p>
    <w:p>
      <w:pPr>
        <w:pStyle w:val="Heading2"/>
      </w:pPr>
      <w:r>
        <w:t>Start with your situation, not a sales pitch.</w:t>
      </w:r>
    </w:p>
    <w:p>
      <w:r>
        <w:t>The fit check routes every visitor toward the right next conversation.</w:t>
      </w:r>
    </w:p>
    <w:p>
      <w:r>
        <w:rPr>
          <w:rFonts w:ascii="Calibri" w:hAnsi="Calibri"/>
          <w:b/>
          <w:color w:val="2D5474"/>
          <w:sz w:val="20"/>
        </w:rPr>
        <w:t>CTA: Take the Fit Check →</w:t>
      </w:r>
    </w:p>
    <w:p>
      <w:pPr>
        <w:spacing w:before="360" w:after="200"/>
        <w:pBdr>
          <w:top w:val="single" w:sz="6" w:space="5" w:color="D8DEE5"/>
        </w:pBdr>
      </w:pPr>
    </w:p>
    <w:p>
      <w:pPr>
        <w:spacing w:after="60"/>
      </w:pPr>
      <w:r>
        <w:rPr>
          <w:rFonts w:ascii="Calibri" w:hAnsi="Calibri"/>
          <w:b/>
          <w:color w:val="B18F4D"/>
          <w:sz w:val="18"/>
        </w:rPr>
        <w:t>PAGE COPY</w:t>
      </w:r>
    </w:p>
    <w:p>
      <w:pPr>
        <w:pStyle w:val="Heading1"/>
        <w:keepNext/>
        <w:spacing w:before="60" w:after="140"/>
      </w:pPr>
      <w:r>
        <w:rPr>
          <w:rFonts w:ascii="Calibri" w:hAnsi="Calibri"/>
          <w:b/>
          <w:color w:val="0F2038"/>
          <w:sz w:val="44"/>
        </w:rPr>
        <w:t>High-Net-Worth Families</w:t>
      </w:r>
    </w:p>
    <w:p>
      <w:pPr>
        <w:spacing w:after="200"/>
      </w:pPr>
      <w:hyperlink r:id="rId14">
        <w:r>
          <w:rPr>
            <w:color w:val="2D5474"/>
            <w:u w:val="single"/>
          </w:rPr>
          <w:t>Open this page in the public review</w:t>
        </w:r>
      </w:hyperlink>
    </w:p>
    <w:p>
      <w:pPr>
        <w:spacing w:before="120" w:after="120"/>
        <w:pBdr>
          <w:left w:val="single" w:sz="18" w:space="8" w:color="B18F4D"/>
        </w:pBdr>
      </w:pPr>
      <w:r>
        <w:rPr>
          <w:rFonts w:ascii="Calibri" w:hAnsi="Calibri"/>
          <w:b/>
          <w:color w:val="0F2038"/>
          <w:sz w:val="18"/>
        </w:rPr>
        <w:t>ALEX REVIEW — DECISIONS AND INPUTS</w:t>
      </w:r>
    </w:p>
    <w:p>
      <w:pPr>
        <w:pStyle w:val="ListBullet"/>
      </w:pPr>
      <w:r>
        <w:t>Confirm whether “high-net-worth families” is the preferred public audience label.</w:t>
      </w:r>
    </w:p>
    <w:p>
      <w:pPr>
        <w:pStyle w:val="ListBullet"/>
      </w:pPr>
      <w:r>
        <w:t>Verify the scope around trust funding, beneficiary reviews, account ownership, family communication, and estate-attorney coordination.</w:t>
      </w:r>
    </w:p>
    <w:p>
      <w:pPr>
        <w:pStyle w:val="ListBullet"/>
      </w:pPr>
      <w:r>
        <w:t>Clarify the typical family complexity or asset level that signals a strong fit.</w:t>
      </w:r>
    </w:p>
    <w:p>
      <w:pPr>
        <w:pStyle w:val="ListBullet"/>
      </w:pPr>
      <w:r>
        <w:t>Provide one anonymized family situation to make the page more specific and credible.</w:t>
      </w:r>
    </w:p>
    <w:p>
      <w:pPr>
        <w:spacing w:after="60"/>
      </w:pPr>
    </w:p>
    <w:p>
      <w:pPr>
        <w:spacing w:before="160" w:after="160"/>
        <w:shd w:fill="EEF2F5"/>
      </w:pPr>
      <w:r>
        <w:rPr>
          <w:rFonts w:ascii="Calibri" w:hAnsi="Calibri"/>
          <w:b/>
          <w:color w:val="0F2038"/>
          <w:sz w:val="18"/>
        </w:rPr>
        <w:t>CURRENT WEBSITE COPY</w:t>
      </w:r>
    </w:p>
    <w:p>
      <w:pPr>
        <w:spacing w:before="160" w:after="60"/>
      </w:pPr>
      <w:r>
        <w:rPr>
          <w:rFonts w:ascii="Calibri" w:hAnsi="Calibri"/>
          <w:b/>
          <w:color w:val="B18F4D"/>
          <w:sz w:val="17"/>
        </w:rPr>
        <w:t>HIGH-NET-WORTH FAMILIES</w:t>
      </w:r>
    </w:p>
    <w:p>
      <w:pPr>
        <w:keepNext/>
        <w:spacing w:before="200" w:after="160"/>
        <w:pBdr>
          <w:left w:val="single" w:sz="12" w:space="8" w:color="B18F4D"/>
        </w:pBdr>
      </w:pPr>
      <w:r>
        <w:rPr>
          <w:rFonts w:ascii="Calibri" w:hAnsi="Calibri"/>
          <w:b/>
          <w:color w:val="0F2038"/>
          <w:sz w:val="32"/>
        </w:rPr>
        <w:t>Keep the plan current across generations.</w:t>
      </w:r>
    </w:p>
    <w:p>
      <w:r>
        <w:t>Investments, trusts, beneficiaries, taxes, and family communication should tell the same story.</w:t>
      </w:r>
    </w:p>
    <w:p>
      <w:r>
        <w:t>Home / Who We Serve / High-Net-Worth Families</w:t>
      </w:r>
    </w:p>
    <w:p>
      <w:r>
        <w:rPr>
          <w:rFonts w:ascii="Calibri" w:hAnsi="Calibri"/>
          <w:b/>
          <w:color w:val="2D5474"/>
          <w:sz w:val="20"/>
        </w:rPr>
        <w:t>CTA: Home</w:t>
      </w:r>
    </w:p>
    <w:p>
      <w:pPr>
        <w:spacing w:before="160" w:after="60"/>
      </w:pPr>
      <w:r>
        <w:rPr>
          <w:rFonts w:ascii="Calibri" w:hAnsi="Calibri"/>
          <w:b/>
          <w:color w:val="B18F4D"/>
          <w:sz w:val="17"/>
        </w:rPr>
        <w:t>THE PLANNING PROBLEM</w:t>
      </w:r>
    </w:p>
    <w:p>
      <w:pPr>
        <w:pStyle w:val="Heading2"/>
      </w:pPr>
      <w:r>
        <w:t>Your wealth changed. Did the plan?</w:t>
      </w:r>
    </w:p>
    <w:p>
      <w:r>
        <w:t>Estate documents can remain untouched while assets, businesses, relationships, tax rules, and family priorities change around them. A signed document is not the same as an implemented plan.</w:t>
      </w:r>
    </w:p>
    <w:p>
      <w:r>
        <w:t>Anchor keeps the estate attorney, CPA, investment plan, account ownership, and beneficiary choices connected—and helps the family understand what the structure is designed to accomplish.</w:t>
      </w:r>
    </w:p>
    <w:p>
      <w:pPr>
        <w:pStyle w:val="Heading3"/>
      </w:pPr>
      <w:r>
        <w:t>Review what exists</w:t>
      </w:r>
    </w:p>
    <w:p>
      <w:r>
        <w:t>Compare current documents and beneficiaries with the family’s actual assets and intentions.</w:t>
      </w:r>
    </w:p>
    <w:p>
      <w:pPr>
        <w:pStyle w:val="Heading3"/>
      </w:pPr>
      <w:r>
        <w:t>Close implementation gaps</w:t>
      </w:r>
    </w:p>
    <w:p>
      <w:r>
        <w:t>Coordinate account ownership, trust funding, investment policy, and professional follow-through.</w:t>
      </w:r>
    </w:p>
    <w:p>
      <w:pPr>
        <w:pStyle w:val="Heading3"/>
      </w:pPr>
      <w:r>
        <w:t>Prepare the family</w:t>
      </w:r>
    </w:p>
    <w:p>
      <w:r>
        <w:t>Create an understandable plan and a thoughtful communication rhythm for the next generation.</w:t>
      </w:r>
    </w:p>
    <w:p>
      <w:pPr>
        <w:spacing w:before="160" w:after="60"/>
      </w:pPr>
      <w:r>
        <w:rPr>
          <w:rFonts w:ascii="Calibri" w:hAnsi="Calibri"/>
          <w:b/>
          <w:color w:val="B18F4D"/>
          <w:sz w:val="17"/>
        </w:rPr>
        <w:t>A LIVING PLAN</w:t>
      </w:r>
    </w:p>
    <w:p>
      <w:pPr>
        <w:pStyle w:val="Heading2"/>
      </w:pPr>
      <w:r>
        <w:t>Legacy is a process, not a binder.</w:t>
      </w:r>
    </w:p>
    <w:p>
      <w:r>
        <w:t>The fit check identifies the coordination gap that should lead the conversation.</w:t>
      </w:r>
    </w:p>
    <w:p>
      <w:r>
        <w:rPr>
          <w:rFonts w:ascii="Calibri" w:hAnsi="Calibri"/>
          <w:b/>
          <w:color w:val="2D5474"/>
          <w:sz w:val="20"/>
        </w:rPr>
        <w:t>CTA: Take the Fit Check →</w:t>
      </w:r>
    </w:p>
    <w:p>
      <w:pPr>
        <w:spacing w:before="360" w:after="200"/>
        <w:pBdr>
          <w:top w:val="single" w:sz="6" w:space="5" w:color="D8DEE5"/>
        </w:pBdr>
      </w:pPr>
    </w:p>
    <w:p>
      <w:pPr>
        <w:spacing w:after="60"/>
      </w:pPr>
      <w:r>
        <w:rPr>
          <w:rFonts w:ascii="Calibri" w:hAnsi="Calibri"/>
          <w:b/>
          <w:color w:val="B18F4D"/>
          <w:sz w:val="18"/>
        </w:rPr>
        <w:t>PAGE COPY</w:t>
      </w:r>
    </w:p>
    <w:p>
      <w:pPr>
        <w:pStyle w:val="Heading1"/>
        <w:keepNext/>
        <w:spacing w:before="60" w:after="140"/>
      </w:pPr>
      <w:r>
        <w:rPr>
          <w:rFonts w:ascii="Calibri" w:hAnsi="Calibri"/>
          <w:b/>
          <w:color w:val="0F2038"/>
          <w:sz w:val="44"/>
        </w:rPr>
        <w:t>Oil &amp; Gas Executives</w:t>
      </w:r>
    </w:p>
    <w:p>
      <w:pPr>
        <w:spacing w:after="200"/>
      </w:pPr>
      <w:hyperlink r:id="rId15">
        <w:r>
          <w:rPr>
            <w:color w:val="2D5474"/>
            <w:u w:val="single"/>
          </w:rPr>
          <w:t>Open this page in the public review</w:t>
        </w:r>
      </w:hyperlink>
    </w:p>
    <w:p>
      <w:pPr>
        <w:spacing w:before="120" w:after="120"/>
        <w:pBdr>
          <w:left w:val="single" w:sz="18" w:space="8" w:color="B18F4D"/>
        </w:pBdr>
      </w:pPr>
      <w:r>
        <w:rPr>
          <w:rFonts w:ascii="Calibri" w:hAnsi="Calibri"/>
          <w:b/>
          <w:color w:val="0F2038"/>
          <w:sz w:val="18"/>
        </w:rPr>
        <w:t>ALEX REVIEW — DECISIONS AND INPUTS</w:t>
      </w:r>
    </w:p>
    <w:p>
      <w:pPr>
        <w:pStyle w:val="ListBullet"/>
      </w:pPr>
      <w:r>
        <w:t>Confirm the audience language accurately reflects Alex’s ideal Houston energy client.</w:t>
      </w:r>
    </w:p>
    <w:p>
      <w:pPr>
        <w:pStyle w:val="ListBullet"/>
      </w:pPr>
      <w:r>
        <w:t>Verify that Anchor advises on RSUs, deferred compensation, NQDC elections, trading windows, and concentrated employer exposure.</w:t>
      </w:r>
    </w:p>
    <w:p>
      <w:pPr>
        <w:pStyle w:val="ListBullet"/>
      </w:pPr>
      <w:r>
        <w:t>Provide one anonymized real-world planning situation that can replace generic explanation with specific proof.</w:t>
      </w:r>
    </w:p>
    <w:p>
      <w:pPr>
        <w:pStyle w:val="ListBullet"/>
      </w:pPr>
      <w:r>
        <w:t>Flag any compensation or tax language that requires compliance qualification.</w:t>
      </w:r>
    </w:p>
    <w:p>
      <w:pPr>
        <w:spacing w:after="60"/>
      </w:pPr>
    </w:p>
    <w:p>
      <w:pPr>
        <w:spacing w:before="160" w:after="160"/>
        <w:shd w:fill="EEF2F5"/>
      </w:pPr>
      <w:r>
        <w:rPr>
          <w:rFonts w:ascii="Calibri" w:hAnsi="Calibri"/>
          <w:b/>
          <w:color w:val="0F2038"/>
          <w:sz w:val="18"/>
        </w:rPr>
        <w:t>CURRENT WEBSITE COPY</w:t>
      </w:r>
    </w:p>
    <w:p>
      <w:pPr>
        <w:spacing w:before="160" w:after="60"/>
      </w:pPr>
      <w:r>
        <w:rPr>
          <w:rFonts w:ascii="Calibri" w:hAnsi="Calibri"/>
          <w:b/>
          <w:color w:val="B18F4D"/>
          <w:sz w:val="17"/>
        </w:rPr>
        <w:t>OIL &amp; GAS EXECUTIVES</w:t>
      </w:r>
    </w:p>
    <w:p>
      <w:pPr>
        <w:keepNext/>
        <w:spacing w:before="200" w:after="160"/>
        <w:pBdr>
          <w:left w:val="single" w:sz="12" w:space="8" w:color="B18F4D"/>
        </w:pBdr>
      </w:pPr>
      <w:r>
        <w:rPr>
          <w:rFonts w:ascii="Calibri" w:hAnsi="Calibri"/>
          <w:b/>
          <w:color w:val="0F2038"/>
          <w:sz w:val="32"/>
        </w:rPr>
        <w:t>Your compensation moves with the cycle.</w:t>
      </w:r>
    </w:p>
    <w:p>
      <w:r>
        <w:t>Equity awards, deferred compensation, blackout periods, and industry exposure need one coordinated decision calendar.</w:t>
      </w:r>
    </w:p>
    <w:p>
      <w:r>
        <w:t>Home / Who We Serve / Oil &amp; Gas Executives</w:t>
      </w:r>
    </w:p>
    <w:p>
      <w:r>
        <w:rPr>
          <w:rFonts w:ascii="Calibri" w:hAnsi="Calibri"/>
          <w:b/>
          <w:color w:val="2D5474"/>
          <w:sz w:val="20"/>
        </w:rPr>
        <w:t>CTA: Home</w:t>
      </w:r>
    </w:p>
    <w:p>
      <w:pPr>
        <w:spacing w:before="160" w:after="60"/>
      </w:pPr>
      <w:r>
        <w:rPr>
          <w:rFonts w:ascii="Calibri" w:hAnsi="Calibri"/>
          <w:b/>
          <w:color w:val="B18F4D"/>
          <w:sz w:val="17"/>
        </w:rPr>
        <w:t>THE PLANNING PROBLEM</w:t>
      </w:r>
    </w:p>
    <w:p>
      <w:pPr>
        <w:pStyle w:val="Heading2"/>
      </w:pPr>
      <w:r>
        <w:t>Your career and wealth may share one risk.</w:t>
      </w:r>
    </w:p>
    <w:p>
      <w:r>
        <w:t>Salary, bonus, RSUs, retirement benefits, and reputation may all depend on the same company and commodity cycle. A portfolio viewed in isolation misses that concentration.</w:t>
      </w:r>
    </w:p>
    <w:p>
      <w:r>
        <w:t>Anchor’s role is to connect the vesting calendar, tax projection, trading constraints, cash-flow needs, and diversification plan before the next deadline controls the decision.</w:t>
      </w:r>
    </w:p>
    <w:p>
      <w:pPr>
        <w:pStyle w:val="Heading3"/>
      </w:pPr>
      <w:r>
        <w:t>Map the calendar</w:t>
      </w:r>
    </w:p>
    <w:p>
      <w:r>
        <w:t>Vesting, NQDC elections, bonuses, estimated taxes, and trading windows in one view.</w:t>
      </w:r>
    </w:p>
    <w:p>
      <w:pPr>
        <w:pStyle w:val="Heading3"/>
      </w:pPr>
      <w:r>
        <w:t>Model the exposure</w:t>
      </w:r>
    </w:p>
    <w:p>
      <w:r>
        <w:t>Company stock is considered alongside career, sector, and household risk.</w:t>
      </w:r>
    </w:p>
    <w:p>
      <w:pPr>
        <w:pStyle w:val="Heading3"/>
      </w:pPr>
      <w:r>
        <w:t>Coordinate the professionals</w:t>
      </w:r>
    </w:p>
    <w:p>
      <w:r>
        <w:t>The advisor and CPA work from the same assumptions before tax events arrive.</w:t>
      </w:r>
    </w:p>
    <w:p>
      <w:pPr>
        <w:spacing w:before="160" w:after="60"/>
      </w:pPr>
      <w:r>
        <w:rPr>
          <w:rFonts w:ascii="Calibri" w:hAnsi="Calibri"/>
          <w:b/>
          <w:color w:val="B18F4D"/>
          <w:sz w:val="17"/>
        </w:rPr>
        <w:t>A BETTER NEXT MOVE</w:t>
      </w:r>
    </w:p>
    <w:p>
      <w:pPr>
        <w:pStyle w:val="Heading2"/>
      </w:pPr>
      <w:r>
        <w:t>Decide before the window opens.</w:t>
      </w:r>
    </w:p>
    <w:p>
      <w:r>
        <w:t>The fit check identifies whether equity compensation, tax coordination, or the wider plan should lead the first conversation.</w:t>
      </w:r>
    </w:p>
    <w:p>
      <w:r>
        <w:rPr>
          <w:rFonts w:ascii="Calibri" w:hAnsi="Calibri"/>
          <w:b/>
          <w:color w:val="2D5474"/>
          <w:sz w:val="20"/>
        </w:rPr>
        <w:t>CTA: Take the Fit Check →</w:t>
      </w:r>
    </w:p>
    <w:p>
      <w:pPr>
        <w:spacing w:before="360" w:after="200"/>
        <w:pBdr>
          <w:top w:val="single" w:sz="6" w:space="5" w:color="D8DEE5"/>
        </w:pBdr>
      </w:pPr>
    </w:p>
    <w:p>
      <w:pPr>
        <w:spacing w:after="60"/>
      </w:pPr>
      <w:r>
        <w:rPr>
          <w:rFonts w:ascii="Calibri" w:hAnsi="Calibri"/>
          <w:b/>
          <w:color w:val="B18F4D"/>
          <w:sz w:val="18"/>
        </w:rPr>
        <w:t>PAGE COPY</w:t>
      </w:r>
    </w:p>
    <w:p>
      <w:pPr>
        <w:pStyle w:val="Heading1"/>
        <w:keepNext/>
        <w:spacing w:before="60" w:after="140"/>
      </w:pPr>
      <w:r>
        <w:rPr>
          <w:rFonts w:ascii="Calibri" w:hAnsi="Calibri"/>
          <w:b/>
          <w:color w:val="0F2038"/>
          <w:sz w:val="44"/>
        </w:rPr>
        <w:t>Business Owners</w:t>
      </w:r>
    </w:p>
    <w:p>
      <w:pPr>
        <w:spacing w:after="200"/>
      </w:pPr>
      <w:hyperlink r:id="rId16">
        <w:r>
          <w:rPr>
            <w:color w:val="2D5474"/>
            <w:u w:val="single"/>
          </w:rPr>
          <w:t>Open this page in the public review</w:t>
        </w:r>
      </w:hyperlink>
    </w:p>
    <w:p>
      <w:pPr>
        <w:spacing w:before="120" w:after="120"/>
        <w:pBdr>
          <w:left w:val="single" w:sz="18" w:space="8" w:color="B18F4D"/>
        </w:pBdr>
      </w:pPr>
      <w:r>
        <w:rPr>
          <w:rFonts w:ascii="Calibri" w:hAnsi="Calibri"/>
          <w:b/>
          <w:color w:val="0F2038"/>
          <w:sz w:val="18"/>
        </w:rPr>
        <w:t>ALEX REVIEW — DECISIONS AND INPUTS</w:t>
      </w:r>
    </w:p>
    <w:p>
      <w:pPr>
        <w:pStyle w:val="ListBullet"/>
      </w:pPr>
      <w:r>
        <w:t>Define the ideal owner profile by company size, industry, transition horizon, and investable assets.</w:t>
      </w:r>
    </w:p>
    <w:p>
      <w:pPr>
        <w:pStyle w:val="ListBullet"/>
      </w:pPr>
      <w:r>
        <w:t>Confirm whether valuation, entity structure, succession, pre-sale planning, and post-liquidity planning are all within scope.</w:t>
      </w:r>
    </w:p>
    <w:p>
      <w:pPr>
        <w:pStyle w:val="ListBullet"/>
      </w:pPr>
      <w:r>
        <w:t>Approve or replace the “before the LOI” framing.</w:t>
      </w:r>
    </w:p>
    <w:p>
      <w:pPr>
        <w:pStyle w:val="ListBullet"/>
      </w:pPr>
      <w:r>
        <w:t>Provide one anonymized owner situation that shows Alex’s coordination role without making an unverified performance claim.</w:t>
      </w:r>
    </w:p>
    <w:p>
      <w:pPr>
        <w:spacing w:after="60"/>
      </w:pPr>
    </w:p>
    <w:p>
      <w:pPr>
        <w:spacing w:before="160" w:after="160"/>
        <w:shd w:fill="EEF2F5"/>
      </w:pPr>
      <w:r>
        <w:rPr>
          <w:rFonts w:ascii="Calibri" w:hAnsi="Calibri"/>
          <w:b/>
          <w:color w:val="0F2038"/>
          <w:sz w:val="18"/>
        </w:rPr>
        <w:t>CURRENT WEBSITE COPY</w:t>
      </w:r>
    </w:p>
    <w:p>
      <w:pPr>
        <w:spacing w:before="160" w:after="60"/>
      </w:pPr>
      <w:r>
        <w:rPr>
          <w:rFonts w:ascii="Calibri" w:hAnsi="Calibri"/>
          <w:b/>
          <w:color w:val="B18F4D"/>
          <w:sz w:val="17"/>
        </w:rPr>
        <w:t>BUSINESS OWNERS</w:t>
      </w:r>
    </w:p>
    <w:p>
      <w:pPr>
        <w:keepNext/>
        <w:spacing w:before="200" w:after="160"/>
        <w:pBdr>
          <w:left w:val="single" w:sz="12" w:space="8" w:color="B18F4D"/>
        </w:pBdr>
      </w:pPr>
      <w:r>
        <w:rPr>
          <w:rFonts w:ascii="Calibri" w:hAnsi="Calibri"/>
          <w:b/>
          <w:color w:val="0F2038"/>
          <w:sz w:val="32"/>
        </w:rPr>
        <w:t>The exit conversation starts before the offer.</w:t>
      </w:r>
    </w:p>
    <w:p>
      <w:r>
        <w:t>Business value, personal wealth, taxes, succession, and family decisions need time to work together.</w:t>
      </w:r>
    </w:p>
    <w:p>
      <w:r>
        <w:t>Home / Who We Serve / Business Owners</w:t>
      </w:r>
    </w:p>
    <w:p>
      <w:r>
        <w:rPr>
          <w:rFonts w:ascii="Calibri" w:hAnsi="Calibri"/>
          <w:b/>
          <w:color w:val="2D5474"/>
          <w:sz w:val="20"/>
        </w:rPr>
        <w:t>CTA: Home</w:t>
      </w:r>
    </w:p>
    <w:p>
      <w:pPr>
        <w:spacing w:before="160" w:after="60"/>
      </w:pPr>
      <w:r>
        <w:rPr>
          <w:rFonts w:ascii="Calibri" w:hAnsi="Calibri"/>
          <w:b/>
          <w:color w:val="B18F4D"/>
          <w:sz w:val="17"/>
        </w:rPr>
        <w:t>THE PLANNING PROBLEM</w:t>
      </w:r>
    </w:p>
    <w:p>
      <w:pPr>
        <w:pStyle w:val="Heading2"/>
      </w:pPr>
      <w:r>
        <w:t>The company is valuable. Is the wealth portable?</w:t>
      </w:r>
    </w:p>
    <w:p>
      <w:r>
        <w:t>Owners often know the operating business intimately while lacking a clear picture of enterprise value, personal liquidity, tax exposure, or what life after the company should look like.</w:t>
      </w:r>
    </w:p>
    <w:p>
      <w:r>
        <w:t>Anchor connects the personal plan to the transition work early—while the owner still has choices and before a buyer or deadline compresses them.</w:t>
      </w:r>
    </w:p>
    <w:p>
      <w:pPr>
        <w:pStyle w:val="Heading3"/>
      </w:pPr>
      <w:r>
        <w:t>Separate the balance sheets</w:t>
      </w:r>
    </w:p>
    <w:p>
      <w:r>
        <w:t>Clarify what belongs to the operating company and what supports the family plan.</w:t>
      </w:r>
    </w:p>
    <w:p>
      <w:pPr>
        <w:pStyle w:val="Heading3"/>
      </w:pPr>
      <w:r>
        <w:t>Build exit readiness</w:t>
      </w:r>
    </w:p>
    <w:p>
      <w:r>
        <w:t>Bring valuation, entity structure, succession, and pre-sale planning into the same sequence.</w:t>
      </w:r>
    </w:p>
    <w:p>
      <w:pPr>
        <w:pStyle w:val="Heading3"/>
      </w:pPr>
      <w:r>
        <w:t>Plan the other side</w:t>
      </w:r>
    </w:p>
    <w:p>
      <w:r>
        <w:t>Define the cash flow, investment, family, and legacy decisions after liquidity.</w:t>
      </w:r>
    </w:p>
    <w:p>
      <w:pPr>
        <w:spacing w:before="160" w:after="60"/>
      </w:pPr>
      <w:r>
        <w:rPr>
          <w:rFonts w:ascii="Calibri" w:hAnsi="Calibri"/>
          <w:b/>
          <w:color w:val="B18F4D"/>
          <w:sz w:val="17"/>
        </w:rPr>
        <w:t>CONTROL THE TIMELINE</w:t>
      </w:r>
    </w:p>
    <w:p>
      <w:pPr>
        <w:pStyle w:val="Heading2"/>
      </w:pPr>
      <w:r>
        <w:t>Prepare before an LOI narrows the options.</w:t>
      </w:r>
    </w:p>
    <w:p>
      <w:r>
        <w:t>The fit check routes owners toward the most useful first planning conversation.</w:t>
      </w:r>
    </w:p>
    <w:p>
      <w:r>
        <w:rPr>
          <w:rFonts w:ascii="Calibri" w:hAnsi="Calibri"/>
          <w:b/>
          <w:color w:val="2D5474"/>
          <w:sz w:val="20"/>
        </w:rPr>
        <w:t>CTA: Take the Fit Check →</w:t>
      </w:r>
    </w:p>
    <w:p>
      <w:pPr>
        <w:spacing w:before="360" w:after="200"/>
        <w:pBdr>
          <w:top w:val="single" w:sz="6" w:space="5" w:color="D8DEE5"/>
        </w:pBdr>
      </w:pPr>
    </w:p>
    <w:p>
      <w:pPr>
        <w:spacing w:after="60"/>
      </w:pPr>
      <w:r>
        <w:rPr>
          <w:rFonts w:ascii="Calibri" w:hAnsi="Calibri"/>
          <w:b/>
          <w:color w:val="B18F4D"/>
          <w:sz w:val="18"/>
        </w:rPr>
        <w:t>PAGE COPY</w:t>
      </w:r>
    </w:p>
    <w:p>
      <w:pPr>
        <w:pStyle w:val="Heading1"/>
        <w:keepNext/>
        <w:spacing w:before="60" w:after="140"/>
      </w:pPr>
      <w:r>
        <w:rPr>
          <w:rFonts w:ascii="Calibri" w:hAnsi="Calibri"/>
          <w:b/>
          <w:color w:val="0F2038"/>
          <w:sz w:val="44"/>
        </w:rPr>
        <w:t>Resources Directory</w:t>
      </w:r>
    </w:p>
    <w:p>
      <w:pPr>
        <w:spacing w:after="200"/>
      </w:pPr>
      <w:hyperlink r:id="rId17">
        <w:r>
          <w:rPr>
            <w:color w:val="2D5474"/>
            <w:u w:val="single"/>
          </w:rPr>
          <w:t>Open this page in the public review</w:t>
        </w:r>
      </w:hyperlink>
    </w:p>
    <w:p>
      <w:pPr>
        <w:spacing w:before="120" w:after="120"/>
        <w:pBdr>
          <w:left w:val="single" w:sz="18" w:space="8" w:color="B18F4D"/>
        </w:pBdr>
      </w:pPr>
      <w:r>
        <w:rPr>
          <w:rFonts w:ascii="Calibri" w:hAnsi="Calibri"/>
          <w:b/>
          <w:color w:val="0F2038"/>
          <w:sz w:val="18"/>
        </w:rPr>
        <w:t>ALEX REVIEW — DECISIONS AND INPUTS</w:t>
      </w:r>
    </w:p>
    <w:p>
      <w:pPr>
        <w:pStyle w:val="ListBullet"/>
      </w:pPr>
      <w:r>
        <w:t>Approve “Anchor Wealth Podcast” as the public podcast-series name.</w:t>
      </w:r>
    </w:p>
    <w:p>
      <w:pPr>
        <w:pStyle w:val="ListBullet"/>
      </w:pPr>
      <w:r>
        <w:t>Choose the initial three to six article and podcast topics Alex can credibly own.</w:t>
      </w:r>
    </w:p>
    <w:p>
      <w:pPr>
        <w:pStyle w:val="ListBullet"/>
      </w:pPr>
      <w:r>
        <w:t>Confirm whether podcast links should point to Spotify, Apple Podcasts, YouTube, or an embedded player once episodes are live.</w:t>
      </w:r>
    </w:p>
    <w:p>
      <w:pPr>
        <w:pStyle w:val="ListBullet"/>
      </w:pPr>
      <w:r>
        <w:t>Approve the topic taxonomy: equity and tax timing, business transition, family and legacy, and advisor coordination.</w:t>
      </w:r>
    </w:p>
    <w:p>
      <w:pPr>
        <w:pStyle w:val="ListBullet"/>
      </w:pPr>
      <w:r>
        <w:t>Identify any downloadable guide, checklist, or newsletter signup that belongs in the directory.</w:t>
      </w:r>
    </w:p>
    <w:p>
      <w:pPr>
        <w:spacing w:after="60"/>
      </w:pPr>
    </w:p>
    <w:p>
      <w:pPr>
        <w:spacing w:before="160" w:after="160"/>
        <w:shd w:fill="EEF2F5"/>
      </w:pPr>
      <w:r>
        <w:rPr>
          <w:rFonts w:ascii="Calibri" w:hAnsi="Calibri"/>
          <w:b/>
          <w:color w:val="0F2038"/>
          <w:sz w:val="18"/>
        </w:rPr>
        <w:t>CURRENT WEBSITE COPY</w:t>
      </w:r>
    </w:p>
    <w:p>
      <w:r>
        <w:rPr>
          <w:rFonts w:ascii="Calibri" w:hAnsi="Calibri"/>
          <w:b/>
          <w:color w:val="2D5474"/>
          <w:sz w:val="20"/>
        </w:rPr>
        <w:t>CTA: Home</w:t>
      </w:r>
    </w:p>
    <w:p>
      <w:r>
        <w:t>Resources</w:t>
      </w:r>
    </w:p>
    <w:p>
      <w:pPr>
        <w:spacing w:before="160" w:after="60"/>
      </w:pPr>
      <w:r>
        <w:rPr>
          <w:rFonts w:ascii="Calibri" w:hAnsi="Calibri"/>
          <w:b/>
          <w:color w:val="B18F4D"/>
          <w:sz w:val="17"/>
        </w:rPr>
        <w:t>ANCHOR RESOURCES</w:t>
      </w:r>
    </w:p>
    <w:p>
      <w:pPr>
        <w:keepNext/>
        <w:spacing w:before="200" w:after="160"/>
        <w:pBdr>
          <w:left w:val="single" w:sz="12" w:space="8" w:color="B18F4D"/>
        </w:pBdr>
      </w:pPr>
      <w:r>
        <w:rPr>
          <w:rFonts w:ascii="Calibri" w:hAnsi="Calibri"/>
          <w:b/>
          <w:color w:val="0F2038"/>
          <w:sz w:val="32"/>
        </w:rPr>
        <w:t>Clear thinking for decisions that touch everything.</w:t>
      </w:r>
    </w:p>
    <w:p>
      <w:r>
        <w:t>Built for Houston executives, business owners, and families. Browse articles, podcast conversations, and practical frameworks by the decision in front of you.</w:t>
      </w:r>
    </w:p>
    <w:p>
      <w:r>
        <w:t>Articles</w:t>
      </w:r>
    </w:p>
    <w:p>
      <w:r>
        <w:t>Podcasts</w:t>
      </w:r>
    </w:p>
    <w:p>
      <w:r>
        <w:t>Frameworks</w:t>
      </w:r>
    </w:p>
    <w:p>
      <w:pPr>
        <w:spacing w:before="160" w:after="60"/>
      </w:pPr>
      <w:r>
        <w:rPr>
          <w:rFonts w:ascii="Calibri" w:hAnsi="Calibri"/>
          <w:b/>
          <w:color w:val="B18F4D"/>
          <w:sz w:val="17"/>
        </w:rPr>
        <w:t>START HERE</w:t>
      </w:r>
    </w:p>
    <w:p>
      <w:pPr>
        <w:pStyle w:val="Heading2"/>
      </w:pPr>
      <w:r>
        <w:t>Choose how you want to think it through.</w:t>
      </w:r>
    </w:p>
    <w:p>
      <w:r>
        <w:t>Read the six-minute brief or listen to a focused planning conversation. Both lead to a practical next question.</w:t>
      </w:r>
    </w:p>
    <w:p>
      <w:pPr>
        <w:spacing w:before="160" w:after="60"/>
      </w:pPr>
      <w:r>
        <w:rPr>
          <w:rFonts w:ascii="Calibri" w:hAnsi="Calibri"/>
          <w:b/>
          <w:color w:val="B18F4D"/>
          <w:sz w:val="17"/>
        </w:rPr>
        <w:t>EQUITY AND TAX TIMING</w:t>
      </w:r>
    </w:p>
    <w:p>
      <w:pPr>
        <w:pStyle w:val="Heading2"/>
      </w:pPr>
      <w:r>
        <w:t>How RSU vesting creates a tax-timing trap</w:t>
      </w:r>
    </w:p>
    <w:p>
      <w:r>
        <w:t>Why the vest date, withholding method, trading window, and diversification decision need one shared calendar.</w:t>
      </w:r>
    </w:p>
    <w:p>
      <w:r>
        <w:rPr>
          <w:rFonts w:ascii="Calibri" w:hAnsi="Calibri"/>
          <w:b/>
          <w:color w:val="2D5474"/>
          <w:sz w:val="20"/>
        </w:rPr>
        <w:t>CTA: Read the 6-minute briefing</w:t>
      </w:r>
    </w:p>
    <w:p>
      <w:pPr>
        <w:spacing w:before="160" w:after="60"/>
      </w:pPr>
      <w:r>
        <w:rPr>
          <w:rFonts w:ascii="Calibri" w:hAnsi="Calibri"/>
          <w:b/>
          <w:color w:val="B18F4D"/>
          <w:sz w:val="17"/>
        </w:rPr>
        <w:t>HOSTED BY ALEX MILLER</w:t>
      </w:r>
    </w:p>
    <w:p>
      <w:pPr>
        <w:pStyle w:val="Heading2"/>
      </w:pPr>
      <w:r>
        <w:t>Anchor Wealth Podcast</w:t>
      </w:r>
    </w:p>
    <w:p>
      <w:r>
        <w:t>Hear how Alex thinks through decisions that cross investments, taxes, estate planning, and business ownership.</w:t>
      </w:r>
    </w:p>
    <w:p>
      <w:r>
        <w:t>Latest conversations</w:t>
      </w:r>
    </w:p>
    <w:p>
      <w:pPr>
        <w:pStyle w:val="ListBullet"/>
      </w:pPr>
      <w:r>
        <w:t>Episode 01 · Coordination What coordinated planning looks like before year-end Listen</w:t>
      </w:r>
    </w:p>
    <w:p>
      <w:pPr>
        <w:pStyle w:val="ListBullet"/>
      </w:pPr>
      <w:r>
        <w:t>Preview · Business transition Five questions to ask before responding to an offer Listen</w:t>
      </w:r>
    </w:p>
    <w:p>
      <w:pPr>
        <w:pStyle w:val="ListBullet"/>
      </w:pPr>
      <w:r>
        <w:t>Preview · Equity compensation The decisions hiding inside an RSU vest Listen</w:t>
      </w:r>
    </w:p>
    <w:p>
      <w:r>
        <w:t>Does this sound like your situation? Take the four-question Fit Check. If there is a fit, the next step is a conversation with Alex.</w:t>
      </w:r>
    </w:p>
    <w:p>
      <w:r>
        <w:rPr>
          <w:rFonts w:ascii="Calibri" w:hAnsi="Calibri"/>
          <w:b/>
          <w:color w:val="2D5474"/>
          <w:sz w:val="20"/>
        </w:rPr>
        <w:t>CTA: Take the Fit Check →</w:t>
      </w:r>
    </w:p>
    <w:p>
      <w:pPr>
        <w:spacing w:before="160" w:after="60"/>
      </w:pPr>
      <w:r>
        <w:rPr>
          <w:rFonts w:ascii="Calibri" w:hAnsi="Calibri"/>
          <w:b/>
          <w:color w:val="B18F4D"/>
          <w:sz w:val="17"/>
        </w:rPr>
        <w:t>RESOURCE DIRECTORY</w:t>
      </w:r>
    </w:p>
    <w:p>
      <w:pPr>
        <w:pStyle w:val="Heading2"/>
      </w:pPr>
      <w:r>
        <w:t>Start with the decision, not the format.</w:t>
      </w:r>
    </w:p>
    <w:p>
      <w:r>
        <w:t>Articles, podcast episodes, and working frameworks live together here. Filter by the issue that needs attention now.</w:t>
      </w:r>
    </w:p>
    <w:p>
      <w:r>
        <w:rPr>
          <w:rFonts w:ascii="Calibri" w:hAnsi="Calibri"/>
          <w:b/>
          <w:color w:val="2D5474"/>
          <w:sz w:val="20"/>
        </w:rPr>
        <w:t>CTA: All topics</w:t>
      </w:r>
    </w:p>
    <w:p>
      <w:r>
        <w:rPr>
          <w:rFonts w:ascii="Calibri" w:hAnsi="Calibri"/>
          <w:b/>
          <w:color w:val="2D5474"/>
          <w:sz w:val="20"/>
        </w:rPr>
        <w:t>CTA: Equity and tax timing</w:t>
      </w:r>
    </w:p>
    <w:p>
      <w:r>
        <w:rPr>
          <w:rFonts w:ascii="Calibri" w:hAnsi="Calibri"/>
          <w:b/>
          <w:color w:val="2D5474"/>
          <w:sz w:val="20"/>
        </w:rPr>
        <w:t>CTA: Business transition</w:t>
      </w:r>
    </w:p>
    <w:p>
      <w:r>
        <w:rPr>
          <w:rFonts w:ascii="Calibri" w:hAnsi="Calibri"/>
          <w:b/>
          <w:color w:val="2D5474"/>
          <w:sz w:val="20"/>
        </w:rPr>
        <w:t>CTA: Family and legacy</w:t>
      </w:r>
    </w:p>
    <w:p>
      <w:r>
        <w:rPr>
          <w:rFonts w:ascii="Calibri" w:hAnsi="Calibri"/>
          <w:b/>
          <w:color w:val="2D5474"/>
          <w:sz w:val="20"/>
        </w:rPr>
        <w:t>CTA: Advisor coordination</w:t>
      </w:r>
    </w:p>
    <w:p>
      <w:r>
        <w:t>Article · 6 min</w:t>
      </w:r>
    </w:p>
    <w:p>
      <w:pPr>
        <w:pStyle w:val="Heading3"/>
      </w:pPr>
      <w:r>
        <w:t>How RSU vesting creates a tax-timing trap</w:t>
      </w:r>
    </w:p>
    <w:p>
      <w:r>
        <w:t>Align vesting, withholding, trading windows, and the plan for the shares that remain.</w:t>
      </w:r>
    </w:p>
    <w:p>
      <w:r>
        <w:t>Read briefing</w:t>
      </w:r>
    </w:p>
    <w:p>
      <w:r>
        <w:t>Podcast · Episode 01</w:t>
      </w:r>
    </w:p>
    <w:p>
      <w:pPr>
        <w:pStyle w:val="Heading3"/>
      </w:pPr>
      <w:r>
        <w:t>What coordinated planning looks like before year-end</w:t>
      </w:r>
    </w:p>
    <w:p>
      <w:r>
        <w:t>Put every decision, owner, and deadline on one shared calendar before the year gets crowded.</w:t>
      </w:r>
    </w:p>
    <w:p>
      <w:r>
        <w:t>Listen to the podcast</w:t>
      </w:r>
    </w:p>
    <w:p>
      <w:r>
        <w:t>Framework · 5 min</w:t>
      </w:r>
    </w:p>
    <w:p>
      <w:pPr>
        <w:pStyle w:val="Heading3"/>
      </w:pPr>
      <w:r>
        <w:t>What one living plan actually coordinates</w:t>
      </w:r>
    </w:p>
    <w:p>
      <w:r>
        <w:t>A practical division of labor across the advisor, CPA, attorney, and client.</w:t>
      </w:r>
    </w:p>
    <w:p>
      <w:r>
        <w:t>View framework</w:t>
      </w:r>
    </w:p>
    <w:p>
      <w:r>
        <w:t>Checklist · 7 min</w:t>
      </w:r>
    </w:p>
    <w:p>
      <w:pPr>
        <w:pStyle w:val="Heading3"/>
      </w:pPr>
      <w:r>
        <w:t>The exit conversation starts before the LOI</w:t>
      </w:r>
    </w:p>
    <w:p>
      <w:r>
        <w:t>Questions to answer while the owner still controls the timeline and the range of options.</w:t>
      </w:r>
    </w:p>
    <w:p>
      <w:r>
        <w:t>Explore topic</w:t>
      </w:r>
    </w:p>
    <w:p>
      <w:r>
        <w:t>Podcast · Preview</w:t>
      </w:r>
    </w:p>
    <w:p>
      <w:pPr>
        <w:pStyle w:val="Heading3"/>
      </w:pPr>
      <w:r>
        <w:t>Five questions to ask before responding to an offer</w:t>
      </w:r>
    </w:p>
    <w:p>
      <w:r>
        <w:t>Separate valuation, taxes, family goals, and deal timing before momentum makes the choice.</w:t>
      </w:r>
    </w:p>
    <w:p>
      <w:r>
        <w:t>Listen to the podcast</w:t>
      </w:r>
    </w:p>
    <w:p>
      <w:r>
        <w:t>Family review · 5 min</w:t>
      </w:r>
    </w:p>
    <w:p>
      <w:pPr>
        <w:pStyle w:val="Heading3"/>
      </w:pPr>
      <w:r>
        <w:t>Does the estate plan still match what the family owns?</w:t>
      </w:r>
    </w:p>
    <w:p>
      <w:r>
        <w:t>Review funding, beneficiaries, decision makers, and family communication after wealth changes.</w:t>
      </w:r>
    </w:p>
    <w:p>
      <w:r>
        <w:t>Explore topic</w:t>
      </w:r>
    </w:p>
    <w:p>
      <w:r>
        <w:t>Podcast · Preview</w:t>
      </w:r>
    </w:p>
    <w:p>
      <w:pPr>
        <w:pStyle w:val="Heading3"/>
      </w:pPr>
      <w:r>
        <w:t>The decisions hiding inside an RSU vest</w:t>
      </w:r>
    </w:p>
    <w:p>
      <w:r>
        <w:t>Withholding is only one part of the decision. Concentration and cash flow still need a plan.</w:t>
      </w:r>
    </w:p>
    <w:p>
      <w:r>
        <w:t>Listen to the podcast</w:t>
      </w:r>
    </w:p>
    <w:p>
      <w:pPr>
        <w:spacing w:before="360" w:after="200"/>
        <w:pBdr>
          <w:top w:val="single" w:sz="6" w:space="5" w:color="D8DEE5"/>
        </w:pBdr>
      </w:pPr>
    </w:p>
    <w:p>
      <w:pPr>
        <w:spacing w:after="60"/>
      </w:pPr>
      <w:r>
        <w:rPr>
          <w:rFonts w:ascii="Calibri" w:hAnsi="Calibri"/>
          <w:b/>
          <w:color w:val="B18F4D"/>
          <w:sz w:val="18"/>
        </w:rPr>
        <w:t>PAGE COPY</w:t>
      </w:r>
    </w:p>
    <w:p>
      <w:pPr>
        <w:pStyle w:val="Heading1"/>
        <w:keepNext/>
        <w:spacing w:before="60" w:after="140"/>
      </w:pPr>
      <w:r>
        <w:rPr>
          <w:rFonts w:ascii="Calibri" w:hAnsi="Calibri"/>
          <w:b/>
          <w:color w:val="0F2038"/>
          <w:sz w:val="44"/>
        </w:rPr>
        <w:t>Article Template</w:t>
      </w:r>
    </w:p>
    <w:p>
      <w:pPr>
        <w:spacing w:after="200"/>
      </w:pPr>
      <w:hyperlink r:id="rId18">
        <w:r>
          <w:rPr>
            <w:color w:val="2D5474"/>
            <w:u w:val="single"/>
          </w:rPr>
          <w:t>Open this page in the public review</w:t>
        </w:r>
      </w:hyperlink>
    </w:p>
    <w:p>
      <w:pPr>
        <w:spacing w:before="120" w:after="120"/>
        <w:pBdr>
          <w:left w:val="single" w:sz="18" w:space="8" w:color="B18F4D"/>
        </w:pBdr>
      </w:pPr>
      <w:r>
        <w:rPr>
          <w:rFonts w:ascii="Calibri" w:hAnsi="Calibri"/>
          <w:b/>
          <w:color w:val="0F2038"/>
          <w:sz w:val="18"/>
        </w:rPr>
        <w:t>ALEX REVIEW — DECISIONS AND INPUTS</w:t>
      </w:r>
    </w:p>
    <w:p>
      <w:pPr>
        <w:pStyle w:val="ListBullet"/>
      </w:pPr>
      <w:r>
        <w:t>Confirm Alex as author and approve the displayed publication date and reading time.</w:t>
      </w:r>
    </w:p>
    <w:p>
      <w:pPr>
        <w:pStyle w:val="ListBullet"/>
      </w:pPr>
      <w:r>
        <w:t>Have compliance review the RSU, supplemental-wage withholding, trading-window, tax, and planning statements.</w:t>
      </w:r>
    </w:p>
    <w:p>
      <w:pPr>
        <w:pStyle w:val="ListBullet"/>
      </w:pPr>
      <w:r>
        <w:t>Confirm the article matches Alex’s advice process and terminology.</w:t>
      </w:r>
    </w:p>
    <w:p>
      <w:pPr>
        <w:pStyle w:val="ListBullet"/>
      </w:pPr>
      <w:r>
        <w:t>Approve the cited IRS sources and add any employer-plan, legal, or compliance caveat Alex normally uses.</w:t>
      </w:r>
    </w:p>
    <w:p>
      <w:pPr>
        <w:pStyle w:val="ListBullet"/>
      </w:pPr>
      <w:r>
        <w:t>Choose a production article URL, author biography, social-share image, and final call to action before launch.</w:t>
      </w:r>
    </w:p>
    <w:p>
      <w:pPr>
        <w:spacing w:after="60"/>
      </w:pPr>
    </w:p>
    <w:p>
      <w:pPr>
        <w:spacing w:before="160" w:after="160"/>
        <w:shd w:fill="EEF2F5"/>
      </w:pPr>
      <w:r>
        <w:rPr>
          <w:rFonts w:ascii="Calibri" w:hAnsi="Calibri"/>
          <w:b/>
          <w:color w:val="0F2038"/>
          <w:sz w:val="18"/>
        </w:rPr>
        <w:t>CURRENT WEBSITE COPY</w:t>
      </w:r>
    </w:p>
    <w:p>
      <w:r>
        <w:rPr>
          <w:rFonts w:ascii="Calibri" w:hAnsi="Calibri"/>
          <w:b/>
          <w:color w:val="2D5474"/>
          <w:sz w:val="20"/>
        </w:rPr>
        <w:t>CTA: Home</w:t>
      </w:r>
    </w:p>
    <w:p>
      <w:r>
        <w:rPr>
          <w:rFonts w:ascii="Calibri" w:hAnsi="Calibri"/>
          <w:b/>
          <w:color w:val="2D5474"/>
          <w:sz w:val="20"/>
        </w:rPr>
        <w:t>CTA: Resources</w:t>
      </w:r>
    </w:p>
    <w:p>
      <w:r>
        <w:t>RSU vesting</w:t>
      </w:r>
    </w:p>
    <w:p>
      <w:pPr>
        <w:spacing w:before="160" w:after="60"/>
      </w:pPr>
      <w:r>
        <w:rPr>
          <w:rFonts w:ascii="Calibri" w:hAnsi="Calibri"/>
          <w:b/>
          <w:color w:val="B18F4D"/>
          <w:sz w:val="17"/>
        </w:rPr>
        <w:t>EQUITY COMPENSATION · DECISION BRIEFING</w:t>
      </w:r>
    </w:p>
    <w:p>
      <w:pPr>
        <w:keepNext/>
        <w:spacing w:before="200" w:after="160"/>
        <w:pBdr>
          <w:left w:val="single" w:sz="12" w:space="8" w:color="B18F4D"/>
        </w:pBdr>
      </w:pPr>
      <w:r>
        <w:rPr>
          <w:rFonts w:ascii="Calibri" w:hAnsi="Calibri"/>
          <w:b/>
          <w:color w:val="0F2038"/>
          <w:sz w:val="32"/>
        </w:rPr>
        <w:t>How RSU vesting creates a tax-timing trap</w:t>
      </w:r>
    </w:p>
    <w:p>
      <w:r>
        <w:t>The vest, the tax withholding, and the first open trading window may happen on three different clocks. Your plan has to connect them before the shares arrive.</w:t>
      </w:r>
    </w:p>
    <w:p>
      <w:r>
        <w:t>Alex Miller , Anchor Wealth Planning</w:t>
      </w:r>
    </w:p>
    <w:p>
      <w:r>
        <w:rPr>
          <w:rFonts w:ascii="Calibri" w:hAnsi="Calibri"/>
          <w:b/>
          <w:color w:val="2D5474"/>
          <w:sz w:val="20"/>
        </w:rPr>
        <w:t>CTA: Alex Miller</w:t>
      </w:r>
    </w:p>
    <w:p>
      <w:r>
        <w:t>Published July 17, 2026 · Updated July 20, 2026 · 8 minute read</w:t>
      </w:r>
    </w:p>
    <w:p>
      <w:r>
        <w:t>Your next step</w:t>
      </w:r>
    </w:p>
    <w:p>
      <w:pPr>
        <w:pStyle w:val="Heading2"/>
      </w:pPr>
      <w:r>
        <w:t>Bring the whole decision into one conversation.</w:t>
      </w:r>
    </w:p>
    <w:p>
      <w:r>
        <w:t>See whether Anchor’s planning process fits the complexity and timing of your situation.</w:t>
      </w:r>
    </w:p>
    <w:p>
      <w:r>
        <w:rPr>
          <w:rFonts w:ascii="Calibri" w:hAnsi="Calibri"/>
          <w:b/>
          <w:color w:val="2D5474"/>
          <w:sz w:val="20"/>
        </w:rPr>
        <w:t>CTA: Take the Fit Check</w:t>
      </w:r>
    </w:p>
    <w:p>
      <w:r>
        <w:t>On this page</w:t>
      </w:r>
    </w:p>
    <w:p>
      <w:r>
        <w:rPr>
          <w:rFonts w:ascii="Calibri" w:hAnsi="Calibri"/>
          <w:b/>
          <w:color w:val="2D5474"/>
          <w:sz w:val="20"/>
        </w:rPr>
        <w:t>CTA: Short answer</w:t>
      </w:r>
    </w:p>
    <w:p>
      <w:r>
        <w:rPr>
          <w:rFonts w:ascii="Calibri" w:hAnsi="Calibri"/>
          <w:b/>
          <w:color w:val="2D5474"/>
          <w:sz w:val="20"/>
        </w:rPr>
        <w:t>CTA: What happens at vest</w:t>
      </w:r>
    </w:p>
    <w:p>
      <w:r>
        <w:rPr>
          <w:rFonts w:ascii="Calibri" w:hAnsi="Calibri"/>
          <w:b/>
          <w:color w:val="2D5474"/>
          <w:sz w:val="20"/>
        </w:rPr>
        <w:t>CTA: The withholding gap</w:t>
      </w:r>
    </w:p>
    <w:p>
      <w:r>
        <w:rPr>
          <w:rFonts w:ascii="Calibri" w:hAnsi="Calibri"/>
          <w:b/>
          <w:color w:val="2D5474"/>
          <w:sz w:val="20"/>
        </w:rPr>
        <w:t>CTA: Trading windows</w:t>
      </w:r>
    </w:p>
    <w:p>
      <w:r>
        <w:rPr>
          <w:rFonts w:ascii="Calibri" w:hAnsi="Calibri"/>
          <w:b/>
          <w:color w:val="2D5474"/>
          <w:sz w:val="20"/>
        </w:rPr>
        <w:t>CTA: Decision sequence</w:t>
      </w:r>
    </w:p>
    <w:p>
      <w:r>
        <w:rPr>
          <w:rFonts w:ascii="Calibri" w:hAnsi="Calibri"/>
          <w:b/>
          <w:color w:val="2D5474"/>
          <w:sz w:val="20"/>
        </w:rPr>
        <w:t>CTA: Documents to gather</w:t>
      </w:r>
    </w:p>
    <w:p>
      <w:r>
        <w:rPr>
          <w:rFonts w:ascii="Calibri" w:hAnsi="Calibri"/>
          <w:b/>
          <w:color w:val="2D5474"/>
          <w:sz w:val="20"/>
        </w:rPr>
        <w:t>CTA: Questions to answer</w:t>
      </w:r>
    </w:p>
    <w:p>
      <w:r>
        <w:rPr>
          <w:rFonts w:ascii="Calibri" w:hAnsi="Calibri"/>
          <w:b/>
          <w:color w:val="2D5474"/>
          <w:sz w:val="20"/>
        </w:rPr>
        <w:t>CTA: RSU FAQ</w:t>
      </w:r>
    </w:p>
    <w:p>
      <w:r>
        <w:rPr>
          <w:rFonts w:ascii="Calibri" w:hAnsi="Calibri"/>
          <w:b/>
          <w:color w:val="2D5474"/>
          <w:sz w:val="20"/>
        </w:rPr>
        <w:t>CTA: Sources</w:t>
      </w:r>
    </w:p>
    <w:p>
      <w:r>
        <w:rPr>
          <w:rFonts w:ascii="Calibri" w:hAnsi="Calibri"/>
          <w:b/>
          <w:color w:val="2D5474"/>
          <w:sz w:val="20"/>
        </w:rPr>
        <w:t>CTA: Companion podcast Anchor Wealth Podcast · Episode notes Listen to the podcast</w:t>
      </w:r>
    </w:p>
    <w:p>
      <w:r>
        <w:t>The short answer</w:t>
      </w:r>
    </w:p>
    <w:p>
      <w:r>
        <w:t>RSUs generally create compensation income when the shares settle after vesting. Employer withholding may not equal the tax ultimately due, and a trading restriction can delay your ability to sell. The planning task is to estimate the tax, decide how much stock to retain, and identify the cash source before the vest date.</w:t>
      </w:r>
    </w:p>
    <w:p>
      <w:r>
        <w:t>An RSU vest can look automatic on a statement. Shares arrive, a portion is withheld, and the rest appears in the account. The harder part is what the statement does not decide: whether the withholding is enough, when the remaining shares can be sold, how much company exposure is reasonable, and what the proceeds are meant to fund.</w:t>
      </w:r>
    </w:p>
    <w:p>
      <w:pPr>
        <w:pStyle w:val="Heading2"/>
      </w:pPr>
      <w:r>
        <w:t>Four decisions arrive with one vest</w:t>
      </w:r>
    </w:p>
    <w:p>
      <w:pPr>
        <w:pStyle w:val="Heading2"/>
      </w:pPr>
      <w:r>
        <w:t>What usually happens when RSUs vest?</w:t>
      </w:r>
    </w:p>
    <w:p>
      <w:r>
        <w:t>Restricted stock units are a promise to deliver shares or cash after specified conditions are met. For many public-company plans, ordinary compensation income is recognized when vested units settle and the shares are delivered. The amount is generally tied to the fair market value at that time and is commonly reported through payroll.</w:t>
      </w:r>
    </w:p>
    <w:p>
      <w:r>
        <w:t>The grant document controls the actual mechanics. Settlement can occur on the vest date or later, and private-company plans can involve additional rules. That is why the first planning document should be the award agreement, not the brokerage statement.</w:t>
      </w:r>
    </w:p>
    <w:p>
      <w:pPr>
        <w:pStyle w:val="Heading2"/>
      </w:pPr>
      <w:r>
        <w:t>Why can withholding differ from the final tax?</w:t>
      </w:r>
    </w:p>
    <w:p>
      <w:r>
        <w:t>Employer withholding is a prepayment, not a final calculation of the household tax return. Under the IRS supplemental wage rules, an employer may use a flat withholding method in certain situations. For 2026, the flat rate is 22 percent for separately identified supplemental wages up to the applicable threshold. Your marginal rate, deductions, other compensation, spouse income, and prior estimated payments can produce a different final result.</w:t>
      </w:r>
    </w:p>
    <w:p>
      <w:r>
        <w:t>The useful question is not simply, “Were taxes withheld?” It is, “After all income is included, what liability is this vest expected to create, and where will the difference come from?” That estimate belongs with the CPA before the vest, not after the filing deadline.</w:t>
      </w:r>
    </w:p>
    <w:p>
      <w:r>
        <w:t>Planning question: If the stock price falls after vesting but before you can sell, which cash account will cover any additional tax due?</w:t>
      </w:r>
    </w:p>
    <w:p>
      <w:pPr>
        <w:pStyle w:val="Heading2"/>
      </w:pPr>
      <w:r>
        <w:t>The tax date and the liquidity date may be different</w:t>
      </w:r>
    </w:p>
    <w:p>
      <w:r>
        <w:t>Executives and other insiders can face company trading windows, blackout periods, and preclearance requirements. A tax event can occur even when a discretionary sale is not available. That gap leaves the household exposed to price movement while a known cash obligation is forming.</w:t>
      </w:r>
    </w:p>
    <w:p>
      <w:r>
        <w:t>This is especially important when salary, annual bonus, deferred compensation, retirement benefits, and equity all depend on the same company or industry. The position is not just an investment holding. It is part of a wider employment and balance-sheet exposure.</w:t>
      </w:r>
    </w:p>
    <w:p>
      <w:pPr>
        <w:pStyle w:val="Heading2"/>
      </w:pPr>
      <w:r>
        <w:t>A better sequence before the next vest</w:t>
      </w:r>
    </w:p>
    <w:p>
      <w:pPr>
        <w:pStyle w:val="ListBullet"/>
      </w:pPr>
      <w:r>
        <w:t>Map the dates. Put every expected vest, settlement date, bonus, estimated-tax deadline, and trading window on one calendar.</w:t>
      </w:r>
    </w:p>
    <w:p>
      <w:pPr>
        <w:pStyle w:val="ListBullet"/>
      </w:pPr>
      <w:r>
        <w:t>Estimate the tax with the CPA. Model the vest in the context of total household income and payments already made.</w:t>
      </w:r>
    </w:p>
    <w:p>
      <w:pPr>
        <w:pStyle w:val="ListBullet"/>
      </w:pPr>
      <w:r>
        <w:t>Set the retention rule in advance. Decide how much company exposure fits the plan before the market price or an emotional attachment controls the answer.</w:t>
      </w:r>
    </w:p>
    <w:p>
      <w:pPr>
        <w:pStyle w:val="ListBullet"/>
      </w:pPr>
      <w:r>
        <w:t>Assign the proceeds. Connect any sale to cash reserves, diversification, debt, charitable giving, or another stated goal.</w:t>
      </w:r>
    </w:p>
    <w:p>
      <w:pPr>
        <w:pStyle w:val="Heading2"/>
      </w:pPr>
      <w:r>
        <w:t>What should you gather before the vest date?</w:t>
      </w:r>
    </w:p>
    <w:p>
      <w:r>
        <w:t>The planning meeting moves faster when the advisor and CPA are working from the same source documents. Bring the items that control the transaction and the items that show its effect on the household.</w:t>
      </w:r>
    </w:p>
    <w:p>
      <w:pPr>
        <w:pStyle w:val="ListBullet"/>
      </w:pPr>
      <w:r>
        <w:t>Award agreement and current vesting schedule These control the grant conditions, settlement timing, and plan-specific mechanics.</w:t>
      </w:r>
    </w:p>
    <w:p>
      <w:pPr>
        <w:pStyle w:val="ListBullet"/>
      </w:pPr>
      <w:r>
        <w:t>Employer trading policy Include blackout dates, preclearance requirements, and any Rule 10b5-1 plan already in place.</w:t>
      </w:r>
    </w:p>
    <w:p>
      <w:pPr>
        <w:pStyle w:val="ListBullet"/>
      </w:pPr>
      <w:r>
        <w:t>Recent pay statement and prior-year tax return These help the CPA place the vest inside total household income and withholding.</w:t>
      </w:r>
    </w:p>
    <w:p>
      <w:pPr>
        <w:pStyle w:val="ListBullet"/>
      </w:pPr>
      <w:r>
        <w:t>Current company-stock exposure Count vested shares, unvested awards, employee stock plans, and other holdings tied to the same employer or industry.</w:t>
      </w:r>
    </w:p>
    <w:p>
      <w:pPr>
        <w:pStyle w:val="ListBullet"/>
      </w:pPr>
      <w:r>
        <w:t>Near-term cash needs and planned uses Name the tax reserve, major purchase, charitable gift, debt payment, or diversification goal before the shares settle.</w:t>
      </w:r>
    </w:p>
    <w:p>
      <w:pPr>
        <w:pStyle w:val="Heading2"/>
      </w:pPr>
      <w:r>
        <w:t>Questions worth answering early</w:t>
      </w:r>
    </w:p>
    <w:p>
      <w:pPr>
        <w:pStyle w:val="Heading3"/>
      </w:pPr>
      <w:r>
        <w:t>How much of the household balance sheet depends on one company?</w:t>
      </w:r>
    </w:p>
    <w:p>
      <w:r>
        <w:t>Count more than the shares in the brokerage account. Include unvested equity, salary, bonus, deferred compensation, retirement benefits, and any industry-sensitive assets.</w:t>
      </w:r>
    </w:p>
    <w:p>
      <w:pPr>
        <w:pStyle w:val="Heading3"/>
      </w:pPr>
      <w:r>
        <w:t>Which decision has the earliest hard deadline?</w:t>
      </w:r>
    </w:p>
    <w:p>
      <w:r>
        <w:t>The first deadline may be a tax payment, a company election, a trading preclearance request, or an estate-planning action. Identify the owner of each task and the professional who needs to be involved.</w:t>
      </w:r>
    </w:p>
    <w:p>
      <w:pPr>
        <w:pStyle w:val="Heading3"/>
      </w:pPr>
      <w:r>
        <w:t>What would change the planned sale?</w:t>
      </w:r>
    </w:p>
    <w:p>
      <w:r>
        <w:t>A written retention and sale policy is more useful when it names the exceptions. Examples include a changed cash need, a material change in the company outlook, a new trading restriction, or a revised tax estimate.</w:t>
      </w:r>
    </w:p>
    <w:p>
      <w:pPr>
        <w:pStyle w:val="Heading2"/>
      </w:pPr>
      <w:r>
        <w:t>Common RSU tax-planning questions</w:t>
      </w:r>
    </w:p>
    <w:p>
      <w:pPr>
        <w:pStyle w:val="Heading3"/>
      </w:pPr>
      <w:r>
        <w:t>Are RSUs taxed twice?</w:t>
      </w:r>
    </w:p>
    <w:p>
      <w:r>
        <w:t>Generally, no. RSUs typically create ordinary compensation income when the shares settle. That amount generally becomes the tax basis in the shares. If the shares are later sold for more or less than that basis, the difference can create a separate capital gain or loss. Accurate basis records matter because an incorrect brokerage record can make the same value appear taxable twice on a return.</w:t>
      </w:r>
    </w:p>
    <w:p>
      <w:pPr>
        <w:pStyle w:val="Heading3"/>
      </w:pPr>
      <w:r>
        <w:t>Does RSU withholding cover the final tax bill?</w:t>
      </w:r>
    </w:p>
    <w:p>
      <w:r>
        <w:t>Not necessarily. Withholding is a prepayment. The IRS permits a 22 percent flat withholding method for certain separately identified supplemental wages up to $1 million in 2026, while amounts above that threshold are generally subject to a 37 percent rate. The household’s final liability can still differ because it reflects total income, filing status, deductions, other taxes, and payments already made.</w:t>
      </w:r>
    </w:p>
    <w:p>
      <w:pPr>
        <w:pStyle w:val="Heading3"/>
      </w:pPr>
      <w:r>
        <w:t>Can an executive sell the shares immediately after vesting?</w:t>
      </w:r>
    </w:p>
    <w:p>
      <w:r>
        <w:t>It depends on the award terms and employer policy. Settlement may occur after the vest date, and company trading windows, blackout periods, preclearance requirements, or material nonpublic information can restrict a discretionary sale. The employer’s legal or compliance team controls those rules.</w:t>
      </w:r>
    </w:p>
    <w:p>
      <w:pPr>
        <w:pStyle w:val="Heading3"/>
      </w:pPr>
      <w:r>
        <w:t>What is the first planning decision?</w:t>
      </w:r>
    </w:p>
    <w:p>
      <w:r>
        <w:t>Start by mapping the dates and estimating the tax. Once the household knows when income is expected, what may be withheld, and when a sale may be available, it can set a retention rule and assign any proceeds to a specific purpose.</w:t>
      </w:r>
    </w:p>
    <w:p>
      <w:pPr>
        <w:pStyle w:val="Heading2"/>
      </w:pPr>
      <w:r>
        <w:t>Primary sources and further reading</w:t>
      </w:r>
    </w:p>
    <w:p>
      <w:pPr>
        <w:pStyle w:val="ListBullet"/>
      </w:pPr>
      <w:r>
        <w:t>IRS Publication 525, Taxable and Nontaxable Income , including restricted property and qualified equity grant guidance.</w:t>
      </w:r>
    </w:p>
    <w:p>
      <w:r>
        <w:rPr>
          <w:rFonts w:ascii="Calibri" w:hAnsi="Calibri"/>
          <w:b/>
          <w:color w:val="2D5474"/>
          <w:sz w:val="20"/>
        </w:rPr>
        <w:t>CTA: IRS Publication 525, Taxable and Nontaxable Income</w:t>
      </w:r>
    </w:p>
    <w:p>
      <w:pPr>
        <w:pStyle w:val="ListBullet"/>
      </w:pPr>
      <w:r>
        <w:t>IRS Publication 15, Employer’s Tax Guide , section 7 on supplemental wage withholding.</w:t>
      </w:r>
    </w:p>
    <w:p>
      <w:r>
        <w:rPr>
          <w:rFonts w:ascii="Calibri" w:hAnsi="Calibri"/>
          <w:b/>
          <w:color w:val="2D5474"/>
          <w:sz w:val="20"/>
        </w:rPr>
        <w:t>CTA: IRS Publication 15, Employer’s Tax Guide</w:t>
      </w:r>
    </w:p>
    <w:p>
      <w:pPr>
        <w:pStyle w:val="ListBullet"/>
      </w:pPr>
      <w:r>
        <w:t>IRS Publication 15-T, Federal Income Tax Withholding Methods .</w:t>
      </w:r>
    </w:p>
    <w:p>
      <w:r>
        <w:rPr>
          <w:rFonts w:ascii="Calibri" w:hAnsi="Calibri"/>
          <w:b/>
          <w:color w:val="2D5474"/>
          <w:sz w:val="20"/>
        </w:rPr>
        <w:t>CTA: IRS Publication 15-T, Federal Income Tax Withholding Methods</w:t>
      </w:r>
    </w:p>
    <w:p>
      <w:pPr>
        <w:pStyle w:val="ListBullet"/>
      </w:pPr>
      <w:r>
        <w:t>SEC guide to Rule 10b5-1 insider trading arrangements , including the conditions and cooling-off periods that apply to qualifying trading plans.</w:t>
      </w:r>
    </w:p>
    <w:p>
      <w:r>
        <w:rPr>
          <w:rFonts w:ascii="Calibri" w:hAnsi="Calibri"/>
          <w:b/>
          <w:color w:val="2D5474"/>
          <w:sz w:val="20"/>
        </w:rPr>
        <w:t>CTA: SEC guide to Rule 10b5-1 insider trading arrangements</w:t>
      </w:r>
    </w:p>
    <w:p>
      <w:r>
        <w:t>This material is for educational purposes only and is not individualized tax, legal, or investment advice. Equity plan terms and individual facts vary. Coordinate decisions with the appropriate qualified professionals before acting.</w:t>
      </w:r>
    </w:p>
    <w:p>
      <w:r>
        <w:rPr>
          <w:rFonts w:ascii="Calibri" w:hAnsi="Calibri"/>
          <w:b/>
          <w:color w:val="2D5474"/>
          <w:sz w:val="20"/>
        </w:rPr>
        <w:t>CTA: Planning for oil and gas executives</w:t>
      </w:r>
    </w:p>
    <w:p>
      <w:r>
        <w:rPr>
          <w:rFonts w:ascii="Calibri" w:hAnsi="Calibri"/>
          <w:b/>
          <w:color w:val="2D5474"/>
          <w:sz w:val="20"/>
        </w:rPr>
        <w:t>CTA: How Anchor coordinates the work</w:t>
      </w:r>
    </w:p>
    <w:p>
      <w:r>
        <w:rPr>
          <w:rFonts w:ascii="Calibri" w:hAnsi="Calibri"/>
          <w:b/>
          <w:color w:val="2D5474"/>
          <w:sz w:val="20"/>
        </w:rPr>
        <w:t>CTA: More decision briefings</w:t>
      </w:r>
    </w:p>
    <w:p>
      <w:pPr>
        <w:spacing w:before="360" w:after="200"/>
        <w:pBdr>
          <w:top w:val="single" w:sz="6" w:space="5" w:color="D8DEE5"/>
        </w:pBdr>
      </w:pPr>
    </w:p>
    <w:p>
      <w:pPr>
        <w:spacing w:after="60"/>
      </w:pPr>
      <w:r>
        <w:rPr>
          <w:rFonts w:ascii="Calibri" w:hAnsi="Calibri"/>
          <w:b/>
          <w:color w:val="B18F4D"/>
          <w:sz w:val="18"/>
        </w:rPr>
        <w:t>PAGE COPY</w:t>
      </w:r>
    </w:p>
    <w:p>
      <w:pPr>
        <w:pStyle w:val="Heading1"/>
        <w:keepNext/>
        <w:spacing w:before="60" w:after="140"/>
      </w:pPr>
      <w:r>
        <w:rPr>
          <w:rFonts w:ascii="Calibri" w:hAnsi="Calibri"/>
          <w:b/>
          <w:color w:val="0F2038"/>
          <w:sz w:val="44"/>
        </w:rPr>
        <w:t>Podcast Episode Template</w:t>
      </w:r>
    </w:p>
    <w:p>
      <w:pPr>
        <w:spacing w:after="200"/>
      </w:pPr>
      <w:hyperlink r:id="rId19">
        <w:r>
          <w:rPr>
            <w:color w:val="2D5474"/>
            <w:u w:val="single"/>
          </w:rPr>
          <w:t>Open this page in the public review</w:t>
        </w:r>
      </w:hyperlink>
    </w:p>
    <w:p>
      <w:pPr>
        <w:spacing w:before="120" w:after="120"/>
        <w:pBdr>
          <w:left w:val="single" w:sz="18" w:space="8" w:color="B18F4D"/>
        </w:pBdr>
      </w:pPr>
      <w:r>
        <w:rPr>
          <w:rFonts w:ascii="Calibri" w:hAnsi="Calibri"/>
          <w:b/>
          <w:color w:val="0F2038"/>
          <w:sz w:val="18"/>
        </w:rPr>
        <w:t>ALEX REVIEW — DECISIONS AND INPUTS</w:t>
      </w:r>
    </w:p>
    <w:p>
      <w:pPr>
        <w:pStyle w:val="ListBullet"/>
      </w:pPr>
      <w:r>
        <w:t>Confirm Alex as host and approve “Anchor Wealth Podcast” as the series title.</w:t>
      </w:r>
    </w:p>
    <w:p>
      <w:pPr>
        <w:pStyle w:val="ListBullet"/>
      </w:pPr>
      <w:r>
        <w:t>Replace preview language with the final episode number, date, duration, audio/video embed, platform links, and guest information if applicable.</w:t>
      </w:r>
    </w:p>
    <w:p>
      <w:pPr>
        <w:pStyle w:val="ListBullet"/>
      </w:pPr>
      <w:r>
        <w:t>Approve the four-part conversation map, episode notes, and transcript structure.</w:t>
      </w:r>
    </w:p>
    <w:p>
      <w:pPr>
        <w:pStyle w:val="ListBullet"/>
      </w:pPr>
      <w:r>
        <w:t>Decide whether full transcripts, edited show notes, or both will publish for SEO and accessibility.</w:t>
      </w:r>
    </w:p>
    <w:p>
      <w:pPr>
        <w:spacing w:after="60"/>
      </w:pPr>
    </w:p>
    <w:p>
      <w:pPr>
        <w:spacing w:before="160" w:after="160"/>
        <w:shd w:fill="EEF2F5"/>
      </w:pPr>
      <w:r>
        <w:rPr>
          <w:rFonts w:ascii="Calibri" w:hAnsi="Calibri"/>
          <w:b/>
          <w:color w:val="0F2038"/>
          <w:sz w:val="18"/>
        </w:rPr>
        <w:t>CURRENT WEBSITE COPY</w:t>
      </w:r>
    </w:p>
    <w:p>
      <w:r>
        <w:rPr>
          <w:rFonts w:ascii="Calibri" w:hAnsi="Calibri"/>
          <w:b/>
          <w:color w:val="2D5474"/>
          <w:sz w:val="20"/>
        </w:rPr>
        <w:t>CTA: Home</w:t>
      </w:r>
    </w:p>
    <w:p>
      <w:r>
        <w:rPr>
          <w:rFonts w:ascii="Calibri" w:hAnsi="Calibri"/>
          <w:b/>
          <w:color w:val="2D5474"/>
          <w:sz w:val="20"/>
        </w:rPr>
        <w:t>CTA: Resources</w:t>
      </w:r>
    </w:p>
    <w:p>
      <w:r>
        <w:t>Anchor Wealth Podcast</w:t>
      </w:r>
    </w:p>
    <w:p>
      <w:r>
        <w:t>Anchor Wealth Planning</w:t>
      </w:r>
    </w:p>
    <w:p>
      <w:pPr>
        <w:keepNext/>
        <w:spacing w:before="200" w:after="160"/>
        <w:pBdr>
          <w:left w:val="single" w:sz="12" w:space="8" w:color="B18F4D"/>
        </w:pBdr>
      </w:pPr>
      <w:r>
        <w:rPr>
          <w:rFonts w:ascii="Calibri" w:hAnsi="Calibri"/>
          <w:b/>
          <w:color w:val="0F2038"/>
          <w:sz w:val="32"/>
        </w:rPr>
        <w:t>What coordinated planning looks like before year-end</w:t>
      </w:r>
    </w:p>
    <w:p>
      <w:r>
        <w:t>A focused conversation about timing, ownership, and getting every professional onto the same plan before decisions become deadlines.</w:t>
      </w:r>
    </w:p>
    <w:p>
      <w:r>
        <w:t>Podcast preview</w:t>
      </w:r>
    </w:p>
    <w:p>
      <w:r>
        <w:t>Hosted by Alex Miller</w:t>
      </w:r>
    </w:p>
    <w:p>
      <w:r>
        <w:t>Episode transcript included</w:t>
      </w:r>
    </w:p>
    <w:p>
      <w:r>
        <w:rPr>
          <w:rFonts w:ascii="Calibri" w:hAnsi="Calibri"/>
          <w:b/>
          <w:color w:val="2D5474"/>
          <w:sz w:val="20"/>
        </w:rPr>
        <w:t>CTA: Listen to the podcast</w:t>
      </w:r>
    </w:p>
    <w:p>
      <w:r>
        <w:rPr>
          <w:rFonts w:ascii="Calibri" w:hAnsi="Calibri"/>
          <w:b/>
          <w:color w:val="2D5474"/>
          <w:sz w:val="20"/>
        </w:rPr>
        <w:t>CTA: Browse all resources</w:t>
      </w:r>
    </w:p>
    <w:p>
      <w:pPr>
        <w:pStyle w:val="Heading2"/>
      </w:pPr>
      <w:r>
        <w:t>The calendar is where coordination becomes visible.</w:t>
      </w:r>
    </w:p>
    <w:p>
      <w:r>
        <w:t>Most complex planning problems do not begin with a lack of advice. They begin when good advice arrives from different professionals on different timelines. The podcast puts the decision, the owner, and the deadline in one place.</w:t>
      </w:r>
    </w:p>
    <w:p>
      <w:r>
        <w:t>01</w:t>
      </w:r>
    </w:p>
    <w:p>
      <w:r>
        <w:t>Start with the decisions, not the meetings</w:t>
      </w:r>
    </w:p>
    <w:p>
      <w:r>
        <w:t>List the elections, tax payments, transactions, and family decisions that have a real deadline.</w:t>
      </w:r>
    </w:p>
    <w:p>
      <w:r>
        <w:t>02</w:t>
      </w:r>
    </w:p>
    <w:p>
      <w:r>
        <w:t>Give every decision one owner</w:t>
      </w:r>
    </w:p>
    <w:p>
      <w:r>
        <w:t>The lead professional does not need to do every task, but someone must own the next step.</w:t>
      </w:r>
    </w:p>
    <w:p>
      <w:r>
        <w:t>03</w:t>
      </w:r>
    </w:p>
    <w:p>
      <w:r>
        <w:t>Move information before the deadline</w:t>
      </w:r>
    </w:p>
    <w:p>
      <w:r>
        <w:t>The CPA, attorney, and advisor need the same assumptions before each recommendation is final.</w:t>
      </w:r>
    </w:p>
    <w:p>
      <w:r>
        <w:t>04</w:t>
      </w:r>
    </w:p>
    <w:p>
      <w:r>
        <w:t>Update the plan after the decision</w:t>
      </w:r>
    </w:p>
    <w:p>
      <w:r>
        <w:t>A vest, business offer, trust change, or liquidity event should change the living plan, not disappear into a file.</w:t>
      </w:r>
    </w:p>
    <w:p>
      <w:pPr>
        <w:pStyle w:val="Heading3"/>
      </w:pPr>
      <w:r>
        <w:t>Four items for the first calendar pass</w:t>
      </w:r>
    </w:p>
    <w:p>
      <w:pPr>
        <w:pStyle w:val="ListBullet"/>
      </w:pPr>
      <w:r>
        <w:t>Expected equity vesting and bonus dates</w:t>
      </w:r>
    </w:p>
    <w:p>
      <w:pPr>
        <w:pStyle w:val="ListBullet"/>
      </w:pPr>
      <w:r>
        <w:t>Estimated-tax and filing deadlines</w:t>
      </w:r>
    </w:p>
    <w:p>
      <w:pPr>
        <w:pStyle w:val="ListBullet"/>
      </w:pPr>
      <w:r>
        <w:t>Open legal or estate-planning decisions</w:t>
      </w:r>
    </w:p>
    <w:p>
      <w:pPr>
        <w:pStyle w:val="ListBullet"/>
      </w:pPr>
      <w:r>
        <w:t>Business, family, or liquidity events on the horizon</w:t>
      </w:r>
    </w:p>
    <w:p>
      <w:pPr>
        <w:pStyle w:val="Heading2"/>
      </w:pPr>
      <w:r>
        <w:t>Episode transcript</w:t>
      </w:r>
    </w:p>
    <w:p>
      <w:r>
        <w:t>Read the transcript</w:t>
      </w:r>
    </w:p>
    <w:p>
      <w:r>
        <w:t>The practical output of a coordinated year-end review is not another stack of recommendations. It is a shared decision calendar. Each line should name what must be decided, who owns the next step, which professional needs to contribute, and the date after which the option changes or disappears.</w:t>
      </w:r>
    </w:p>
    <w:p>
      <w:r>
        <w:t>Start with decisions that cannot be reversed. Elections, estimated-tax payments, transaction terms, gifting deadlines, and trading windows belong at the top. Then identify the information each professional needs. A tax estimate built on an old vesting schedule or an estate recommendation that ignores a pending business transaction is not coordinated advice.</w:t>
      </w:r>
    </w:p>
    <w:p>
      <w:r>
        <w:t>The calendar also makes the follow-through visible. Once a decision is made, the investment policy, cash plan, estate documents, and professional assumptions should be updated so the next conversation begins with the same facts.</w:t>
      </w:r>
    </w:p>
    <w:p>
      <w:r>
        <w:rPr>
          <w:rFonts w:ascii="Calibri" w:hAnsi="Calibri"/>
          <w:b/>
          <w:color w:val="2D5474"/>
          <w:sz w:val="20"/>
        </w:rPr>
        <w:t>CTA: Read the RSU tax-timing briefing</w:t>
      </w:r>
    </w:p>
    <w:p>
      <w:r>
        <w:rPr>
          <w:rFonts w:ascii="Calibri" w:hAnsi="Calibri"/>
          <w:b/>
          <w:color w:val="2D5474"/>
          <w:sz w:val="20"/>
        </w:rPr>
        <w:t>CTA: How Anchor works</w:t>
      </w:r>
    </w:p>
    <w:p>
      <w:r>
        <w:rPr>
          <w:rFonts w:ascii="Calibri" w:hAnsi="Calibri"/>
          <w:b/>
          <w:color w:val="2D5474"/>
          <w:sz w:val="20"/>
        </w:rPr>
        <w:t>CTA: Browse all resources</w:t>
      </w:r>
    </w:p>
    <w:sectPr w:rsidR="00FC693F" w:rsidRPr="0006063C" w:rsidSect="00034616">
      <w:headerReference w:type="default" r:id="rId9"/>
      <w:footerReference w:type="default" r:id="rId10"/>
      <w:pgSz w:w="12240" w:h="15840"/>
      <w:pgMar w:top="1181" w:right="1440" w:bottom="1123"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425B72"/>
        <w:sz w:val="17"/>
      </w:rPr>
      <w:t xml:space="preserve">Review draft  |  July 17, 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425B72"/>
        <w:sz w:val="17"/>
      </w:rPr>
      <w:t>ANCHOR WEALTH PLANNING  |  COPY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color w:val="425B7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F203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D5474"/>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F203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425B7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425B72"/>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aebaby.github.io/anchor-review/" TargetMode="External"/><Relationship Id="rId12" Type="http://schemas.openxmlformats.org/officeDocument/2006/relationships/hyperlink" Target="https://caebaby.github.io/anchor-review/about.html" TargetMode="External"/><Relationship Id="rId13" Type="http://schemas.openxmlformats.org/officeDocument/2006/relationships/hyperlink" Target="https://caebaby.github.io/anchor-review/team.html" TargetMode="External"/><Relationship Id="rId14" Type="http://schemas.openxmlformats.org/officeDocument/2006/relationships/hyperlink" Target="https://caebaby.github.io/anchor-review/high-net-worth-families.html" TargetMode="External"/><Relationship Id="rId15" Type="http://schemas.openxmlformats.org/officeDocument/2006/relationships/hyperlink" Target="https://caebaby.github.io/anchor-review/oil-gas-executives.html" TargetMode="External"/><Relationship Id="rId16" Type="http://schemas.openxmlformats.org/officeDocument/2006/relationships/hyperlink" Target="https://caebaby.github.io/anchor-review/business-owners.html" TargetMode="External"/><Relationship Id="rId17" Type="http://schemas.openxmlformats.org/officeDocument/2006/relationships/hyperlink" Target="https://caebaby.github.io/anchor-review/resources.html" TargetMode="External"/><Relationship Id="rId18" Type="http://schemas.openxmlformats.org/officeDocument/2006/relationships/hyperlink" Target="https://caebaby.github.io/anchor-review/blog-template.html" TargetMode="External"/><Relationship Id="rId19" Type="http://schemas.openxmlformats.org/officeDocument/2006/relationships/hyperlink" Target="https://caebaby.github.io/anchor-review/podcast-templat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Anchor Wealth Planning — Current Website Copy &amp; Alex Review Guide</dc:title>
  <dc:subject>Current review-site copy and client approval questions</dc:subject>
  <dc:creator>Website Factory</dc:creator>
  <cp:keywords>Anchor Wealth Planning, website copy, client review</cp:keywords>
  <dc:description>generated by python-docx</dc:description>
  <cp:lastModifiedBy/>
  <cp:revision>1</cp:revision>
  <dcterms:created xsi:type="dcterms:W3CDTF">2013-12-23T23:15:00Z</dcterms:created>
  <dcterms:modified xsi:type="dcterms:W3CDTF">2013-12-23T23:15:00Z</dcterms:modified>
  <cp:category/>
</cp:coreProperties>
</file>