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Seletivo 2024</w:t>
      </w:r>
    </w:p>
    <w:p w:rsidR="00000000" w:rsidDel="00000000" w:rsidP="00000000" w:rsidRDefault="00000000" w:rsidRPr="00000000" w14:paraId="00000002">
      <w:pPr>
        <w:spacing w:before="288" w:lineRule="auto"/>
        <w:ind w:left="0" w:right="152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Caetano Korilo Fleury de Amorim – caefleury15@gmail.com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before="20.887451171875" w:line="360" w:lineRule="auto"/>
        <w:ind w:left="720" w:right="21.621704101562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dataset existem alguns valores faltantes. Antes de começar a manipular os dados, trate essas informações e descreva sucintamente as alterações feitas.</w:t>
      </w:r>
    </w:p>
    <w:p w:rsidR="00000000" w:rsidDel="00000000" w:rsidP="00000000" w:rsidRDefault="00000000" w:rsidRPr="00000000" w14:paraId="00000009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0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os valores faltantes nas colunas, identificamos um caso crítico e outros casos menores. O caso crítico Income possui a maior parte de seus valores nulos enquanto que outras colunas possuem menos de 10 valores faltantes. Nesse caso, e</w:t>
      </w:r>
      <w:r w:rsidDel="00000000" w:rsidR="00000000" w:rsidRPr="00000000">
        <w:rPr>
          <w:sz w:val="24"/>
          <w:szCs w:val="24"/>
          <w:rtl w:val="0"/>
        </w:rPr>
        <w:t xml:space="preserve">xistem duas possíveis abordagens para tratar os valores faltantes: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Preencher os valores faltantes com a média dos valores existentes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Remover linhas que possuam valores faltantes.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os valores ausentes e desconsiderar a coluna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colunas com poucos valores ausentes (&lt;10) optei por remover as poucas linhas com valores faltantes. Para a coluna com muitos valores ausentes (&gt;10) optei por excluir a coluna.</w:t>
      </w:r>
    </w:p>
    <w:p w:rsidR="00000000" w:rsidDel="00000000" w:rsidP="00000000" w:rsidRDefault="00000000" w:rsidRPr="00000000" w14:paraId="0000001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3" w:lineRule="auto"/>
        <w:ind w:left="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operações resultaram em um dataframe com 32 colunas e 1853 entradas.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1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19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.887451171875" w:line="360" w:lineRule="auto"/>
        <w:ind w:right="21.62170410156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2020"/>
        </w:tabs>
        <w:spacing w:after="0" w:before="0" w:line="331" w:lineRule="auto"/>
        <w:ind w:left="720" w:right="265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distribuição da idade dos indivíduos na amostra? Existem diferenças significativas nas faixas etárias predominantes de consumo entre os grupos de usuários de diferentes substâncias?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que há diferenças significativas nas faixas etárias predominantes de consumo entre os grupos de usuários de diferentes substâncias. O álcool e o café são amplamente consumidos em todas as faixas etárias, enquanto o uso de cannabis e tabaco/nicotina é mais comum entre os jovens e adultos jovens. Substâncias ilícitas como heroína, crack e metanfetaminas têm uso muito baixo em todas as faixas etárias, especialmente entre os mais velhos</w:t>
      </w:r>
      <w:r w:rsidDel="00000000" w:rsidR="00000000" w:rsidRPr="00000000">
        <w:rPr>
          <w:rFonts w:ascii="Courier New" w:cs="Courier New" w:eastAsia="Courier New" w:hAnsi="Courier New"/>
          <w:color w:val="1f293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Jovens (18-24 anos):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Cannabis, Tabaco/Nicotina, Café.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Substâncias como Heroína, Crack, e Metanfetamina têm uso muito baixo.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Adultos (25-44 anos):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Cannabis, Tabaco/Nicotina, Café.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Substâncias ilícitas como Heroína, Crack, e Metanfetamina têm uso baixo.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Idosos (45+ anos):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Utilizadas: Álcool, Café.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36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Utilizadas: Cannabis, Tabaco/Nicotina, e substâncias ilícitas têm uso muito baixo</w:t>
      </w:r>
      <w:r w:rsidDel="00000000" w:rsidR="00000000" w:rsidRPr="00000000">
        <w:rPr>
          <w:rFonts w:ascii="Arial" w:cs="Arial" w:eastAsia="Arial" w:hAnsi="Arial"/>
          <w:color w:val="1b164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1993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 a distribuição de idade por nível de uso de diferentes substâncias. As categorias de uso são divididas em três grupos: "Usou no Último Ano", "Usou Mais de Uma Década Atrás ou Últimos Dez Anos" e "Nunca Usou". Cada barra colorida representa uma substância específica, conforme a legenda à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Há uma relação entre o nível educacional e o consumo de substâncias?</w:t>
      </w:r>
    </w:p>
    <w:p w:rsidR="00000000" w:rsidDel="00000000" w:rsidP="00000000" w:rsidRDefault="00000000" w:rsidRPr="00000000" w14:paraId="0000003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uma relação entre o nível educacional e o consumo de substâncias. Em geral, pessoas com níveis educacionais mais altos tendem a nunca ter usado substâncias, enquanto aquelas com níveis educacionais mais baixos têm uma maior proporção de uso recente (no último ano).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relação pode ser influenciada por diversos fatores, incluindo acesso à informação, ambiente social, e oportunidades econômicas, que variam com o nível educacional.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Níveis Educacionais Superiores (Doutorado, Mestrado, Certificado Profissional/Diploma, Graduação Universitária):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pessoas com níveis educacionais mais altos (Doutorado, Mestrado, Certificado Profissional/Diploma) nunca usou substâncias, conforme indicado pela predominância da cor verde.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aqueles que usaram substâncias, a maioria o fez há mais de uma década ou nos últimos dez anos, com uma menor proporção usando no último ano.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Níveis Educacionais Medianos (Algum Curso Universitário, Sem Certificado ou Diploma):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uma distribuição mais equilibrada entre os três grupos de uso, com uma leve predominância de pessoas que nunca usaram substâncias.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proporção de pessoas que usaram substâncias no último ano é relativamente alta em comparação com os níveis educacionais superiores.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Níveis Educacionais Baixos (Deixou a Escola aos 16, 17 ou 18 Anos, Antes dos 16 Anos):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proporção de pessoas que usaram substâncias no último ano é maior em comparação com os níveis educacionais superiores.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assim, a maioria das pessoas nesses grupos nunca usou substâncias, mas a diferença é menos pronunciada do que nos níveis educacionais superiores.</w:t>
      </w:r>
    </w:p>
    <w:p w:rsidR="00000000" w:rsidDel="00000000" w:rsidP="00000000" w:rsidRDefault="00000000" w:rsidRPr="00000000" w14:paraId="0000004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4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324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552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apresentado ilustra a relação entre o nível educacional e o consumo de substâncias, categorizado em três níveis de uso: "Usou no Último Ano", "Usou Mais de Uma Década Atrás ou Últimos Dez Anos" e "Nunca Usou".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gênero influencia no consumo de drogas alucinógenas (LSD, Ecstasy, Ketamine, Cannabis e Mushrooms)? Explique.</w:t>
      </w:r>
    </w:p>
    <w:p w:rsidR="00000000" w:rsidDel="00000000" w:rsidP="00000000" w:rsidRDefault="00000000" w:rsidRPr="00000000" w14:paraId="0000004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analisar como o gênero influencia no consumo de drogas alucinógenas (LSD, Ecstasy, Ketamine, Cannabis e Mushrooms), podemos observar o gráfico.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Uso Mais de Uma Década Atrás ou Últimos Dez Anos 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1000 indivíduos.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800 indivíduos.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Homens têm uma maior tendência a ter usado drogas alucinógenas no passado em comparação com mulheres.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2.Nunca Usou: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2000 indivíduos.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3000 indivíduos.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Uma maior proporção de mulheres nunca usou drogas alucinógenas em comparação com homens.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3.Usou no Último Ano: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(M): Aproximadamente 1750 indivíduos.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 (F): Aproximadamente 750 indivíduos.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Homens têm uma maior tendência a usar drogas alucinógenas recentemente em comparação com mulheres.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dados do gráfico, podemos concluir que o gênero influencia no consumo de drogas alucinógenas da seguinte maneira: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Homens são mais propensos a ter experimentado drogas alucinógenas em algum momento da vida, seja no passado distante ou recentemente.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93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Mulheres, por outro lado, são mais propensas a nunca terem usado essas substâncias.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3" w:lineRule="auto"/>
        <w:ind w:left="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6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819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a contagem de indivíduos que usaram essas drogas, categorizados por gênero (M para masculino e F para feminino) e por nível de uso (usou mais de uma década atrás ou nos últimos dez anos, nunca usou, e usou no último ano).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é a proporção de participantes que se auto-classificam como impulsivos (score superior a zero)? Existe uma correlação entre a impulsividade e o consumo de substâncias?</w:t>
      </w:r>
    </w:p>
    <w:p w:rsidR="00000000" w:rsidDel="00000000" w:rsidP="00000000" w:rsidRDefault="00000000" w:rsidRPr="00000000" w14:paraId="0000006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proporção de participantes que se consideram impulsivos: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49.33%</w:t>
      </w:r>
      <w:r w:rsidDel="00000000" w:rsidR="00000000" w:rsidRPr="00000000">
        <w:rPr>
          <w:sz w:val="24"/>
          <w:szCs w:val="24"/>
          <w:rtl w:val="0"/>
        </w:rPr>
        <w:t xml:space="preserve">. Sim, existe uma correlação entre a impulsividade e o consumo de substâncias. Diversos estudos indicam que indivíduos com altos níveis de impulsividade tendem a consumir mais substâncias psicoativas.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18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Positiva: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das substâncias listadas no gráfico, como cannabis, anfetaminas, benzodiazepinas, cocaína, Ecstasy, cogumelos e Nicotine (nicotina), apresentam correlações positivas com a impulsividade.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Negativa: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o chocolate apresenta uma correlação negativa, sugerindo que, para esta substância, a impulsividade não consegue definir claramente o maior uso da substância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Correlação Baixa: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180" w:before="0" w:beforeAutospacing="0" w:line="333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Substâncias como álcool, amyl,cafeína, crack, heroína, ketamina, LSD, e metanfetamina apresentam correlações positivas mais baixas.</w:t>
      </w:r>
    </w:p>
    <w:p w:rsidR="00000000" w:rsidDel="00000000" w:rsidP="00000000" w:rsidRDefault="00000000" w:rsidRPr="00000000" w14:paraId="0000007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7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7100" cy="2832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3" w:lineRule="auto"/>
        <w:ind w:left="100" w:right="25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7D">
      <w:pPr>
        <w:spacing w:after="180" w:before="180" w:line="33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apresenta a correlação entre impulsividade e o uso de diversas substâncias. A correlação é uma medida estatística que indica a força e a direção do relacionamento linear entre duas variáveis. No contexto deste gráfico, a correlação varia de -1 a 1, onde: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18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indica uma correlação positiva perfeita (à medida que uma variável aumenta, a outra também aumenta).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indica uma correlação negativa perfeita (à medida que uma variável aumenta, a outra diminui).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180" w:before="0" w:beforeAutospacing="0" w:line="333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indica que não há correlação linear entre as variáveis.</w:t>
      </w:r>
    </w:p>
    <w:p w:rsidR="00000000" w:rsidDel="00000000" w:rsidP="00000000" w:rsidRDefault="00000000" w:rsidRPr="00000000" w14:paraId="0000008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Classifique as variáveis entre qualitativas (ordinal ou nominal), ou quantitativas (discreta, contínuas).</w:t>
      </w:r>
    </w:p>
    <w:p w:rsidR="00000000" w:rsidDel="00000000" w:rsidP="00000000" w:rsidRDefault="00000000" w:rsidRPr="00000000" w14:paraId="0000008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8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variáveis qualitativas (que não podem ser medidas numericamente) temos: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Ordinal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Escolaridade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Impulsividade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Nominal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Gênero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País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Etnia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substâncias</w:t>
      </w:r>
    </w:p>
    <w:p w:rsidR="00000000" w:rsidDel="00000000" w:rsidP="00000000" w:rsidRDefault="00000000" w:rsidRPr="00000000" w14:paraId="00000090">
      <w:pPr>
        <w:spacing w:line="333" w:lineRule="auto"/>
        <w:ind w:left="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variáveis quantitativas (podem ser medidas numericamente e expressam uma quantidade ou magnitude).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Discreta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line="333" w:lineRule="auto"/>
        <w:ind w:left="72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line="333" w:lineRule="auto"/>
        <w:ind w:left="1440" w:right="252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scores</w:t>
      </w:r>
    </w:p>
    <w:p w:rsidR="00000000" w:rsidDel="00000000" w:rsidP="00000000" w:rsidRDefault="00000000" w:rsidRPr="00000000" w14:paraId="0000009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9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proporção de consumo de substâncias legais versus ilícitas na amostra (considere a definição de legalidade segundo a legislação brasileira)?</w:t>
      </w:r>
    </w:p>
    <w:p w:rsidR="00000000" w:rsidDel="00000000" w:rsidP="00000000" w:rsidRDefault="00000000" w:rsidRPr="00000000" w14:paraId="0000009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9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A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before="20.8837890625" w:line="360" w:lineRule="auto"/>
        <w:ind w:left="720" w:right="4.12536621093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fatores predizem a probabilidade de um indivíduo consumir crack (Crack)?</w:t>
      </w:r>
    </w:p>
    <w:p w:rsidR="00000000" w:rsidDel="00000000" w:rsidP="00000000" w:rsidRDefault="00000000" w:rsidRPr="00000000" w14:paraId="000000A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A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A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média das pontuações Nscore, Escore, Oscore, AScore, Cscore? Calcule a correlação entre elas.</w:t>
      </w:r>
    </w:p>
    <w:p w:rsidR="00000000" w:rsidDel="00000000" w:rsidP="00000000" w:rsidRDefault="00000000" w:rsidRPr="00000000" w14:paraId="000000B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B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B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 a relação entre o nível de educação (Education) e o consumo de diferentes substâncias ilícitas (como LSD, Amphet, Cannabis, etc.). Identifique se há uma correlação significativa entre essas variáveis e, em caso afirmativo, explore a natureza dessa correlação (positiva/negativa).</w:t>
      </w:r>
    </w:p>
    <w:p w:rsidR="00000000" w:rsidDel="00000000" w:rsidP="00000000" w:rsidRDefault="00000000" w:rsidRPr="00000000" w14:paraId="000000B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B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B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Treine uma árvore de decisão para prever se um indivíduo consome uma determinada substância (por exemplo, álcool, anfetaminas, cannabis) com base em suas características demográficas e pontuações de personalidade. Utilize a acurácia para avaliar os seus resultados.</w:t>
      </w:r>
    </w:p>
    <w:p w:rsidR="00000000" w:rsidDel="00000000" w:rsidP="00000000" w:rsidRDefault="00000000" w:rsidRPr="00000000" w14:paraId="000000C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C7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C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a correlação entre a idade (variável Age) e a experimentação de        diferentes substâncias ilícitas. Verifique se há uma tendência de aumento ou diminuição do consumo conforme a idade avança.</w:t>
      </w:r>
    </w:p>
    <w:p w:rsidR="00000000" w:rsidDel="00000000" w:rsidP="00000000" w:rsidRDefault="00000000" w:rsidRPr="00000000" w14:paraId="000000C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D1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D3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tabs>
          <w:tab w:val="left" w:leader="none" w:pos="1900"/>
          <w:tab w:val="left" w:leader="none" w:pos="2020"/>
        </w:tabs>
        <w:spacing w:line="331" w:lineRule="auto"/>
        <w:ind w:left="720" w:right="26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3 drogas mais utilizadas para cada país presente na amostra? E quais são as 3 menos utilizadas?</w:t>
      </w:r>
    </w:p>
    <w:p w:rsidR="00000000" w:rsidDel="00000000" w:rsidP="00000000" w:rsidRDefault="00000000" w:rsidRPr="00000000" w14:paraId="000000D9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DB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(se houver):</w:t>
      </w:r>
    </w:p>
    <w:p w:rsidR="00000000" w:rsidDel="00000000" w:rsidP="00000000" w:rsidRDefault="00000000" w:rsidRPr="00000000" w14:paraId="000000DD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3" w:lineRule="auto"/>
        <w:ind w:left="100" w:right="2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Legenda/explicação: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4400" y="3779365"/>
                          <a:ext cx="203200" cy="1270"/>
                        </a:xfrm>
                        <a:custGeom>
                          <a:rect b="b" l="l" r="r" t="t"/>
                          <a:pathLst>
                            <a:path extrusionOk="0" h="120000" w="203200">
                              <a:moveTo>
                                <a:pt x="0" y="0"/>
                              </a:moveTo>
                              <a:lnTo>
                                <a:pt x="203001" y="0"/>
                              </a:lnTo>
                            </a:path>
                          </a:pathLst>
                        </a:custGeom>
                        <a:noFill/>
                        <a:ln cap="flat" cmpd="sng" w="1340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1270" cy="13400"/>
                <wp:effectExtent b="0" l="0" r="0" t="0"/>
                <wp:wrapTopAndBottom distB="0" distT="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20" w:orient="portrait"/>
      <w:pgMar w:bottom="280" w:top="1600" w:left="1340" w:right="1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6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64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52"/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Arial MT" w:cs="Arial MT" w:eastAsia="Arial MT" w:hAnsi="Arial M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52"/>
      <w:jc w:val="center"/>
    </w:pPr>
    <w:rPr>
      <w:rFonts w:ascii="Arial MT" w:cs="Arial MT" w:eastAsia="Arial MT" w:hAnsi="Arial MT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Microsoft Sans Serif" w:cs="Microsoft Sans Serif" w:eastAsia="Microsoft Sans Serif" w:hAnsi="Microsoft Sans Serif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80"/>
      <w:ind w:right="152"/>
      <w:jc w:val="center"/>
    </w:pPr>
    <w:rPr>
      <w:rFonts w:ascii="Arial MT" w:cs="Arial MT" w:eastAsia="Arial MT" w:hAnsi="Arial MT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900" w:right="258" w:hanging="360"/>
      <w:jc w:val="both"/>
    </w:pPr>
    <w:rPr>
      <w:rFonts w:ascii="Microsoft Sans Serif" w:cs="Microsoft Sans Serif" w:eastAsia="Microsoft Sans Serif" w:hAnsi="Microsoft Sans Serif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2zV6tcKX0/Zy00dbBfDG7d0fWQ==">CgMxLjA4AHIhMUlSQlFteVNRak16bWh2c3FTcUxkMEN2VThzX2tweDJP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2024-06-22T22:48:15Z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