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Dictionary</w:t>
      </w:r>
    </w:p>
    <w:p>
      <w:pPr>
        <w:pStyle w:val="Heading1"/>
      </w:pPr>
      <w:r>
        <w:t>Assets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Ticker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</w:tr>
      <w:tr>
        <w:tc>
          <w:tcPr>
            <w:tcW w:type="dxa" w:w="2880"/>
          </w:tcPr>
          <w:p>
            <w:r>
              <w:t>SPY</w:t>
            </w:r>
          </w:p>
        </w:tc>
        <w:tc>
          <w:tcPr>
            <w:tcW w:type="dxa" w:w="2880"/>
          </w:tcPr>
          <w:p>
            <w:r>
              <w:t>US Large Cap Equity</w:t>
            </w:r>
          </w:p>
        </w:tc>
        <w:tc>
          <w:tcPr>
            <w:tcW w:type="dxa" w:w="2880"/>
          </w:tcPr>
          <w:p>
            <w:r>
              <w:t>Equity</w:t>
            </w:r>
          </w:p>
        </w:tc>
      </w:tr>
      <w:tr>
        <w:tc>
          <w:tcPr>
            <w:tcW w:type="dxa" w:w="2880"/>
          </w:tcPr>
          <w:p>
            <w:r>
              <w:t>IWM</w:t>
            </w:r>
          </w:p>
        </w:tc>
        <w:tc>
          <w:tcPr>
            <w:tcW w:type="dxa" w:w="2880"/>
          </w:tcPr>
          <w:p>
            <w:r>
              <w:t>US Small Cap Equity</w:t>
            </w:r>
          </w:p>
        </w:tc>
        <w:tc>
          <w:tcPr>
            <w:tcW w:type="dxa" w:w="2880"/>
          </w:tcPr>
          <w:p>
            <w:r>
              <w:t>Equity</w:t>
            </w:r>
          </w:p>
        </w:tc>
      </w:tr>
      <w:tr>
        <w:tc>
          <w:tcPr>
            <w:tcW w:type="dxa" w:w="2880"/>
          </w:tcPr>
          <w:p>
            <w:r>
              <w:t>EFA</w:t>
            </w:r>
          </w:p>
        </w:tc>
        <w:tc>
          <w:tcPr>
            <w:tcW w:type="dxa" w:w="2880"/>
          </w:tcPr>
          <w:p>
            <w:r>
              <w:t>International Developed Equity</w:t>
            </w:r>
          </w:p>
        </w:tc>
        <w:tc>
          <w:tcPr>
            <w:tcW w:type="dxa" w:w="2880"/>
          </w:tcPr>
          <w:p>
            <w:r>
              <w:t>Equity</w:t>
            </w:r>
          </w:p>
        </w:tc>
      </w:tr>
      <w:tr>
        <w:tc>
          <w:tcPr>
            <w:tcW w:type="dxa" w:w="2880"/>
          </w:tcPr>
          <w:p>
            <w:r>
              <w:t>EEM</w:t>
            </w:r>
          </w:p>
        </w:tc>
        <w:tc>
          <w:tcPr>
            <w:tcW w:type="dxa" w:w="2880"/>
          </w:tcPr>
          <w:p>
            <w:r>
              <w:t>Emerging Markets Equity</w:t>
            </w:r>
          </w:p>
        </w:tc>
        <w:tc>
          <w:tcPr>
            <w:tcW w:type="dxa" w:w="2880"/>
          </w:tcPr>
          <w:p>
            <w:r>
              <w:t>Equity</w:t>
            </w:r>
          </w:p>
        </w:tc>
      </w:tr>
      <w:tr>
        <w:tc>
          <w:tcPr>
            <w:tcW w:type="dxa" w:w="2880"/>
          </w:tcPr>
          <w:p>
            <w:r>
              <w:t>AGG</w:t>
            </w:r>
          </w:p>
        </w:tc>
        <w:tc>
          <w:tcPr>
            <w:tcW w:type="dxa" w:w="2880"/>
          </w:tcPr>
          <w:p>
            <w:r>
              <w:t>US Aggregate Bonds</w:t>
            </w:r>
          </w:p>
        </w:tc>
        <w:tc>
          <w:tcPr>
            <w:tcW w:type="dxa" w:w="2880"/>
          </w:tcPr>
          <w:p>
            <w:r>
              <w:t>Fixed Income</w:t>
            </w:r>
          </w:p>
        </w:tc>
      </w:tr>
      <w:tr>
        <w:tc>
          <w:tcPr>
            <w:tcW w:type="dxa" w:w="2880"/>
          </w:tcPr>
          <w:p>
            <w:r>
              <w:t>TLT</w:t>
            </w:r>
          </w:p>
        </w:tc>
        <w:tc>
          <w:tcPr>
            <w:tcW w:type="dxa" w:w="2880"/>
          </w:tcPr>
          <w:p>
            <w:r>
              <w:t>US Long-Term Treasuries</w:t>
            </w:r>
          </w:p>
        </w:tc>
        <w:tc>
          <w:tcPr>
            <w:tcW w:type="dxa" w:w="2880"/>
          </w:tcPr>
          <w:p>
            <w:r>
              <w:t>Fixed Income</w:t>
            </w:r>
          </w:p>
        </w:tc>
      </w:tr>
      <w:tr>
        <w:tc>
          <w:tcPr>
            <w:tcW w:type="dxa" w:w="2880"/>
          </w:tcPr>
          <w:p>
            <w:r>
              <w:t>LQD</w:t>
            </w:r>
          </w:p>
        </w:tc>
        <w:tc>
          <w:tcPr>
            <w:tcW w:type="dxa" w:w="2880"/>
          </w:tcPr>
          <w:p>
            <w:r>
              <w:t>US Investment Grade Corporate Bonds</w:t>
            </w:r>
          </w:p>
        </w:tc>
        <w:tc>
          <w:tcPr>
            <w:tcW w:type="dxa" w:w="2880"/>
          </w:tcPr>
          <w:p>
            <w:r>
              <w:t>Fixed Income</w:t>
            </w:r>
          </w:p>
        </w:tc>
      </w:tr>
      <w:tr>
        <w:tc>
          <w:tcPr>
            <w:tcW w:type="dxa" w:w="2880"/>
          </w:tcPr>
          <w:p>
            <w:r>
              <w:t>HYG</w:t>
            </w:r>
          </w:p>
        </w:tc>
        <w:tc>
          <w:tcPr>
            <w:tcW w:type="dxa" w:w="2880"/>
          </w:tcPr>
          <w:p>
            <w:r>
              <w:t>US High Yield Bonds</w:t>
            </w:r>
          </w:p>
        </w:tc>
        <w:tc>
          <w:tcPr>
            <w:tcW w:type="dxa" w:w="2880"/>
          </w:tcPr>
          <w:p>
            <w:r>
              <w:t>Fixed Income</w:t>
            </w:r>
          </w:p>
        </w:tc>
      </w:tr>
      <w:tr>
        <w:tc>
          <w:tcPr>
            <w:tcW w:type="dxa" w:w="2880"/>
          </w:tcPr>
          <w:p>
            <w:r>
              <w:t>GLD</w:t>
            </w:r>
          </w:p>
        </w:tc>
        <w:tc>
          <w:tcPr>
            <w:tcW w:type="dxa" w:w="2880"/>
          </w:tcPr>
          <w:p>
            <w:r>
              <w:t>Gold</w:t>
            </w:r>
          </w:p>
        </w:tc>
        <w:tc>
          <w:tcPr>
            <w:tcW w:type="dxa" w:w="2880"/>
          </w:tcPr>
          <w:p>
            <w:r>
              <w:t>Alternatives</w:t>
            </w:r>
          </w:p>
        </w:tc>
      </w:tr>
      <w:tr>
        <w:tc>
          <w:tcPr>
            <w:tcW w:type="dxa" w:w="2880"/>
          </w:tcPr>
          <w:p>
            <w:r>
              <w:t>VNQ</w:t>
            </w:r>
          </w:p>
        </w:tc>
        <w:tc>
          <w:tcPr>
            <w:tcW w:type="dxa" w:w="2880"/>
          </w:tcPr>
          <w:p>
            <w:r>
              <w:t>US REITs</w:t>
            </w:r>
          </w:p>
        </w:tc>
        <w:tc>
          <w:tcPr>
            <w:tcW w:type="dxa" w:w="2880"/>
          </w:tcPr>
          <w:p>
            <w:r>
              <w:t>Alternatives</w:t>
            </w:r>
          </w:p>
        </w:tc>
      </w:tr>
      <w:tr>
        <w:tc>
          <w:tcPr>
            <w:tcW w:type="dxa" w:w="2880"/>
          </w:tcPr>
          <w:p>
            <w:r>
              <w:t>DBC</w:t>
            </w:r>
          </w:p>
        </w:tc>
        <w:tc>
          <w:tcPr>
            <w:tcW w:type="dxa" w:w="2880"/>
          </w:tcPr>
          <w:p>
            <w:r>
              <w:t>Commodities</w:t>
            </w:r>
          </w:p>
        </w:tc>
        <w:tc>
          <w:tcPr>
            <w:tcW w:type="dxa" w:w="2880"/>
          </w:tcPr>
          <w:p>
            <w:r>
              <w:t>Alternatives</w:t>
            </w:r>
          </w:p>
        </w:tc>
      </w:tr>
      <w:tr>
        <w:tc>
          <w:tcPr>
            <w:tcW w:type="dxa" w:w="2880"/>
          </w:tcPr>
          <w:p>
            <w:r>
              <w:t>TIP</w:t>
            </w:r>
          </w:p>
        </w:tc>
        <w:tc>
          <w:tcPr>
            <w:tcW w:type="dxa" w:w="2880"/>
          </w:tcPr>
          <w:p>
            <w:r>
              <w:t>TIPS (Inflation-Protected)</w:t>
            </w:r>
          </w:p>
        </w:tc>
        <w:tc>
          <w:tcPr>
            <w:tcW w:type="dxa" w:w="2880"/>
          </w:tcPr>
          <w:p>
            <w:r>
              <w:t>Fixed Income</w:t>
            </w:r>
          </w:p>
        </w:tc>
      </w:tr>
    </w:tbl>
    <w:p>
      <w:pPr>
        <w:pStyle w:val="Heading1"/>
      </w:pPr>
      <w:r>
        <w:t>FRED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DFF</w:t>
            </w:r>
          </w:p>
        </w:tc>
        <w:tc>
          <w:tcPr>
            <w:tcW w:type="dxa" w:w="4320"/>
          </w:tcPr>
          <w:p>
            <w:r>
              <w:t>Federal Funds Rate</w:t>
            </w:r>
          </w:p>
        </w:tc>
      </w:tr>
      <w:tr>
        <w:tc>
          <w:tcPr>
            <w:tcW w:type="dxa" w:w="4320"/>
          </w:tcPr>
          <w:p>
            <w:r>
              <w:t>DGS2</w:t>
            </w:r>
          </w:p>
        </w:tc>
        <w:tc>
          <w:tcPr>
            <w:tcW w:type="dxa" w:w="4320"/>
          </w:tcPr>
          <w:p>
            <w:r>
              <w:t>2-Year Treasury Yield</w:t>
            </w:r>
          </w:p>
        </w:tc>
      </w:tr>
      <w:tr>
        <w:tc>
          <w:tcPr>
            <w:tcW w:type="dxa" w:w="4320"/>
          </w:tcPr>
          <w:p>
            <w:r>
              <w:t>DGS10</w:t>
            </w:r>
          </w:p>
        </w:tc>
        <w:tc>
          <w:tcPr>
            <w:tcW w:type="dxa" w:w="4320"/>
          </w:tcPr>
          <w:p>
            <w:r>
              <w:t>10-Year Treasury Yield</w:t>
            </w:r>
          </w:p>
        </w:tc>
      </w:tr>
      <w:tr>
        <w:tc>
          <w:tcPr>
            <w:tcW w:type="dxa" w:w="4320"/>
          </w:tcPr>
          <w:p>
            <w:r>
              <w:t>T10Y2Y</w:t>
            </w:r>
          </w:p>
        </w:tc>
        <w:tc>
          <w:tcPr>
            <w:tcW w:type="dxa" w:w="4320"/>
          </w:tcPr>
          <w:p>
            <w:r>
              <w:t>10Y-2Y Treasury Spread</w:t>
            </w:r>
          </w:p>
        </w:tc>
      </w:tr>
      <w:tr>
        <w:tc>
          <w:tcPr>
            <w:tcW w:type="dxa" w:w="4320"/>
          </w:tcPr>
          <w:p>
            <w:r>
              <w:t>T10Y3M</w:t>
            </w:r>
          </w:p>
        </w:tc>
        <w:tc>
          <w:tcPr>
            <w:tcW w:type="dxa" w:w="4320"/>
          </w:tcPr>
          <w:p>
            <w:r>
              <w:t>10Y-3M Treasury Spread</w:t>
            </w:r>
          </w:p>
        </w:tc>
      </w:tr>
      <w:tr>
        <w:tc>
          <w:tcPr>
            <w:tcW w:type="dxa" w:w="4320"/>
          </w:tcPr>
          <w:p>
            <w:r>
              <w:t>VIXCLS</w:t>
            </w:r>
          </w:p>
        </w:tc>
        <w:tc>
          <w:tcPr>
            <w:tcW w:type="dxa" w:w="4320"/>
          </w:tcPr>
          <w:p>
            <w:r>
              <w:t>VIX</w:t>
            </w:r>
          </w:p>
        </w:tc>
      </w:tr>
      <w:tr>
        <w:tc>
          <w:tcPr>
            <w:tcW w:type="dxa" w:w="4320"/>
          </w:tcPr>
          <w:p>
            <w:r>
              <w:t>BAMLH0A0HYM2</w:t>
            </w:r>
          </w:p>
        </w:tc>
        <w:tc>
          <w:tcPr>
            <w:tcW w:type="dxa" w:w="4320"/>
          </w:tcPr>
          <w:p>
            <w:r>
              <w:t>High Yield OAS</w:t>
            </w:r>
          </w:p>
        </w:tc>
      </w:tr>
      <w:tr>
        <w:tc>
          <w:tcPr>
            <w:tcW w:type="dxa" w:w="4320"/>
          </w:tcPr>
          <w:p>
            <w:r>
              <w:t>BAMLC0A4CBBB</w:t>
            </w:r>
          </w:p>
        </w:tc>
        <w:tc>
          <w:tcPr>
            <w:tcW w:type="dxa" w:w="4320"/>
          </w:tcPr>
          <w:p>
            <w:r>
              <w:t>BBB Corporate Spread</w:t>
            </w:r>
          </w:p>
        </w:tc>
      </w:tr>
      <w:tr>
        <w:tc>
          <w:tcPr>
            <w:tcW w:type="dxa" w:w="4320"/>
          </w:tcPr>
          <w:p>
            <w:r>
              <w:t>DTWEXBGS</w:t>
            </w:r>
          </w:p>
        </w:tc>
        <w:tc>
          <w:tcPr>
            <w:tcW w:type="dxa" w:w="4320"/>
          </w:tcPr>
          <w:p>
            <w:r>
              <w:t>Trade-Weighted USD Index</w:t>
            </w:r>
          </w:p>
        </w:tc>
      </w:tr>
      <w:tr>
        <w:tc>
          <w:tcPr>
            <w:tcW w:type="dxa" w:w="4320"/>
          </w:tcPr>
          <w:p>
            <w:r>
              <w:t>UMCSENT</w:t>
            </w:r>
          </w:p>
        </w:tc>
        <w:tc>
          <w:tcPr>
            <w:tcW w:type="dxa" w:w="4320"/>
          </w:tcPr>
          <w:p>
            <w:r>
              <w:t>Consumer Sentiment (UMich)</w:t>
            </w:r>
          </w:p>
        </w:tc>
      </w:tr>
      <w:tr>
        <w:tc>
          <w:tcPr>
            <w:tcW w:type="dxa" w:w="4320"/>
          </w:tcPr>
          <w:p>
            <w:r>
              <w:t>UNRATE</w:t>
            </w:r>
          </w:p>
        </w:tc>
        <w:tc>
          <w:tcPr>
            <w:tcW w:type="dxa" w:w="4320"/>
          </w:tcPr>
          <w:p>
            <w:r>
              <w:t>Unemployment Rate</w:t>
            </w:r>
          </w:p>
        </w:tc>
      </w:tr>
      <w:tr>
        <w:tc>
          <w:tcPr>
            <w:tcW w:type="dxa" w:w="4320"/>
          </w:tcPr>
          <w:p>
            <w:r>
              <w:t>ICSA</w:t>
            </w:r>
          </w:p>
        </w:tc>
        <w:tc>
          <w:tcPr>
            <w:tcW w:type="dxa" w:w="4320"/>
          </w:tcPr>
          <w:p>
            <w:r>
              <w:t>Initial Jobless Claims</w:t>
            </w:r>
          </w:p>
        </w:tc>
      </w:tr>
      <w:tr>
        <w:tc>
          <w:tcPr>
            <w:tcW w:type="dxa" w:w="4320"/>
          </w:tcPr>
          <w:p>
            <w:r>
              <w:t>CPIAUCSL</w:t>
            </w:r>
          </w:p>
        </w:tc>
        <w:tc>
          <w:tcPr>
            <w:tcW w:type="dxa" w:w="4320"/>
          </w:tcPr>
          <w:p>
            <w:r>
              <w:t>CPI (All Urban Consumers)</w:t>
            </w:r>
          </w:p>
        </w:tc>
      </w:tr>
      <w:tr>
        <w:tc>
          <w:tcPr>
            <w:tcW w:type="dxa" w:w="4320"/>
          </w:tcPr>
          <w:p>
            <w:r>
              <w:t>T10YIE</w:t>
            </w:r>
          </w:p>
        </w:tc>
        <w:tc>
          <w:tcPr>
            <w:tcW w:type="dxa" w:w="4320"/>
          </w:tcPr>
          <w:p>
            <w:r>
              <w:t>10Y Breakeven Inflation</w:t>
            </w:r>
          </w:p>
        </w:tc>
      </w:tr>
      <w:tr>
        <w:tc>
          <w:tcPr>
            <w:tcW w:type="dxa" w:w="4320"/>
          </w:tcPr>
          <w:p>
            <w:r>
              <w:t>PPIACO</w:t>
            </w:r>
          </w:p>
        </w:tc>
        <w:tc>
          <w:tcPr>
            <w:tcW w:type="dxa" w:w="4320"/>
          </w:tcPr>
          <w:p>
            <w:r>
              <w:t>PPI (All Commodities)</w:t>
            </w:r>
          </w:p>
        </w:tc>
      </w:tr>
      <w:tr>
        <w:tc>
          <w:tcPr>
            <w:tcW w:type="dxa" w:w="4320"/>
          </w:tcPr>
          <w:p>
            <w:r>
              <w:t>M2SL</w:t>
            </w:r>
          </w:p>
        </w:tc>
        <w:tc>
          <w:tcPr>
            <w:tcW w:type="dxa" w:w="4320"/>
          </w:tcPr>
          <w:p>
            <w:r>
              <w:t>M2 Money Supply</w:t>
            </w:r>
          </w:p>
        </w:tc>
      </w:tr>
      <w:tr>
        <w:tc>
          <w:tcPr>
            <w:tcW w:type="dxa" w:w="4320"/>
          </w:tcPr>
          <w:p>
            <w:r>
              <w:t>USSLIND</w:t>
            </w:r>
          </w:p>
        </w:tc>
        <w:tc>
          <w:tcPr>
            <w:tcW w:type="dxa" w:w="4320"/>
          </w:tcPr>
          <w:p>
            <w:r>
              <w:t>Leading Economic Index</w:t>
            </w:r>
          </w:p>
        </w:tc>
      </w:tr>
      <w:tr>
        <w:tc>
          <w:tcPr>
            <w:tcW w:type="dxa" w:w="4320"/>
          </w:tcPr>
          <w:p>
            <w:r>
              <w:t>HOUST</w:t>
            </w:r>
          </w:p>
        </w:tc>
        <w:tc>
          <w:tcPr>
            <w:tcW w:type="dxa" w:w="4320"/>
          </w:tcPr>
          <w:p>
            <w:r>
              <w:t>Housing Starts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