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Methodology &amp; Results</w:t>
      </w:r>
    </w:p>
    <w:p>
      <w:r>
        <w:t>HEADLINE: Walk-Forward RF Sharpe = 0.969 (beats SPY)</w:t>
      </w:r>
    </w:p>
    <w:p>
      <w:pPr>
        <w:pStyle w:val="Heading1"/>
      </w:pPr>
      <w:r>
        <w:t>Walk-Forward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Strategy</w:t>
            </w:r>
          </w:p>
        </w:tc>
        <w:tc>
          <w:tcPr>
            <w:tcW w:type="dxa" w:w="1728"/>
          </w:tcPr>
          <w:p>
            <w:r>
              <w:t>Sharpe</w:t>
            </w:r>
          </w:p>
        </w:tc>
        <w:tc>
          <w:tcPr>
            <w:tcW w:type="dxa" w:w="1728"/>
          </w:tcPr>
          <w:p>
            <w:r>
              <w:t>Return</w:t>
            </w:r>
          </w:p>
        </w:tc>
        <w:tc>
          <w:tcPr>
            <w:tcW w:type="dxa" w:w="1728"/>
          </w:tcPr>
          <w:p>
            <w:r>
              <w:t>Vol</w:t>
            </w:r>
          </w:p>
        </w:tc>
        <w:tc>
          <w:tcPr>
            <w:tcW w:type="dxa" w:w="1728"/>
          </w:tcPr>
          <w:p>
            <w:r>
              <w:t>Max DD</w:t>
            </w:r>
          </w:p>
        </w:tc>
      </w:tr>
      <w:tr>
        <w:tc>
          <w:tcPr>
            <w:tcW w:type="dxa" w:w="1728"/>
          </w:tcPr>
          <w:p>
            <w:r>
              <w:t>WF RandomForest</w:t>
            </w:r>
          </w:p>
        </w:tc>
        <w:tc>
          <w:tcPr>
            <w:tcW w:type="dxa" w:w="1728"/>
          </w:tcPr>
          <w:p>
            <w:r>
              <w:t>0.969</w:t>
            </w:r>
          </w:p>
        </w:tc>
        <w:tc>
          <w:tcPr>
            <w:tcW w:type="dxa" w:w="1728"/>
          </w:tcPr>
          <w:p>
            <w:r>
              <w:t>+13.17%</w:t>
            </w:r>
          </w:p>
        </w:tc>
        <w:tc>
          <w:tcPr>
            <w:tcW w:type="dxa" w:w="1728"/>
          </w:tcPr>
          <w:p>
            <w:r>
              <w:t>13.59%</w:t>
            </w:r>
          </w:p>
        </w:tc>
        <w:tc>
          <w:tcPr>
            <w:tcW w:type="dxa" w:w="1728"/>
          </w:tcPr>
          <w:p>
            <w:r>
              <w:t>-12.34%</w:t>
            </w:r>
          </w:p>
        </w:tc>
      </w:tr>
      <w:tr>
        <w:tc>
          <w:tcPr>
            <w:tcW w:type="dxa" w:w="1728"/>
          </w:tcPr>
          <w:p>
            <w:r>
              <w:t>Ensemble (RF+LGBM+Lasso)</w:t>
            </w:r>
          </w:p>
        </w:tc>
        <w:tc>
          <w:tcPr>
            <w:tcW w:type="dxa" w:w="1728"/>
          </w:tcPr>
          <w:p>
            <w:r>
              <w:t>0.710</w:t>
            </w:r>
          </w:p>
        </w:tc>
        <w:tc>
          <w:tcPr>
            <w:tcW w:type="dxa" w:w="1728"/>
          </w:tcPr>
          <w:p>
            <w:r>
              <w:t>+9.27%</w:t>
            </w:r>
          </w:p>
        </w:tc>
        <w:tc>
          <w:tcPr>
            <w:tcW w:type="dxa" w:w="1728"/>
          </w:tcPr>
          <w:p>
            <w:r>
              <w:t>13.06%</w:t>
            </w:r>
          </w:p>
        </w:tc>
        <w:tc>
          <w:tcPr>
            <w:tcW w:type="dxa" w:w="1728"/>
          </w:tcPr>
          <w:p>
            <w:r>
              <w:t>-17.89%</w:t>
            </w:r>
          </w:p>
        </w:tc>
      </w:tr>
      <w:tr>
        <w:tc>
          <w:tcPr>
            <w:tcW w:type="dxa" w:w="1728"/>
          </w:tcPr>
          <w:p>
            <w:r>
              <w:t>SPY Buy &amp; Hold</w:t>
            </w:r>
          </w:p>
        </w:tc>
        <w:tc>
          <w:tcPr>
            <w:tcW w:type="dxa" w:w="1728"/>
          </w:tcPr>
          <w:p>
            <w:r>
              <w:t>0.671</w:t>
            </w:r>
          </w:p>
        </w:tc>
        <w:tc>
          <w:tcPr>
            <w:tcW w:type="dxa" w:w="1728"/>
          </w:tcPr>
          <w:p>
            <w:r>
              <w:t>+11.73%</w:t>
            </w:r>
          </w:p>
        </w:tc>
        <w:tc>
          <w:tcPr>
            <w:tcW w:type="dxa" w:w="1728"/>
          </w:tcPr>
          <w:p>
            <w:r>
              <w:t>17.49%</w:t>
            </w:r>
          </w:p>
        </w:tc>
        <w:tc>
          <w:tcPr>
            <w:tcW w:type="dxa" w:w="1728"/>
          </w:tcPr>
          <w:p>
            <w:r>
              <w:t>-22.09%</w:t>
            </w:r>
          </w:p>
        </w:tc>
      </w:tr>
      <w:tr>
        <w:tc>
          <w:tcPr>
            <w:tcW w:type="dxa" w:w="1728"/>
          </w:tcPr>
          <w:p>
            <w:r>
              <w:t>60/40</w:t>
            </w:r>
          </w:p>
        </w:tc>
        <w:tc>
          <w:tcPr>
            <w:tcW w:type="dxa" w:w="1728"/>
          </w:tcPr>
          <w:p>
            <w:r>
              <w:t>0.558</w:t>
            </w:r>
          </w:p>
        </w:tc>
        <w:tc>
          <w:tcPr>
            <w:tcW w:type="dxa" w:w="1728"/>
          </w:tcPr>
          <w:p>
            <w:r>
              <w:t>+6.44%</w:t>
            </w:r>
          </w:p>
        </w:tc>
        <w:tc>
          <w:tcPr>
            <w:tcW w:type="dxa" w:w="1728"/>
          </w:tcPr>
          <w:p>
            <w:r>
              <w:t>11.54%</w:t>
            </w:r>
          </w:p>
        </w:tc>
        <w:tc>
          <w:tcPr>
            <w:tcW w:type="dxa" w:w="1728"/>
          </w:tcPr>
          <w:p>
            <w:r>
              <w:t>-17.46%</w:t>
            </w:r>
          </w:p>
        </w:tc>
      </w:tr>
      <w:tr>
        <w:tc>
          <w:tcPr>
            <w:tcW w:type="dxa" w:w="1728"/>
          </w:tcPr>
          <w:p>
            <w:r>
              <w:t>WF Lasso</w:t>
            </w:r>
          </w:p>
        </w:tc>
        <w:tc>
          <w:tcPr>
            <w:tcW w:type="dxa" w:w="1728"/>
          </w:tcPr>
          <w:p>
            <w:r>
              <w:t>0.521</w:t>
            </w:r>
          </w:p>
        </w:tc>
        <w:tc>
          <w:tcPr>
            <w:tcW w:type="dxa" w:w="1728"/>
          </w:tcPr>
          <w:p>
            <w:r>
              <w:t>+7.62%</w:t>
            </w:r>
          </w:p>
        </w:tc>
        <w:tc>
          <w:tcPr>
            <w:tcW w:type="dxa" w:w="1728"/>
          </w:tcPr>
          <w:p>
            <w:r>
              <w:t>14.62%</w:t>
            </w:r>
          </w:p>
        </w:tc>
        <w:tc>
          <w:tcPr>
            <w:tcW w:type="dxa" w:w="1728"/>
          </w:tcPr>
          <w:p>
            <w:r>
              <w:t>-23.00%</w:t>
            </w:r>
          </w:p>
        </w:tc>
      </w:tr>
      <w:tr>
        <w:tc>
          <w:tcPr>
            <w:tcW w:type="dxa" w:w="1728"/>
          </w:tcPr>
          <w:p>
            <w:r>
              <w:t>WF LightGBM</w:t>
            </w:r>
          </w:p>
        </w:tc>
        <w:tc>
          <w:tcPr>
            <w:tcW w:type="dxa" w:w="1728"/>
          </w:tcPr>
          <w:p>
            <w:r>
              <w:t>0.498</w:t>
            </w:r>
          </w:p>
        </w:tc>
        <w:tc>
          <w:tcPr>
            <w:tcW w:type="dxa" w:w="1728"/>
          </w:tcPr>
          <w:p>
            <w:r>
              <w:t>+7.03%</w:t>
            </w:r>
          </w:p>
        </w:tc>
        <w:tc>
          <w:tcPr>
            <w:tcW w:type="dxa" w:w="1728"/>
          </w:tcPr>
          <w:p>
            <w:r>
              <w:t>14.12%</w:t>
            </w:r>
          </w:p>
        </w:tc>
        <w:tc>
          <w:tcPr>
            <w:tcW w:type="dxa" w:w="1728"/>
          </w:tcPr>
          <w:p>
            <w:r>
              <w:t>-22.21%</w:t>
            </w:r>
          </w:p>
        </w:tc>
      </w:tr>
      <w:tr>
        <w:tc>
          <w:tcPr>
            <w:tcW w:type="dxa" w:w="1728"/>
          </w:tcPr>
          <w:p>
            <w:r>
              <w:t>Equal Weight</w:t>
            </w:r>
          </w:p>
        </w:tc>
        <w:tc>
          <w:tcPr>
            <w:tcW w:type="dxa" w:w="1728"/>
          </w:tcPr>
          <w:p>
            <w:r>
              <w:t>0.202</w:t>
            </w:r>
          </w:p>
        </w:tc>
        <w:tc>
          <w:tcPr>
            <w:tcW w:type="dxa" w:w="1728"/>
          </w:tcPr>
          <w:p>
            <w:r>
              <w:t>+2.10%</w:t>
            </w:r>
          </w:p>
        </w:tc>
        <w:tc>
          <w:tcPr>
            <w:tcW w:type="dxa" w:w="1728"/>
          </w:tcPr>
          <w:p>
            <w:r>
              <w:t>10.39%</w:t>
            </w:r>
          </w:p>
        </w:tc>
        <w:tc>
          <w:tcPr>
            <w:tcW w:type="dxa" w:w="1728"/>
          </w:tcPr>
          <w:p>
            <w:r>
              <w:t>-17.49%</w:t>
            </w:r>
          </w:p>
        </w:tc>
      </w:tr>
    </w:tbl>
    <w:p>
      <w:pPr>
        <w:pStyle w:val="Heading1"/>
      </w:pPr>
      <w:r>
        <w:t>Methodology</w:t>
      </w:r>
    </w:p>
    <w:p>
      <w:r>
        <w:t>Model: RandomForest(100 trees, depth=5) with macro-only features (68)</w:t>
        <w:br/>
        <w:t>Optimization: MV lambda=2.5, maxW=0.5</w:t>
        <w:br/>
        <w:t>Retraining: Quarterly (every 63 days) on expanding window (capped 5yr)</w:t>
        <w:br/>
        <w:t>TC: 10 bps per trade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