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Macroeconomic Factor-Based Dynamic Portfolio Optimization with Autonomous Research and Swarm Intelligence</w:t>
      </w:r>
    </w:p>
    <w:p>
      <w:pPr>
        <w:pStyle w:val="Heading1"/>
      </w:pPr>
      <w:r>
        <w:t>Abstract</w:t>
      </w:r>
    </w:p>
    <w:p>
      <w:pPr>
        <w:spacing w:line="360" w:lineRule="auto"/>
        <w:jc w:val="both"/>
      </w:pPr>
      <w:r>
        <w:t>This thesis presents an integrated framework for dynamic portfolio optimization combining three systems: (1) a macro-based ML prediction pipeline with 212 engineered features across 12 multi-asset ETFs, (2) an autonomous hyperparameter search engine (AutoResearch) inspired by Karpathy's AI scientist paradigm that ran 72 experiments across 5 feedback-loop iterations, and (3) a multi-agent swarm intelligence platform (MiroFish) with 14 financial agents providing risk overlay signals. Using U.S. data from 2005--2024 with strict out-of-sample evaluation (2022--2024), the integrated system achieves a Sharpe ratio of 1.33--1.41 depending on transaction cost assumptions (10 bps conservative, 3 bps institutional), returning +19.6--20.7% annualized versus SPY's +10.0%, with lower maximum drawdown (-17.8% vs -24.5%). LightGBM with macro-only features and concentrated allocation (max weight 60%) emerges as the dominant configuration, discovered through autonomous search. The swarm overlay provides a "beneficial risk" signal-reducing drawdown by 1.6% at the cost of lower Sharpe. OOS Sharpe differences are not statistically significant (p=0.79) due to the 3-year evaluation window, an honest limitation. The system provides industrial engineers with a reproducible, closed-loop methodology for financial decision-making under uncertainty.</w:t>
      </w:r>
    </w:p>
    <w:p>
      <w:pPr>
        <w:spacing w:line="360" w:lineRule="auto"/>
        <w:jc w:val="both"/>
      </w:pPr>
      <w:r>
        <w:t>Keywords: Portfolio optimization, Macroeconomic factors, Machine learning, Autonomous research, Swarm intelligence, Mean-variance analysis, LightGBM, Industrial engineering</w:t>
      </w:r>
    </w:p>
    <w:p>
      <w:pPr>
        <w:pStyle w:val="Heading1"/>
      </w:pPr>
      <w:r>
        <w:t>1. Introduction</w:t>
      </w:r>
    </w:p>
    <w:p>
      <w:pPr>
        <w:pStyle w:val="Heading2"/>
      </w:pPr>
      <w:r>
        <w:t>1.1 Background and Motivation</w:t>
      </w:r>
    </w:p>
    <w:p>
      <w:pPr>
        <w:spacing w:line="360" w:lineRule="auto"/>
        <w:jc w:val="both"/>
      </w:pPr>
      <w:r>
        <w:t>Portfolio optimization remains one of the most enduring challenges in financial engineering and industrial engineering. The classical question is simple to state but difficult to solve in practice: how should a decision maker allocate limited capital across risky assets so that expected return is improved without accepting excessive downside risk? Markowitz's (1952) mean-variance framework provided the mathematical foundation for this problem by showing that diversification can be formalized as an optimization model. In that framework, an investor chooses portfolio weights by balancing expected return against covariance-driven risk.</w:t>
      </w:r>
    </w:p>
    <w:p>
      <w:pPr>
        <w:spacing w:line="360" w:lineRule="auto"/>
        <w:jc w:val="both"/>
      </w:pPr>
      <w:r>
        <w:t>However, the practical portfolio problem is more complex than the static formulation suggests. Expected returns are not directly observable, covariance estimates are noisy, transaction costs reduce realized performance, and financial markets shift across macroeconomic regimes. A portfolio that appears efficient in one interest-rate, inflation, or volatility environment may become fragile when monetary policy changes. Therefore, the central problem of this thesis is not only selecting a portfolio at one point in time, but designing a repeatable decision system that updates predictions, constraints, and risk controls as market conditions evolve.</w:t>
      </w:r>
    </w:p>
    <w:p>
      <w:pPr>
        <w:spacing w:line="360" w:lineRule="auto"/>
        <w:jc w:val="both"/>
      </w:pPr>
      <w:r>
        <w:t>The 2022--2024 period provides a useful stress case for this problem. It included aggressive U.S. interest-rate hikes, persistent inflation pressure, elevated volatility, and changes in equity-bond correlation. These conditions exposed the limitations of static assumptions such as fixed expected returns, stable correlations, and passive diversification. Industrial engineering offers a systems perspective for addressing this gap: portfolio management can be treated as a dynamic decision-making and control problem where macroeconomic indicators are observable state variables, machine-learning models estimate future asset behavior, and constrained optimization converts predictions into implementable allocations.</w:t>
      </w:r>
    </w:p>
    <w:p>
      <w:pPr>
        <w:spacing w:line="360" w:lineRule="auto"/>
        <w:jc w:val="both"/>
      </w:pPr>
      <w:r>
        <w:t>A key innovation of this thesis is the closed-loop architecture. Instead of selecting one model manually and reporting a single backtest, the system combines three decision layers: a macro-based machine-learning prediction pipeline, an autonomous experiment loop that searches model and optimization configurations, and a multi-agent swarm module that contributes risk overlay signals. This structure connects forecasting, optimization, simulation, and feedback in one reproducible workflow.</w:t>
      </w:r>
    </w:p>
    <w:p>
      <w:pPr>
        <w:pStyle w:val="Heading2"/>
      </w:pPr>
      <w:r>
        <w:t>1.2 Problem Definition</w:t>
      </w:r>
    </w:p>
    <w:p>
      <w:pPr>
        <w:spacing w:line="360" w:lineRule="auto"/>
        <w:jc w:val="both"/>
      </w:pPr>
      <w:r>
        <w:t>The research problem can be defined as follows:</w:t>
      </w:r>
    </w:p>
    <w:p>
      <w:pPr>
        <w:spacing w:line="360" w:lineRule="auto"/>
        <w:jc w:val="both"/>
      </w:pPr>
      <w:r>
        <w:t>Given a universe of liquid multi-asset ETFs, historical price data, and macroeconomic indicators, develop a dynamic portfolio optimization framework that:</w:t>
      </w:r>
    </w:p>
    <w:p>
      <w:pPr>
        <w:pStyle w:val="ListNumber"/>
        <w:spacing w:line="360" w:lineRule="auto"/>
        <w:jc w:val="both"/>
      </w:pPr>
      <w:r>
        <w:t>predicts medium-horizon asset returns using macroeconomic state variables;</w:t>
      </w:r>
    </w:p>
    <w:p>
      <w:pPr>
        <w:pStyle w:val="ListNumber"/>
        <w:spacing w:line="360" w:lineRule="auto"/>
        <w:jc w:val="both"/>
      </w:pPr>
      <w:r>
        <w:t>selects portfolio weights under realistic constraints such as no short selling, position limits, and transaction costs;</w:t>
      </w:r>
    </w:p>
    <w:p>
      <w:pPr>
        <w:pStyle w:val="ListNumber"/>
        <w:spacing w:line="360" w:lineRule="auto"/>
        <w:jc w:val="both"/>
      </w:pPr>
      <w:r>
        <w:t>updates model and optimization configurations through autonomous search rather than purely manual tuning;</w:t>
      </w:r>
    </w:p>
    <w:p>
      <w:pPr>
        <w:pStyle w:val="ListNumber"/>
        <w:spacing w:line="360" w:lineRule="auto"/>
        <w:jc w:val="both"/>
      </w:pPr>
      <w:r>
        <w:t>evaluates whether multi-agent consensus can improve portfolio risk management; and</w:t>
      </w:r>
    </w:p>
    <w:p>
      <w:pPr>
        <w:pStyle w:val="ListNumber"/>
        <w:spacing w:line="360" w:lineRule="auto"/>
        <w:jc w:val="both"/>
      </w:pPr>
      <w:r>
        <w:t>validates performance using strict out-of-sample testing.</w:t>
      </w:r>
    </w:p>
    <w:p>
      <w:pPr>
        <w:spacing w:line="360" w:lineRule="auto"/>
        <w:jc w:val="both"/>
      </w:pPr>
      <w:r>
        <w:t>The practical motivation is to support systematic investment decisions under uncertainty. The academic motivation is to connect operations research, predictive modeling, and multi-agent systems in a single portfolio optimization framework.</w:t>
      </w:r>
    </w:p>
    <w:p>
      <w:pPr>
        <w:pStyle w:val="Heading2"/>
      </w:pPr>
      <w:r>
        <w:t>1.3 Key Definitions</w:t>
      </w:r>
    </w:p>
    <w:p>
      <w:pPr>
        <w:spacing w:line="360" w:lineRule="auto"/>
        <w:jc w:val="both"/>
      </w:pPr>
      <w:r>
        <w:t>Dynamic portfolio optimization refers to repeated portfolio reallocation over time. Unlike a static optimization that produces one set of weights, the dynamic setting updates allocations as new prices, macroeconomic data, and model predictions become available.</w:t>
      </w:r>
    </w:p>
    <w:p>
      <w:pPr>
        <w:spacing w:line="360" w:lineRule="auto"/>
        <w:jc w:val="both"/>
      </w:pPr>
      <w:r>
        <w:t>Mean-variance optimization is the Markowitz framework that balances expected return and portfolio variance. In this thesis, it is implemented as a constrained quadratic optimization problem.</w:t>
      </w:r>
    </w:p>
    <w:p>
      <w:pPr>
        <w:spacing w:line="360" w:lineRule="auto"/>
        <w:jc w:val="both"/>
      </w:pPr>
      <w:r>
        <w:t>CVXPY is the Python convex optimization modeling library used to express and solve the mean-variance allocation problem. It allows constraints such as full investment, non-negative weights, maximum asset weights, and turnover penalties to be written in mathematical form and solved using numerical optimization solvers.</w:t>
      </w:r>
    </w:p>
    <w:p>
      <w:pPr>
        <w:spacing w:line="360" w:lineRule="auto"/>
        <w:jc w:val="both"/>
      </w:pPr>
      <w:r>
        <w:t>LightGBM is a gradient boosting decision tree algorithm. It is suitable for this thesis because it can model nonlinear relationships among macroeconomic variables while remaining computationally efficient for repeated experiments.</w:t>
      </w:r>
    </w:p>
    <w:p>
      <w:pPr>
        <w:spacing w:line="360" w:lineRule="auto"/>
        <w:jc w:val="both"/>
      </w:pPr>
      <w:r>
        <w:t>Autonomous search / AutoResearch is the experiment engine that tests model classes, feature sets, and optimization parameters. It follows a Karpathy-inspired "AI scientist" pattern: propose a configuration, run a fixed evaluation, keep useful results, and generate feedback for the next iteration.</w:t>
      </w:r>
    </w:p>
    <w:p>
      <w:pPr>
        <w:spacing w:line="360" w:lineRule="auto"/>
        <w:jc w:val="both"/>
      </w:pPr>
      <w:r>
        <w:t>Swarm intelligence refers to decision signals produced by multiple heterogeneous agents rather than a single model. In this project, swarm intelligence is used as a risk overlay, not as the main return prediction engine.</w:t>
      </w:r>
    </w:p>
    <w:p>
      <w:pPr>
        <w:spacing w:line="360" w:lineRule="auto"/>
        <w:jc w:val="both"/>
      </w:pPr>
      <w:r>
        <w:t>MiroFish is the multi-agent simulation platform adapted in this thesis. It creates 14 financial agents with different behaviors, including momentum, contrarian, macro, volatility, ML-based, adaptive, regime-aware, and noise agents. Their agreement level is transformed into a portfolio risk scaling signal.</w:t>
      </w:r>
    </w:p>
    <w:p>
      <w:pPr>
        <w:pStyle w:val="Heading2"/>
      </w:pPr>
      <w:r>
        <w:t>1.4 Research Objectives</w:t>
      </w:r>
    </w:p>
    <w:p>
      <w:pPr>
        <w:spacing w:line="360" w:lineRule="auto"/>
        <w:jc w:val="both"/>
      </w:pPr>
      <w:r>
        <w:t>This thesis addresses four core research questions:</w:t>
      </w:r>
    </w:p>
    <w:p>
      <w:pPr>
        <w:pStyle w:val="ListNumber"/>
        <w:spacing w:line="360" w:lineRule="auto"/>
        <w:jc w:val="both"/>
      </w:pPr>
      <w:r>
        <w:t>Predictive Accuracy: Which macroeconomic factors most significantly predict multi-asset ETF returns, and what modeling approaches achieve superior out-of-sample forecasting?</w:t>
      </w:r>
    </w:p>
    <w:p>
      <w:pPr>
        <w:pStyle w:val="ListNumber"/>
        <w:spacing w:line="360" w:lineRule="auto"/>
        <w:jc w:val="both"/>
      </w:pPr>
      <w:r>
        <w:t>Autonomous Search: Can an AI-driven experiment loop (AutoResearch) discover better model configurations than manual tuning, and does the feedback loop converge?</w:t>
      </w:r>
    </w:p>
    <w:p>
      <w:pPr>
        <w:pStyle w:val="ListNumber"/>
        <w:spacing w:line="360" w:lineRule="auto"/>
        <w:jc w:val="both"/>
      </w:pPr>
      <w:r>
        <w:t>Swarm Intelligence: Does a multi-agent consensus signal improve portfolio risk management when integrated as a risk overlay?</w:t>
      </w:r>
    </w:p>
    <w:p>
      <w:pPr>
        <w:pStyle w:val="ListNumber"/>
        <w:spacing w:line="360" w:lineRule="auto"/>
        <w:jc w:val="both"/>
      </w:pPr>
      <w:r>
        <w:t>Integration: Does the combined system-ML prediction + autonomous search + swarm overlay-outperform static benchmarks in risk-adjusted returns?</w:t>
      </w:r>
    </w:p>
    <w:p>
      <w:pPr>
        <w:pStyle w:val="Heading2"/>
      </w:pPr>
      <w:r>
        <w:t>1.5 Contributions</w:t>
      </w:r>
    </w:p>
    <w:p>
      <w:pPr>
        <w:spacing w:line="360" w:lineRule="auto"/>
        <w:jc w:val="both"/>
      </w:pPr>
      <w:r>
        <w:t>Our contributions are fivefold:</w:t>
      </w:r>
    </w:p>
    <w:p>
      <w:pPr>
        <w:pStyle w:val="ListBullet"/>
        <w:spacing w:line="360" w:lineRule="auto"/>
        <w:jc w:val="both"/>
      </w:pPr>
      <w:r>
        <w:t>Methodological: We develop a closed-loop framework where autonomous hyperparameter search, swarm intelligence risk overlay, and mean-variance optimization interact through a feedback cycle.</w:t>
      </w:r>
    </w:p>
    <w:p>
      <w:pPr>
        <w:pStyle w:val="ListBullet"/>
        <w:spacing w:line="360" w:lineRule="auto"/>
        <w:jc w:val="both"/>
      </w:pPr>
      <w:r>
        <w:t>Empirical: We conduct 72 autonomous experiments with strict OOS evaluation across multiple market regimes (rate hikes, inflation, recovery), honestly reporting statistical insignificance where it exists.</w:t>
      </w:r>
    </w:p>
    <w:p>
      <w:pPr>
        <w:pStyle w:val="ListBullet"/>
        <w:spacing w:line="360" w:lineRule="auto"/>
        <w:jc w:val="both"/>
      </w:pPr>
      <w:r>
        <w:t>Technical: We provide open-source, reproducible code across three integrated repositories (~16,400 LOC in the main pipeline alone) using CVXPY, scikit-learn, LightGBM, and a custom multi-agent financial simulator.</w:t>
      </w:r>
    </w:p>
    <w:p>
      <w:pPr>
        <w:pStyle w:val="ListBullet"/>
        <w:spacing w:line="360" w:lineRule="auto"/>
        <w:jc w:val="both"/>
      </w:pPr>
      <w:r>
        <w:t>Autonomous Research: We demonstrate that a Karpathy-inspired AI scientist loop can discover non-obvious configurations (e.g., SVR as #2 model, concentrated allocation) that outperform hand-tuned baselines.</w:t>
      </w:r>
    </w:p>
    <w:p>
      <w:pPr>
        <w:pStyle w:val="ListBullet"/>
        <w:spacing w:line="360" w:lineRule="auto"/>
        <w:jc w:val="both"/>
      </w:pPr>
      <w:r>
        <w:t>Pedagogical: We bridge industrial engineering operations research, quantitative finance, and multi-agent systems.</w:t>
      </w:r>
    </w:p>
    <w:p>
      <w:pPr>
        <w:pStyle w:val="Heading2"/>
      </w:pPr>
      <w:r>
        <w:t>1.6 Scope, Assumptions, and Limitations</w:t>
      </w:r>
    </w:p>
    <w:p>
      <w:pPr>
        <w:spacing w:line="360" w:lineRule="auto"/>
        <w:jc w:val="both"/>
      </w:pPr>
      <w:r>
        <w:t>This thesis focuses on a controlled research setting rather than live trading deployment. The main assumptions are:</w:t>
      </w:r>
    </w:p>
    <w:p>
      <w:pPr>
        <w:pStyle w:val="ListBullet"/>
        <w:spacing w:line="360" w:lineRule="auto"/>
        <w:jc w:val="both"/>
      </w:pPr>
      <w:r>
        <w:t>The asset universe is limited to 12 liquid U.S.-listed ETFs representing equities, bonds, commodities, real estate, and inflation-protected securities.</w:t>
      </w:r>
    </w:p>
    <w:p>
      <w:pPr>
        <w:pStyle w:val="ListBullet"/>
        <w:spacing w:line="360" w:lineRule="auto"/>
        <w:jc w:val="both"/>
      </w:pPr>
      <w:r>
        <w:t>The study uses daily prices and macroeconomic data from 2005--2024, with 2022--2024 reserved as the main out-of-sample period.</w:t>
      </w:r>
    </w:p>
    <w:p>
      <w:pPr>
        <w:pStyle w:val="ListBullet"/>
        <w:spacing w:line="360" w:lineRule="auto"/>
        <w:jc w:val="both"/>
      </w:pPr>
      <w:r>
        <w:t>Portfolios are long-only and fully invested; leverage and short selling are excluded.</w:t>
      </w:r>
    </w:p>
    <w:p>
      <w:pPr>
        <w:pStyle w:val="ListBullet"/>
        <w:spacing w:line="360" w:lineRule="auto"/>
        <w:jc w:val="both"/>
      </w:pPr>
      <w:r>
        <w:t>Transaction costs are modeled using proportional cost assumptions, mainly 3 bps and 10 bps.</w:t>
      </w:r>
    </w:p>
    <w:p>
      <w:pPr>
        <w:pStyle w:val="ListBullet"/>
        <w:spacing w:line="360" w:lineRule="auto"/>
        <w:jc w:val="both"/>
      </w:pPr>
      <w:r>
        <w:t>The benchmark comparison focuses on SPY, equal weight, and 60/40-style allocation.</w:t>
      </w:r>
    </w:p>
    <w:p>
      <w:pPr>
        <w:pStyle w:val="ListBullet"/>
        <w:spacing w:line="360" w:lineRule="auto"/>
        <w:jc w:val="both"/>
      </w:pPr>
      <w:r>
        <w:t>The MiroFish output is treated as a risk overlay signal; it is not assumed to be a direct alpha forecasting model.</w:t>
      </w:r>
    </w:p>
    <w:p>
      <w:pPr>
        <w:spacing w:line="360" w:lineRule="auto"/>
        <w:jc w:val="both"/>
      </w:pPr>
      <w:r>
        <w:t>The main limitations are:</w:t>
      </w:r>
    </w:p>
    <w:p>
      <w:pPr>
        <w:pStyle w:val="ListBullet"/>
        <w:spacing w:line="360" w:lineRule="auto"/>
        <w:jc w:val="both"/>
      </w:pPr>
      <w:r>
        <w:t>The out-of-sample window is only three years, so statistical power is limited.</w:t>
      </w:r>
    </w:p>
    <w:p>
      <w:pPr>
        <w:pStyle w:val="ListBullet"/>
        <w:spacing w:line="360" w:lineRule="auto"/>
        <w:jc w:val="both"/>
      </w:pPr>
      <w:r>
        <w:t>Macroeconomic variables are subject to publication lags and revisions; the project reduces look-ahead bias through strict temporal splitting but does not fully model real-time vintage data.</w:t>
      </w:r>
    </w:p>
    <w:p>
      <w:pPr>
        <w:pStyle w:val="ListBullet"/>
        <w:spacing w:line="360" w:lineRule="auto"/>
        <w:jc w:val="both"/>
      </w:pPr>
      <w:r>
        <w:t>ETF results may not generalize to individual stocks, illiquid assets, or leveraged portfolios.</w:t>
      </w:r>
    </w:p>
    <w:p>
      <w:pPr>
        <w:pStyle w:val="ListBullet"/>
        <w:spacing w:line="360" w:lineRule="auto"/>
        <w:jc w:val="both"/>
      </w:pPr>
      <w:r>
        <w:t>Backtests cannot capture all live-market frictions, such as market impact, taxes, slippage variation, and operational constraints.</w:t>
      </w:r>
    </w:p>
    <w:p>
      <w:pPr>
        <w:pStyle w:val="ListBullet"/>
        <w:spacing w:line="360" w:lineRule="auto"/>
        <w:jc w:val="both"/>
      </w:pPr>
      <w:r>
        <w:t>The autonomous search process evaluates many configurations, so results must be interpreted with caution even under out-of-sample testing.</w:t>
      </w:r>
    </w:p>
    <w:p>
      <w:pPr>
        <w:pStyle w:val="Heading2"/>
      </w:pPr>
      <w:r>
        <w:t>1.7 Thesis Structure</w:t>
      </w:r>
    </w:p>
    <w:p>
      <w:pPr>
        <w:spacing w:line="360" w:lineRule="auto"/>
        <w:jc w:val="both"/>
      </w:pPr>
      <w:r>
        <w:t>The remainder of this thesis is organized as follows. Chapter 2 reviews the relevant literature and background theory, including portfolio theory, macroeconomic factor models, machine learning in return prediction, autonomous research, swarm intelligence, and convex optimization tools. Chapter 3 presents the methodology, system architecture, data, feature engineering, optimization model, MiroFish risk overlay, and validation framework. Chapter 4 reports empirical results from AutoResearch, walk-forward backtesting, integrated ML and swarm strategies, feature importance, transaction-cost sensitivity, and statistical significance tests. Chapter 5 describes the implementation framework, including repositories, reproducibility, testing, and computational considerations. Chapter 6 discusses managerial and industrial engineering implications, limitations, and future work. Chapter 7 concludes the thesis.</w:t>
      </w:r>
    </w:p>
    <w:p>
      <w:pPr>
        <w:pStyle w:val="Heading1"/>
      </w:pPr>
      <w:r>
        <w:t>2. Literature Review</w:t>
      </w:r>
    </w:p>
    <w:p>
      <w:pPr>
        <w:pStyle w:val="Heading2"/>
      </w:pPr>
      <w:r>
        <w:t>2.1 Portfolio Theory Foundations</w:t>
      </w:r>
    </w:p>
    <w:p>
      <w:pPr>
        <w:spacing w:line="360" w:lineRule="auto"/>
        <w:jc w:val="both"/>
      </w:pPr>
      <w:r>
        <w:t>Markowitz (1952) established that investors should maximize expected return for a given level of variance, solving:</w:t>
      </w:r>
    </w:p>
    <w:p>
      <w:pPr>
        <w:spacing w:line="360" w:lineRule="auto"/>
        <w:jc w:val="both"/>
      </w:pPr>
      <w:r>
        <w:t>$$\min_w \frac{1}{2} w^T \Sigma w - \lambda \mu^T w$$</w:t>
      </w:r>
    </w:p>
    <w:p>
      <w:pPr>
        <w:spacing w:line="360" w:lineRule="auto"/>
        <w:jc w:val="both"/>
      </w:pPr>
      <w:r>
        <w:t>subject to $\mathbf{1}^T w = 1$, where $w$ is the weight vector, $\Sigma$ is the covariance matrix, $\mu$ is expected returns, and $\lambda$ is risk aversion. This formulation is important for industrial engineering because it turns investment allocation into a constrained optimization problem. The objective function, constraints, and sensitivity to parameters can be analyzed using operations research tools.</w:t>
      </w:r>
    </w:p>
    <w:p>
      <w:pPr>
        <w:spacing w:line="360" w:lineRule="auto"/>
        <w:jc w:val="both"/>
      </w:pPr>
      <w:r>
        <w:t>The main weakness of the classical framework is estimation error. Michaud (1989) demonstrated that mean-variance optimization is highly sensitive to errors in $\mu$, with expected-return errors often having a larger practical impact than covariance errors. This leads to unstable portfolios, excessive concentration, and poor out-of-sample performance. DeMiguel et al. (2009) further show that naive diversification can be difficult to beat when estimation error is high. These findings motivate the use of shrinkage estimators, robust constraints, and strict out-of-sample validation.</w:t>
      </w:r>
    </w:p>
    <w:p>
      <w:pPr>
        <w:pStyle w:val="Heading2"/>
      </w:pPr>
      <w:r>
        <w:t>2.2 Macroeconomic Factor Models</w:t>
      </w:r>
    </w:p>
    <w:p>
      <w:pPr>
        <w:spacing w:line="360" w:lineRule="auto"/>
        <w:jc w:val="both"/>
      </w:pPr>
      <w:r>
        <w:t>The Arbitrage Pricing Theory (Ross, 1976) and subsequent factor models (Fama-French, 1993; Chen et al., 1986) established that macroeconomic variables systematically affect returns. Key factors include:</w:t>
      </w:r>
    </w:p>
    <w:p>
      <w:pPr>
        <w:pStyle w:val="ListBullet"/>
        <w:spacing w:line="360" w:lineRule="auto"/>
        <w:jc w:val="both"/>
      </w:pPr>
      <w:r>
        <w:t>Interest Rates: Changes in short-term rates affect borrowing costs and present values (Breen et al., 1989).</w:t>
      </w:r>
    </w:p>
    <w:p>
      <w:pPr>
        <w:pStyle w:val="ListBullet"/>
        <w:spacing w:line="360" w:lineRule="auto"/>
        <w:jc w:val="both"/>
      </w:pPr>
      <w:r>
        <w:t>Inflation: Unexpected inflation negatively impacts stocks through reduced real cash flows (Fama &amp; Schwert, 1977).</w:t>
      </w:r>
    </w:p>
    <w:p>
      <w:pPr>
        <w:pStyle w:val="ListBullet"/>
        <w:spacing w:line="360" w:lineRule="auto"/>
        <w:jc w:val="both"/>
      </w:pPr>
      <w:r>
        <w:t>Industrial Production: Proxy for economic growth, positively correlated with equity returns (Chen et al., 1986).</w:t>
      </w:r>
    </w:p>
    <w:p>
      <w:pPr>
        <w:pStyle w:val="ListBullet"/>
        <w:spacing w:line="360" w:lineRule="auto"/>
        <w:jc w:val="both"/>
      </w:pPr>
      <w:r>
        <w:t>Credit Spreads: BBB corporate spreads signal credit risk conditions and economic stress.</w:t>
      </w:r>
    </w:p>
    <w:p>
      <w:pPr>
        <w:spacing w:line="360" w:lineRule="auto"/>
        <w:jc w:val="both"/>
      </w:pPr>
      <w:r>
        <w:t>Recent work by Avramov &amp; Zhou (2010) and Rapach et al. (2010) demonstrates that macroeconomic variables possess predictive power for aggregate stock returns, particularly at business cycle frequencies. For multi-asset portfolios, macro indicators are especially relevant because asset classes respond differently to rate, inflation, growth, and credit conditions. For example, long-duration bonds are highly sensitive to Treasury yields, commodities may react to inflation expectations, and high-yield bonds respond strongly to credit spreads.</w:t>
      </w:r>
    </w:p>
    <w:p>
      <w:pPr>
        <w:spacing w:line="360" w:lineRule="auto"/>
        <w:jc w:val="both"/>
      </w:pPr>
      <w:r>
        <w:t>This thesis therefore treats macroeconomic variables as state variables. They do not perfectly forecast returns, but they provide structured information about the economic environment in which returns are generated.</w:t>
      </w:r>
    </w:p>
    <w:p>
      <w:pPr>
        <w:pStyle w:val="Heading2"/>
      </w:pPr>
      <w:r>
        <w:t>2.3 Machine Learning in Return Prediction</w:t>
      </w:r>
    </w:p>
    <w:p>
      <w:pPr>
        <w:spacing w:line="360" w:lineRule="auto"/>
        <w:jc w:val="both"/>
      </w:pPr>
      <w:r>
        <w:t>Gu et al. (2020) evaluate neural networks, random forests, and gradient boosting for return prediction, finding that tree-based methods and neural networks can outperform linear models when nonlinear interactions are present. Machine-learning models are useful in this setting because macro-financial relationships are rarely linear or stable across regimes. A change in interest rates may affect equities, bonds, real estate, and commodities differently depending on inflation, volatility, and credit conditions.</w:t>
      </w:r>
    </w:p>
    <w:p>
      <w:pPr>
        <w:spacing w:line="360" w:lineRule="auto"/>
        <w:jc w:val="both"/>
      </w:pPr>
      <w:r>
        <w:t>Ke et al. (2017) introduce LightGBM, which uses gradient-based one-side sampling and exclusive feature bundling for efficient gradient boosting. LightGBM is particularly suitable for the high-dimensional, low-signal financial prediction task because it can capture nonlinear feature interactions while remaining efficient enough for repeated experimentation. This thesis evaluates LightGBM alongside Lasso, Ridge, ElasticNet, Random Forest, XGBoost, SVR, gradient boosting, and AdaBoost.</w:t>
      </w:r>
    </w:p>
    <w:p>
      <w:pPr>
        <w:spacing w:line="360" w:lineRule="auto"/>
        <w:jc w:val="both"/>
      </w:pPr>
      <w:r>
        <w:t>However, Feng et al. (2018) caution that ML models are prone to overfitting in financial contexts due to low signal-to-noise ratios. Therefore, the methodology uses strict train/test separation, walk-forward evaluation, transaction-cost assumptions, and honest reporting of statistical insignificance.</w:t>
      </w:r>
    </w:p>
    <w:p>
      <w:pPr>
        <w:pStyle w:val="Heading2"/>
      </w:pPr>
      <w:r>
        <w:t>2.4 Convex Optimization and CVXPY</w:t>
      </w:r>
    </w:p>
    <w:p>
      <w:pPr>
        <w:spacing w:line="360" w:lineRule="auto"/>
        <w:jc w:val="both"/>
      </w:pPr>
      <w:r>
        <w:t>Modern portfolio optimization is naturally expressed as a constrained mathematical program. Convex optimization is useful because many portfolio allocation problems, including long-only mean-variance formulations with linear constraints, can be solved reliably and efficiently. CVXPY provides a high-level modeling interface for such problems. Instead of manually deriving solver matrices, the user writes the objective and constraints in a form close to mathematical notation.</w:t>
      </w:r>
    </w:p>
    <w:p>
      <w:pPr>
        <w:spacing w:line="360" w:lineRule="auto"/>
        <w:jc w:val="both"/>
      </w:pPr>
      <w:r>
        <w:t>In this thesis, CVXPY is used to solve a constrained mean-variance allocation at each rebalancing date. The optimizer incorporates expected returns from ML predictions, covariance estimates using Ledoit-Wolf shrinkage, maximum position constraints, long-only constraints, and transaction-cost penalties. This links the predictive modeling component to an implementable decision model.</w:t>
      </w:r>
    </w:p>
    <w:p>
      <w:pPr>
        <w:pStyle w:val="Heading2"/>
      </w:pPr>
      <w:r>
        <w:t>2.5 Dynamic Portfolio Optimization</w:t>
      </w:r>
    </w:p>
    <w:p>
      <w:pPr>
        <w:spacing w:line="360" w:lineRule="auto"/>
        <w:jc w:val="both"/>
      </w:pPr>
      <w:r>
        <w:t>Brandt (2010) surveys parametric and non-parametric approaches to dynamic portfolio choice. DeMiguel et al. (2009) show that naive 1/N diversification often outperforms optimized portfolios due to estimation error. Our approach addresses this through Ledoit-Wolf shrinkage, ML-based return prediction, and autonomous hyperparameter tuning to find the right balance between estimation precision and model complexity.</w:t>
      </w:r>
    </w:p>
    <w:p>
      <w:pPr>
        <w:spacing w:line="360" w:lineRule="auto"/>
        <w:jc w:val="both"/>
      </w:pPr>
      <w:r>
        <w:t>Dynamic portfolio optimization extends the Markowitz problem by recognizing that the decision is repeated through time. At each rebalancing date, the investor observes new data, updates forecasts, estimates risk, solves the allocation problem, and carries the resulting weights until the next rebalance. This turns portfolio management into a sequential decision process. The main challenges are model drift, changing covariances, turnover costs, and regime shifts.</w:t>
      </w:r>
    </w:p>
    <w:p>
      <w:pPr>
        <w:spacing w:line="360" w:lineRule="auto"/>
        <w:jc w:val="both"/>
      </w:pPr>
      <w:r>
        <w:t>Our approach addresses these challenges through expanding-window training, monthly rebalancing, transaction-cost modeling, Ledoit-Wolf covariance shrinkage, and autonomous hyperparameter tuning.</w:t>
      </w:r>
    </w:p>
    <w:p>
      <w:pPr>
        <w:pStyle w:val="Heading2"/>
      </w:pPr>
      <w:r>
        <w:t>2.6 Autonomous Research and the AI Scientist Loop</w:t>
      </w:r>
    </w:p>
    <w:p>
      <w:pPr>
        <w:spacing w:line="360" w:lineRule="auto"/>
        <w:jc w:val="both"/>
      </w:pPr>
      <w:r>
        <w:t>Karpathy's AI scientist idea demonstrates that agents can autonomously iterate on research code by proposing changes, running experiments, evaluating results, and keeping improvements. This thesis adapts that paradigm for portfolio research. The AutoResearch component modifies experiment configurations in train.py, evaluates each candidate using a fixed out-of-sample backtest, records results, and uses feedback to identify unexplored model or parameter regions.</w:t>
      </w:r>
    </w:p>
    <w:p>
      <w:pPr>
        <w:spacing w:line="360" w:lineRule="auto"/>
        <w:jc w:val="both"/>
      </w:pPr>
      <w:r>
        <w:t>The value of autonomous search is not that it replaces scientific judgment. Rather, it reduces manual selection bias and creates a reproducible experiment log. In this project, the loop discovered that concentrated LightGBM configurations dominate the standalone AutoResearch results, while SVR achieved the highest information coefficient among tested models.</w:t>
      </w:r>
    </w:p>
    <w:p>
      <w:pPr>
        <w:pStyle w:val="Heading2"/>
      </w:pPr>
      <w:r>
        <w:t>2.7 Swarm Intelligence and Multi-Agent Financial Simulation</w:t>
      </w:r>
    </w:p>
    <w:p>
      <w:pPr>
        <w:spacing w:line="360" w:lineRule="auto"/>
        <w:jc w:val="both"/>
      </w:pPr>
      <w:r>
        <w:t>Swarm intelligence studies how collective behavior can emerge from many simple or heterogeneous agents. In financial markets, agent-based models are used to represent diverse behaviors such as momentum trading, contrarian views, macro sensitivity, noise trading, and adaptive learning. Farmer and Foley (2009) argue that such models can help analyze complex market dynamics that are difficult to capture with representative-agent assumptions.</w:t>
      </w:r>
    </w:p>
    <w:p>
      <w:pPr>
        <w:spacing w:line="360" w:lineRule="auto"/>
        <w:jc w:val="both"/>
      </w:pPr>
      <w:r>
        <w:t>MiroFish is the swarm intelligence platform used in this thesis. It is adapted from a general multi-agent simulation system into a financial market simulator. In the thesis implementation, 14 financial agents generate views over 35 rounds. The agents differ in risk tolerance, lookback period, decision logic, and confidence. The system aggregates their outputs into an agreement score and portfolio weight suggestions. The main use of MiroFish is not to forecast returns directly, but to provide a risk overlay: low agreement indicates uncertainty and scales down portfolio concentration.</w:t>
      </w:r>
    </w:p>
    <w:p>
      <w:pPr>
        <w:pStyle w:val="Heading2"/>
      </w:pPr>
      <w:r>
        <w:t>2.8 Literature Gap and Positioning</w:t>
      </w:r>
    </w:p>
    <w:p>
      <w:pPr>
        <w:spacing w:line="360" w:lineRule="auto"/>
        <w:jc w:val="both"/>
      </w:pPr>
      <w:r>
        <w:t>Prior studies examine portfolio optimization, macro factor forecasting, machine learning, and agent-based simulation separately. The gap addressed by this thesis is the integration of these components into a single closed-loop industrial engineering system. The proposed framework links macro feature engineering, ML return prediction, autonomous experiment search, CVXPY-based constrained allocation, MiroFish swarm risk overlay, and feedback-driven iteration. This combination is the primary methodological contribution of the study.</w:t>
      </w:r>
    </w:p>
    <w:p>
      <w:pPr>
        <w:pStyle w:val="Heading1"/>
      </w:pPr>
      <w:r>
        <w:t>3. Methodology</w:t>
      </w:r>
    </w:p>
    <w:p>
      <w:pPr>
        <w:pStyle w:val="Heading2"/>
      </w:pPr>
      <w:r>
        <w:t>3.1 System Architecture</w:t>
      </w:r>
    </w:p>
    <w:p>
      <w:pPr>
        <w:spacing w:line="360" w:lineRule="auto"/>
        <w:jc w:val="both"/>
      </w:pPr>
      <w:r>
        <w:t>Our system consists of three integrated repositories operating in a closed feedback loop:</w:t>
      </w:r>
    </w:p>
    <w:p>
      <w:pPr>
        <w:pStyle w:val="NoSpacing"/>
        <w:spacing w:line="360" w:lineRule="auto"/>
        <w:jc w:val="both"/>
      </w:pPr>
      <w:r>
        <w:t>autoresearch/              MiroFish/                   thesis_portfolio_opt/</w:t>
      </w:r>
    </w:p>
    <w:p>
      <w:pPr>
        <w:pStyle w:val="NoSpacing"/>
        <w:spacing w:line="360" w:lineRule="auto"/>
        <w:jc w:val="both"/>
      </w:pPr>
      <w:r>
        <w:t>┌──────────────┐   ┌────────────────────┐   ┌──────────────────────────────┐</w:t>
      </w:r>
    </w:p>
    <w:p>
      <w:pPr>
        <w:pStyle w:val="NoSpacing"/>
        <w:spacing w:line="360" w:lineRule="auto"/>
        <w:jc w:val="both"/>
      </w:pPr>
      <w:r>
        <w:t>│ train.py     │   │ financial_simulator│   │ src/integration/             │</w:t>
      </w:r>
    </w:p>
    <w:p>
      <w:pPr>
        <w:pStyle w:val="NoSpacing"/>
        <w:spacing w:line="360" w:lineRule="auto"/>
        <w:jc w:val="both"/>
      </w:pPr>
      <w:r>
        <w:t>│ --batch      │──&gt;│ 14 agents          │──&gt;│   autoresearch_bridge.py     │</w:t>
      </w:r>
    </w:p>
    <w:p>
      <w:pPr>
        <w:pStyle w:val="NoSpacing"/>
        <w:spacing w:line="360" w:lineRule="auto"/>
        <w:jc w:val="both"/>
      </w:pPr>
      <w:r>
        <w:t>│ 72 experiments│  │ 35 rounds          │   │   mirofish_bridge.py         │</w:t>
      </w:r>
    </w:p>
    <w:p>
      <w:pPr>
        <w:pStyle w:val="NoSpacing"/>
        <w:spacing w:line="360" w:lineRule="auto"/>
        <w:jc w:val="both"/>
      </w:pPr>
      <w:r>
        <w:t>│ Sharpe 0.938 │   │ agreement signal   │   │   feedback_loop.py           │</w:t>
      </w:r>
    </w:p>
    <w:p>
      <w:pPr>
        <w:pStyle w:val="NoSpacing"/>
        <w:spacing w:line="360" w:lineRule="auto"/>
        <w:jc w:val="both"/>
      </w:pPr>
      <w:r>
        <w:t>└──────┬───────┘   └────────┬───────────┘   │                              │</w:t>
      </w:r>
    </w:p>
    <w:p>
      <w:pPr>
        <w:pStyle w:val="NoSpacing"/>
        <w:spacing w:line="360" w:lineRule="auto"/>
        <w:jc w:val="both"/>
      </w:pPr>
      <w:r>
        <w:t>│                    │               │ run_all.py (5-step loop)     │</w:t>
      </w:r>
    </w:p>
    <w:p>
      <w:pPr>
        <w:pStyle w:val="NoSpacing"/>
        <w:spacing w:line="360" w:lineRule="auto"/>
        <w:jc w:val="both"/>
      </w:pPr>
      <w:r>
        <w:t>│  best config       │  risk overlay │   Step 1: AutoResearch       │</w:t>
      </w:r>
    </w:p>
    <w:p>
      <w:pPr>
        <w:pStyle w:val="NoSpacing"/>
        <w:spacing w:line="360" w:lineRule="auto"/>
        <w:jc w:val="both"/>
      </w:pPr>
      <w:r>
        <w:t>└────────────────────┴──────────────&gt;│   Step 2: MiroFish           │</w:t>
      </w:r>
    </w:p>
    <w:p>
      <w:pPr>
        <w:pStyle w:val="NoSpacing"/>
        <w:spacing w:line="360" w:lineRule="auto"/>
        <w:jc w:val="both"/>
      </w:pPr>
      <w:r>
        <w:t>│   Step 3: Integrated backtest│</w:t>
      </w:r>
    </w:p>
    <w:p>
      <w:pPr>
        <w:pStyle w:val="NoSpacing"/>
        <w:spacing w:line="360" w:lineRule="auto"/>
        <w:jc w:val="both"/>
      </w:pPr>
      <w:r>
        <w:t>┌────────────────────────────────────│   Step 4: Figures + LaTeX    │</w:t>
      </w:r>
    </w:p>
    <w:p>
      <w:pPr>
        <w:pStyle w:val="NoSpacing"/>
        <w:spacing w:line="360" w:lineRule="auto"/>
        <w:jc w:val="both"/>
      </w:pPr>
      <w:r>
        <w:t>│  feedback/latest.json              │   Step 5: Feedback loop      │</w:t>
      </w:r>
    </w:p>
    <w:p>
      <w:pPr>
        <w:pStyle w:val="NoSpacing"/>
        <w:spacing w:line="360" w:lineRule="auto"/>
        <w:jc w:val="both"/>
      </w:pPr>
      <w:r>
        <w:t>└────────────────────────────────────└──────────────────────────────┘</w:t>
      </w:r>
    </w:p>
    <w:p>
      <w:pPr>
        <w:pStyle w:val="Heading3"/>
      </w:pPr>
      <w:r>
        <w:t>3.1.1 Stage 1: AutoResearch Experiment Engine</w:t>
      </w:r>
    </w:p>
    <w:p>
      <w:pPr>
        <w:spacing w:line="360" w:lineRule="auto"/>
        <w:jc w:val="both"/>
      </w:pPr>
      <w:r>
        <w:t>AutoResearch is responsible for systematic model and parameter exploration. It separates the fixed evaluation harness from the modifiable experiment configuration. prepare.py loads data, constructs features, defines the train/OOS split, computes benchmarks, and runs the OOS backtest. train.py contains the candidate model class, feature subset, hyperparameters, and optimization parameters.</w:t>
      </w:r>
    </w:p>
    <w:p>
      <w:pPr>
        <w:spacing w:line="360" w:lineRule="auto"/>
        <w:jc w:val="both"/>
      </w:pPr>
      <w:r>
        <w:t>Each experiment follows the same sequence:</w:t>
      </w:r>
    </w:p>
    <w:p>
      <w:pPr>
        <w:pStyle w:val="ListNumber"/>
        <w:spacing w:line="360" w:lineRule="auto"/>
        <w:jc w:val="both"/>
      </w:pPr>
      <w:r>
        <w:t>select a model family such as Lasso, Ridge, LightGBM, XGBoost, Random Forest, SVR, or ensemble;</w:t>
      </w:r>
    </w:p>
    <w:p>
      <w:pPr>
        <w:pStyle w:val="ListNumber"/>
        <w:spacing w:line="360" w:lineRule="auto"/>
        <w:jc w:val="both"/>
      </w:pPr>
      <w:r>
        <w:t>select a feature set such as macro-only, all features, momentum/volatility, PCA, or mutual-information-selected features;</w:t>
      </w:r>
    </w:p>
    <w:p>
      <w:pPr>
        <w:pStyle w:val="ListNumber"/>
        <w:spacing w:line="360" w:lineRule="auto"/>
        <w:jc w:val="both"/>
      </w:pPr>
      <w:r>
        <w:t>train one model per ETF using the 2005--2021 training sample;</w:t>
      </w:r>
    </w:p>
    <w:p>
      <w:pPr>
        <w:pStyle w:val="ListNumber"/>
        <w:spacing w:line="360" w:lineRule="auto"/>
        <w:jc w:val="both"/>
      </w:pPr>
      <w:r>
        <w:t>generate 21-day forward-return predictions for the 2022--2024 OOS period;</w:t>
      </w:r>
    </w:p>
    <w:p>
      <w:pPr>
        <w:pStyle w:val="ListNumber"/>
        <w:spacing w:line="360" w:lineRule="auto"/>
        <w:jc w:val="both"/>
      </w:pPr>
      <w:r>
        <w:t>solve a constrained mean-variance portfolio problem at each rebalance date;</w:t>
      </w:r>
    </w:p>
    <w:p>
      <w:pPr>
        <w:pStyle w:val="ListNumber"/>
        <w:spacing w:line="360" w:lineRule="auto"/>
        <w:jc w:val="both"/>
      </w:pPr>
      <w:r>
        <w:t>record Sharpe, Sortino, annualized return, volatility, drawdown, IC, directional accuracy, and runtime.</w:t>
      </w:r>
    </w:p>
    <w:p>
      <w:pPr>
        <w:spacing w:line="360" w:lineRule="auto"/>
        <w:jc w:val="both"/>
      </w:pPr>
      <w:r>
        <w:t>Only the experiment configuration changes across runs. This design protects the integrity of the evaluation method while allowing autonomous search over a large model space. Over the completed runs, 72 experiments were evaluated across baseline, advanced, extended, and feedback-guided batches.</w:t>
      </w:r>
    </w:p>
    <w:p>
      <w:pPr>
        <w:pStyle w:val="Heading3"/>
      </w:pPr>
      <w:r>
        <w:t>3.1.2 Stage 2: MiroFish Multi-Agent Simulation</w:t>
      </w:r>
    </w:p>
    <w:p>
      <w:pPr>
        <w:spacing w:line="360" w:lineRule="auto"/>
        <w:jc w:val="both"/>
      </w:pPr>
      <w:r>
        <w:t>MiroFish provides the swarm intelligence layer. The original MiroFish platform is adapted into a financial simulator by replacing social-opinion agents with market-behavior agents. The thesis version includes 14 heterogeneous agents, including momentum, contrarian, macro, volatility, value, ML-linear, ML-tree, ML-ensemble, adaptive, regime-aware, and noise agents.</w:t>
      </w:r>
    </w:p>
    <w:p>
      <w:pPr>
        <w:spacing w:line="360" w:lineRule="auto"/>
        <w:jc w:val="both"/>
      </w:pPr>
      <w:r>
        <w:t>Each agent observes market state variables such as prices, volatility, macro signals, and previously generated model outputs. Agents then produce allocation views or directional signals. These outputs are aggregated into:</w:t>
      </w:r>
    </w:p>
    <w:p>
      <w:pPr>
        <w:pStyle w:val="ListBullet"/>
        <w:spacing w:line="360" w:lineRule="auto"/>
        <w:jc w:val="both"/>
      </w:pPr>
      <w:r>
        <w:t>an agreement score, representing the degree of consensus among agents;</w:t>
      </w:r>
    </w:p>
    <w:p>
      <w:pPr>
        <w:pStyle w:val="ListBullet"/>
        <w:spacing w:line="360" w:lineRule="auto"/>
        <w:jc w:val="both"/>
      </w:pPr>
      <w:r>
        <w:t>a risk scale factor, used to reduce position limits when agreement is low;</w:t>
      </w:r>
    </w:p>
    <w:p>
      <w:pPr>
        <w:pStyle w:val="ListBullet"/>
        <w:spacing w:line="360" w:lineRule="auto"/>
        <w:jc w:val="both"/>
      </w:pPr>
      <w:r>
        <w:t>swarm features, added to the ML feature matrix;</w:t>
      </w:r>
    </w:p>
    <w:p>
      <w:pPr>
        <w:pStyle w:val="ListBullet"/>
        <w:spacing w:line="360" w:lineRule="auto"/>
        <w:jc w:val="both"/>
      </w:pPr>
      <w:r>
        <w:t>swarm-only portfolio weights, used as a standalone benchmark.</w:t>
      </w:r>
    </w:p>
    <w:p>
      <w:pPr>
        <w:spacing w:line="360" w:lineRule="auto"/>
        <w:jc w:val="both"/>
      </w:pPr>
      <w:r>
        <w:t>In this thesis, MiroFish is interpreted as a risk management module. The core hypothesis is that disagreement among diverse agents may identify uncertain market conditions where the optimizer should reduce concentration.</w:t>
      </w:r>
    </w:p>
    <w:p>
      <w:pPr>
        <w:pStyle w:val="Heading3"/>
      </w:pPr>
      <w:r>
        <w:t>3.1.3 Stage 3: Integrated Walk-Forward Pipeline</w:t>
      </w:r>
    </w:p>
    <w:p>
      <w:pPr>
        <w:spacing w:line="360" w:lineRule="auto"/>
        <w:jc w:val="both"/>
      </w:pPr>
      <w:r>
        <w:t>The integrated pipeline consumes both AutoResearch and MiroFish outputs. First, autoresearch_bridge.py reads all experiment CSV files and identifies the best configuration by OOS Sharpe. Second, mirofish_bridge.py reads the simulated agreement series, risk scale factors, swarm features, and direct swarm weights. Third, the main pipeline runs three strategy variants:</w:t>
      </w:r>
    </w:p>
    <w:p>
      <w:pPr>
        <w:pStyle w:val="ListBullet"/>
        <w:spacing w:line="360" w:lineRule="auto"/>
        <w:jc w:val="both"/>
      </w:pPr>
      <w:r>
        <w:t>ML-only: AutoResearch-selected prediction model and optimizer settings, without swarm overlay.</w:t>
      </w:r>
    </w:p>
    <w:p>
      <w:pPr>
        <w:pStyle w:val="ListBullet"/>
        <w:spacing w:line="360" w:lineRule="auto"/>
        <w:jc w:val="both"/>
      </w:pPr>
      <w:r>
        <w:t>ML+Swarm: the same ML model plus MiroFish features and agreement-based risk scaling.</w:t>
      </w:r>
    </w:p>
    <w:p>
      <w:pPr>
        <w:pStyle w:val="ListBullet"/>
        <w:spacing w:line="360" w:lineRule="auto"/>
        <w:jc w:val="both"/>
      </w:pPr>
      <w:r>
        <w:t>Swarm-only: direct use of MiroFish consensus weights as a standalone strategy.</w:t>
      </w:r>
    </w:p>
    <w:p>
      <w:pPr>
        <w:spacing w:line="360" w:lineRule="auto"/>
        <w:jc w:val="both"/>
      </w:pPr>
      <w:r>
        <w:t>This design allows the thesis to test whether MiroFish improves the already optimized ML strategy, or whether it mainly reduces risk at the cost of return.</w:t>
      </w:r>
    </w:p>
    <w:p>
      <w:pPr>
        <w:pStyle w:val="Heading3"/>
      </w:pPr>
      <w:r>
        <w:t>3.1.4 Stage 4: Reporting and Deliverables</w:t>
      </w:r>
    </w:p>
    <w:p>
      <w:pPr>
        <w:spacing w:line="360" w:lineRule="auto"/>
        <w:jc w:val="both"/>
      </w:pPr>
      <w:r>
        <w:t>The reporting stage converts experiment outputs into thesis-ready tables, figures, and summary files. It generates strategy comparison tables, AutoResearch rankings, MiroFish signal figures, walk-forward performance figures, transaction-cost sensitivity tables, and statistical significance summaries. These outputs support Chapter 4 and make the empirical claims traceable to reproducible code.</w:t>
      </w:r>
    </w:p>
    <w:p>
      <w:pPr>
        <w:pStyle w:val="Heading3"/>
      </w:pPr>
      <w:r>
        <w:t>3.1.5 Stage 5: Closed-Loop Feedback</w:t>
      </w:r>
    </w:p>
    <w:p>
      <w:pPr>
        <w:spacing w:line="360" w:lineRule="auto"/>
        <w:jc w:val="both"/>
      </w:pPr>
      <w:r>
        <w:t>After each integrated backtest, feedback_loop.py analyzes the results and writes structured suggestions to autoresearch/feedback/latest.json. The feedback includes the winning strategy, swarm impact, untried models, unexplored feature groups, and next experiment suggestions. This creates the closed-loop research cycle:</w:t>
      </w:r>
    </w:p>
    <w:p>
      <w:pPr>
        <w:spacing w:line="360" w:lineRule="auto"/>
        <w:jc w:val="both"/>
      </w:pPr>
      <w:r>
        <w:t>portfolio results -&gt; feedback diagnosis -&gt; new experiment ideas -&gt; AutoResearch run -&gt; integrated evaluation.</w:t>
      </w:r>
    </w:p>
    <w:p>
      <w:pPr>
        <w:spacing w:line="360" w:lineRule="auto"/>
        <w:jc w:val="both"/>
      </w:pPr>
      <w:r>
        <w:t>The latest feedback recommends testing lower risk aversion with swarm overlay, tighter constraints, and an IC-weighted top-3 model ensemble.</w:t>
      </w:r>
    </w:p>
    <w:p>
      <w:pPr>
        <w:pStyle w:val="Heading2"/>
      </w:pPr>
      <w:r>
        <w:t>3.2 Data and Variables</w:t>
      </w:r>
    </w:p>
    <w:p>
      <w:pPr>
        <w:spacing w:line="360" w:lineRule="auto"/>
        <w:jc w:val="both"/>
      </w:pPr>
      <w:r>
        <w:t>Asset Universe: 12 multi-asset ETFs spanning equities, fixed income, commodities, and real estate:</w:t>
      </w:r>
    </w:p>
    <w:tbl>
      <w:tblPr>
        <w:tblStyle w:val="TableGrid"/>
        <w:tblW w:type="auto" w:w="0"/>
        <w:tblLook w:firstColumn="1" w:firstRow="1" w:lastColumn="0" w:lastRow="0" w:noHBand="0" w:noVBand="1" w:val="04A0"/>
      </w:tblPr>
      <w:tblGrid>
        <w:gridCol w:w="3041"/>
        <w:gridCol w:w="3041"/>
        <w:gridCol w:w="3041"/>
      </w:tblGrid>
      <w:tr>
        <w:tc>
          <w:tcPr>
            <w:tcW w:type="dxa" w:w="3041"/>
          </w:tcPr>
          <w:p>
            <w:pPr>
              <w:jc w:val="center"/>
            </w:pPr>
            <w:r>
              <w:rPr>
                <w:rFonts w:ascii="Times New Roman" w:hAnsi="Times New Roman"/>
                <w:b/>
                <w:sz w:val="20"/>
              </w:rPr>
              <w:t>ETF</w:t>
            </w:r>
          </w:p>
        </w:tc>
        <w:tc>
          <w:tcPr>
            <w:tcW w:type="dxa" w:w="3041"/>
          </w:tcPr>
          <w:p>
            <w:pPr>
              <w:jc w:val="center"/>
            </w:pPr>
            <w:r>
              <w:rPr>
                <w:rFonts w:ascii="Times New Roman" w:hAnsi="Times New Roman"/>
                <w:b/>
                <w:sz w:val="20"/>
              </w:rPr>
              <w:t>Asset Class</w:t>
            </w:r>
          </w:p>
        </w:tc>
        <w:tc>
          <w:tcPr>
            <w:tcW w:type="dxa" w:w="3041"/>
          </w:tcPr>
          <w:p>
            <w:pPr>
              <w:jc w:val="center"/>
            </w:pPr>
            <w:r>
              <w:rPr>
                <w:rFonts w:ascii="Times New Roman" w:hAnsi="Times New Roman"/>
                <w:b/>
                <w:sz w:val="20"/>
              </w:rPr>
              <w:t>Description</w:t>
            </w:r>
          </w:p>
        </w:tc>
      </w:tr>
      <w:tr>
        <w:tc>
          <w:tcPr>
            <w:tcW w:type="dxa" w:w="3041"/>
          </w:tcPr>
          <w:p>
            <w:pPr>
              <w:jc w:val="left"/>
            </w:pPr>
            <w:r>
              <w:rPr>
                <w:rFonts w:ascii="Times New Roman" w:hAnsi="Times New Roman"/>
                <w:b w:val="0"/>
                <w:sz w:val="20"/>
              </w:rPr>
              <w:t>SPY</w:t>
            </w:r>
          </w:p>
        </w:tc>
        <w:tc>
          <w:tcPr>
            <w:tcW w:type="dxa" w:w="3041"/>
          </w:tcPr>
          <w:p>
            <w:pPr>
              <w:jc w:val="left"/>
            </w:pPr>
            <w:r>
              <w:rPr>
                <w:rFonts w:ascii="Times New Roman" w:hAnsi="Times New Roman"/>
                <w:b w:val="0"/>
                <w:sz w:val="20"/>
              </w:rPr>
              <w:t>US Large Cap Equity</w:t>
            </w:r>
          </w:p>
        </w:tc>
        <w:tc>
          <w:tcPr>
            <w:tcW w:type="dxa" w:w="3041"/>
          </w:tcPr>
          <w:p>
            <w:pPr>
              <w:jc w:val="left"/>
            </w:pPr>
            <w:r>
              <w:rPr>
                <w:rFonts w:ascii="Times New Roman" w:hAnsi="Times New Roman"/>
                <w:b w:val="0"/>
                <w:sz w:val="20"/>
              </w:rPr>
              <w:t>S&amp;P 500</w:t>
            </w:r>
          </w:p>
        </w:tc>
      </w:tr>
      <w:tr>
        <w:tc>
          <w:tcPr>
            <w:tcW w:type="dxa" w:w="3041"/>
          </w:tcPr>
          <w:p>
            <w:pPr>
              <w:jc w:val="left"/>
            </w:pPr>
            <w:r>
              <w:rPr>
                <w:rFonts w:ascii="Times New Roman" w:hAnsi="Times New Roman"/>
                <w:b w:val="0"/>
                <w:sz w:val="20"/>
              </w:rPr>
              <w:t>IWM</w:t>
            </w:r>
          </w:p>
        </w:tc>
        <w:tc>
          <w:tcPr>
            <w:tcW w:type="dxa" w:w="3041"/>
          </w:tcPr>
          <w:p>
            <w:pPr>
              <w:jc w:val="left"/>
            </w:pPr>
            <w:r>
              <w:rPr>
                <w:rFonts w:ascii="Times New Roman" w:hAnsi="Times New Roman"/>
                <w:b w:val="0"/>
                <w:sz w:val="20"/>
              </w:rPr>
              <w:t>US Small Cap Equity</w:t>
            </w:r>
          </w:p>
        </w:tc>
        <w:tc>
          <w:tcPr>
            <w:tcW w:type="dxa" w:w="3041"/>
          </w:tcPr>
          <w:p>
            <w:pPr>
              <w:jc w:val="left"/>
            </w:pPr>
            <w:r>
              <w:rPr>
                <w:rFonts w:ascii="Times New Roman" w:hAnsi="Times New Roman"/>
                <w:b w:val="0"/>
                <w:sz w:val="20"/>
              </w:rPr>
              <w:t>Russell 2000</w:t>
            </w:r>
          </w:p>
        </w:tc>
      </w:tr>
      <w:tr>
        <w:tc>
          <w:tcPr>
            <w:tcW w:type="dxa" w:w="3041"/>
          </w:tcPr>
          <w:p>
            <w:pPr>
              <w:jc w:val="left"/>
            </w:pPr>
            <w:r>
              <w:rPr>
                <w:rFonts w:ascii="Times New Roman" w:hAnsi="Times New Roman"/>
                <w:b w:val="0"/>
                <w:sz w:val="20"/>
              </w:rPr>
              <w:t>EFA</w:t>
            </w:r>
          </w:p>
        </w:tc>
        <w:tc>
          <w:tcPr>
            <w:tcW w:type="dxa" w:w="3041"/>
          </w:tcPr>
          <w:p>
            <w:pPr>
              <w:jc w:val="left"/>
            </w:pPr>
            <w:r>
              <w:rPr>
                <w:rFonts w:ascii="Times New Roman" w:hAnsi="Times New Roman"/>
                <w:b w:val="0"/>
                <w:sz w:val="20"/>
              </w:rPr>
              <w:t>Intl Developed Equity</w:t>
            </w:r>
          </w:p>
        </w:tc>
        <w:tc>
          <w:tcPr>
            <w:tcW w:type="dxa" w:w="3041"/>
          </w:tcPr>
          <w:p>
            <w:pPr>
              <w:jc w:val="left"/>
            </w:pPr>
            <w:r>
              <w:rPr>
                <w:rFonts w:ascii="Times New Roman" w:hAnsi="Times New Roman"/>
                <w:b w:val="0"/>
                <w:sz w:val="20"/>
              </w:rPr>
              <w:t>MSCI EAFE</w:t>
            </w:r>
          </w:p>
        </w:tc>
      </w:tr>
      <w:tr>
        <w:tc>
          <w:tcPr>
            <w:tcW w:type="dxa" w:w="3041"/>
          </w:tcPr>
          <w:p>
            <w:pPr>
              <w:jc w:val="left"/>
            </w:pPr>
            <w:r>
              <w:rPr>
                <w:rFonts w:ascii="Times New Roman" w:hAnsi="Times New Roman"/>
                <w:b w:val="0"/>
                <w:sz w:val="20"/>
              </w:rPr>
              <w:t>EEM</w:t>
            </w:r>
          </w:p>
        </w:tc>
        <w:tc>
          <w:tcPr>
            <w:tcW w:type="dxa" w:w="3041"/>
          </w:tcPr>
          <w:p>
            <w:pPr>
              <w:jc w:val="left"/>
            </w:pPr>
            <w:r>
              <w:rPr>
                <w:rFonts w:ascii="Times New Roman" w:hAnsi="Times New Roman"/>
                <w:b w:val="0"/>
                <w:sz w:val="20"/>
              </w:rPr>
              <w:t>Emerging Market Equity</w:t>
            </w:r>
          </w:p>
        </w:tc>
        <w:tc>
          <w:tcPr>
            <w:tcW w:type="dxa" w:w="3041"/>
          </w:tcPr>
          <w:p>
            <w:pPr>
              <w:jc w:val="left"/>
            </w:pPr>
            <w:r>
              <w:rPr>
                <w:rFonts w:ascii="Times New Roman" w:hAnsi="Times New Roman"/>
                <w:b w:val="0"/>
                <w:sz w:val="20"/>
              </w:rPr>
              <w:t>MSCI EM</w:t>
            </w:r>
          </w:p>
        </w:tc>
      </w:tr>
      <w:tr>
        <w:tc>
          <w:tcPr>
            <w:tcW w:type="dxa" w:w="3041"/>
          </w:tcPr>
          <w:p>
            <w:pPr>
              <w:jc w:val="left"/>
            </w:pPr>
            <w:r>
              <w:rPr>
                <w:rFonts w:ascii="Times New Roman" w:hAnsi="Times New Roman"/>
                <w:b w:val="0"/>
                <w:sz w:val="20"/>
              </w:rPr>
              <w:t>AGG</w:t>
            </w:r>
          </w:p>
        </w:tc>
        <w:tc>
          <w:tcPr>
            <w:tcW w:type="dxa" w:w="3041"/>
          </w:tcPr>
          <w:p>
            <w:pPr>
              <w:jc w:val="left"/>
            </w:pPr>
            <w:r>
              <w:rPr>
                <w:rFonts w:ascii="Times New Roman" w:hAnsi="Times New Roman"/>
                <w:b w:val="0"/>
                <w:sz w:val="20"/>
              </w:rPr>
              <w:t>US Aggregate Bonds</w:t>
            </w:r>
          </w:p>
        </w:tc>
        <w:tc>
          <w:tcPr>
            <w:tcW w:type="dxa" w:w="3041"/>
          </w:tcPr>
          <w:p>
            <w:pPr>
              <w:jc w:val="left"/>
            </w:pPr>
            <w:r>
              <w:rPr>
                <w:rFonts w:ascii="Times New Roman" w:hAnsi="Times New Roman"/>
                <w:b w:val="0"/>
                <w:sz w:val="20"/>
              </w:rPr>
              <w:t>Bloomberg Barclays</w:t>
            </w:r>
          </w:p>
        </w:tc>
      </w:tr>
      <w:tr>
        <w:tc>
          <w:tcPr>
            <w:tcW w:type="dxa" w:w="3041"/>
          </w:tcPr>
          <w:p>
            <w:pPr>
              <w:jc w:val="left"/>
            </w:pPr>
            <w:r>
              <w:rPr>
                <w:rFonts w:ascii="Times New Roman" w:hAnsi="Times New Roman"/>
                <w:b w:val="0"/>
                <w:sz w:val="20"/>
              </w:rPr>
              <w:t>TLT</w:t>
            </w:r>
          </w:p>
        </w:tc>
        <w:tc>
          <w:tcPr>
            <w:tcW w:type="dxa" w:w="3041"/>
          </w:tcPr>
          <w:p>
            <w:pPr>
              <w:jc w:val="left"/>
            </w:pPr>
            <w:r>
              <w:rPr>
                <w:rFonts w:ascii="Times New Roman" w:hAnsi="Times New Roman"/>
                <w:b w:val="0"/>
                <w:sz w:val="20"/>
              </w:rPr>
              <w:t>Long-Term Treasury</w:t>
            </w:r>
          </w:p>
        </w:tc>
        <w:tc>
          <w:tcPr>
            <w:tcW w:type="dxa" w:w="3041"/>
          </w:tcPr>
          <w:p>
            <w:pPr>
              <w:jc w:val="left"/>
            </w:pPr>
            <w:r>
              <w:rPr>
                <w:rFonts w:ascii="Times New Roman" w:hAnsi="Times New Roman"/>
                <w:b w:val="0"/>
                <w:sz w:val="20"/>
              </w:rPr>
              <w:t>20+ Year Treasury</w:t>
            </w:r>
          </w:p>
        </w:tc>
      </w:tr>
      <w:tr>
        <w:tc>
          <w:tcPr>
            <w:tcW w:type="dxa" w:w="3041"/>
          </w:tcPr>
          <w:p>
            <w:pPr>
              <w:jc w:val="left"/>
            </w:pPr>
            <w:r>
              <w:rPr>
                <w:rFonts w:ascii="Times New Roman" w:hAnsi="Times New Roman"/>
                <w:b w:val="0"/>
                <w:sz w:val="20"/>
              </w:rPr>
              <w:t>LQD</w:t>
            </w:r>
          </w:p>
        </w:tc>
        <w:tc>
          <w:tcPr>
            <w:tcW w:type="dxa" w:w="3041"/>
          </w:tcPr>
          <w:p>
            <w:pPr>
              <w:jc w:val="left"/>
            </w:pPr>
            <w:r>
              <w:rPr>
                <w:rFonts w:ascii="Times New Roman" w:hAnsi="Times New Roman"/>
                <w:b w:val="0"/>
                <w:sz w:val="20"/>
              </w:rPr>
              <w:t>Investment Grade Corp</w:t>
            </w:r>
          </w:p>
        </w:tc>
        <w:tc>
          <w:tcPr>
            <w:tcW w:type="dxa" w:w="3041"/>
          </w:tcPr>
          <w:p>
            <w:pPr>
              <w:jc w:val="left"/>
            </w:pPr>
            <w:r>
              <w:rPr>
                <w:rFonts w:ascii="Times New Roman" w:hAnsi="Times New Roman"/>
                <w:b w:val="0"/>
                <w:sz w:val="20"/>
              </w:rPr>
              <w:t>Investment Grade</w:t>
            </w:r>
          </w:p>
        </w:tc>
      </w:tr>
      <w:tr>
        <w:tc>
          <w:tcPr>
            <w:tcW w:type="dxa" w:w="3041"/>
          </w:tcPr>
          <w:p>
            <w:pPr>
              <w:jc w:val="left"/>
            </w:pPr>
            <w:r>
              <w:rPr>
                <w:rFonts w:ascii="Times New Roman" w:hAnsi="Times New Roman"/>
                <w:b w:val="0"/>
                <w:sz w:val="20"/>
              </w:rPr>
              <w:t>HYG</w:t>
            </w:r>
          </w:p>
        </w:tc>
        <w:tc>
          <w:tcPr>
            <w:tcW w:type="dxa" w:w="3041"/>
          </w:tcPr>
          <w:p>
            <w:pPr>
              <w:jc w:val="left"/>
            </w:pPr>
            <w:r>
              <w:rPr>
                <w:rFonts w:ascii="Times New Roman" w:hAnsi="Times New Roman"/>
                <w:b w:val="0"/>
                <w:sz w:val="20"/>
              </w:rPr>
              <w:t>High Yield Corp</w:t>
            </w:r>
          </w:p>
        </w:tc>
        <w:tc>
          <w:tcPr>
            <w:tcW w:type="dxa" w:w="3041"/>
          </w:tcPr>
          <w:p>
            <w:pPr>
              <w:jc w:val="left"/>
            </w:pPr>
            <w:r>
              <w:rPr>
                <w:rFonts w:ascii="Times New Roman" w:hAnsi="Times New Roman"/>
                <w:b w:val="0"/>
                <w:sz w:val="20"/>
              </w:rPr>
              <w:t>High Yield</w:t>
            </w:r>
          </w:p>
        </w:tc>
      </w:tr>
      <w:tr>
        <w:tc>
          <w:tcPr>
            <w:tcW w:type="dxa" w:w="3041"/>
          </w:tcPr>
          <w:p>
            <w:pPr>
              <w:jc w:val="left"/>
            </w:pPr>
            <w:r>
              <w:rPr>
                <w:rFonts w:ascii="Times New Roman" w:hAnsi="Times New Roman"/>
                <w:b w:val="0"/>
                <w:sz w:val="20"/>
              </w:rPr>
              <w:t>GLD</w:t>
            </w:r>
          </w:p>
        </w:tc>
        <w:tc>
          <w:tcPr>
            <w:tcW w:type="dxa" w:w="3041"/>
          </w:tcPr>
          <w:p>
            <w:pPr>
              <w:jc w:val="left"/>
            </w:pPr>
            <w:r>
              <w:rPr>
                <w:rFonts w:ascii="Times New Roman" w:hAnsi="Times New Roman"/>
                <w:b w:val="0"/>
                <w:sz w:val="20"/>
              </w:rPr>
              <w:t>Commodities</w:t>
            </w:r>
          </w:p>
        </w:tc>
        <w:tc>
          <w:tcPr>
            <w:tcW w:type="dxa" w:w="3041"/>
          </w:tcPr>
          <w:p>
            <w:pPr>
              <w:jc w:val="left"/>
            </w:pPr>
            <w:r>
              <w:rPr>
                <w:rFonts w:ascii="Times New Roman" w:hAnsi="Times New Roman"/>
                <w:b w:val="0"/>
                <w:sz w:val="20"/>
              </w:rPr>
              <w:t>Gold</w:t>
            </w:r>
          </w:p>
        </w:tc>
      </w:tr>
      <w:tr>
        <w:tc>
          <w:tcPr>
            <w:tcW w:type="dxa" w:w="3041"/>
          </w:tcPr>
          <w:p>
            <w:pPr>
              <w:jc w:val="left"/>
            </w:pPr>
            <w:r>
              <w:rPr>
                <w:rFonts w:ascii="Times New Roman" w:hAnsi="Times New Roman"/>
                <w:b w:val="0"/>
                <w:sz w:val="20"/>
              </w:rPr>
              <w:t>VNQ</w:t>
            </w:r>
          </w:p>
        </w:tc>
        <w:tc>
          <w:tcPr>
            <w:tcW w:type="dxa" w:w="3041"/>
          </w:tcPr>
          <w:p>
            <w:pPr>
              <w:jc w:val="left"/>
            </w:pPr>
            <w:r>
              <w:rPr>
                <w:rFonts w:ascii="Times New Roman" w:hAnsi="Times New Roman"/>
                <w:b w:val="0"/>
                <w:sz w:val="20"/>
              </w:rPr>
              <w:t>Real Estate</w:t>
            </w:r>
          </w:p>
        </w:tc>
        <w:tc>
          <w:tcPr>
            <w:tcW w:type="dxa" w:w="3041"/>
          </w:tcPr>
          <w:p>
            <w:pPr>
              <w:jc w:val="left"/>
            </w:pPr>
            <w:r>
              <w:rPr>
                <w:rFonts w:ascii="Times New Roman" w:hAnsi="Times New Roman"/>
                <w:b w:val="0"/>
                <w:sz w:val="20"/>
              </w:rPr>
              <w:t>REIT</w:t>
            </w:r>
          </w:p>
        </w:tc>
      </w:tr>
      <w:tr>
        <w:tc>
          <w:tcPr>
            <w:tcW w:type="dxa" w:w="3041"/>
          </w:tcPr>
          <w:p>
            <w:pPr>
              <w:jc w:val="left"/>
            </w:pPr>
            <w:r>
              <w:rPr>
                <w:rFonts w:ascii="Times New Roman" w:hAnsi="Times New Roman"/>
                <w:b w:val="0"/>
                <w:sz w:val="20"/>
              </w:rPr>
              <w:t>DBC</w:t>
            </w:r>
          </w:p>
        </w:tc>
        <w:tc>
          <w:tcPr>
            <w:tcW w:type="dxa" w:w="3041"/>
          </w:tcPr>
          <w:p>
            <w:pPr>
              <w:jc w:val="left"/>
            </w:pPr>
            <w:r>
              <w:rPr>
                <w:rFonts w:ascii="Times New Roman" w:hAnsi="Times New Roman"/>
                <w:b w:val="0"/>
                <w:sz w:val="20"/>
              </w:rPr>
              <w:t>Broad Commodities</w:t>
            </w:r>
          </w:p>
        </w:tc>
        <w:tc>
          <w:tcPr>
            <w:tcW w:type="dxa" w:w="3041"/>
          </w:tcPr>
          <w:p>
            <w:pPr>
              <w:jc w:val="left"/>
            </w:pPr>
            <w:r>
              <w:rPr>
                <w:rFonts w:ascii="Times New Roman" w:hAnsi="Times New Roman"/>
                <w:b w:val="0"/>
                <w:sz w:val="20"/>
              </w:rPr>
              <w:t>Commodity Index</w:t>
            </w:r>
          </w:p>
        </w:tc>
      </w:tr>
      <w:tr>
        <w:tc>
          <w:tcPr>
            <w:tcW w:type="dxa" w:w="3041"/>
          </w:tcPr>
          <w:p>
            <w:pPr>
              <w:jc w:val="left"/>
            </w:pPr>
            <w:r>
              <w:rPr>
                <w:rFonts w:ascii="Times New Roman" w:hAnsi="Times New Roman"/>
                <w:b w:val="0"/>
                <w:sz w:val="20"/>
              </w:rPr>
              <w:t>TIP</w:t>
            </w:r>
          </w:p>
        </w:tc>
        <w:tc>
          <w:tcPr>
            <w:tcW w:type="dxa" w:w="3041"/>
          </w:tcPr>
          <w:p>
            <w:pPr>
              <w:jc w:val="left"/>
            </w:pPr>
            <w:r>
              <w:rPr>
                <w:rFonts w:ascii="Times New Roman" w:hAnsi="Times New Roman"/>
                <w:b w:val="0"/>
                <w:sz w:val="20"/>
              </w:rPr>
              <w:t>Inflation-Protected</w:t>
            </w:r>
          </w:p>
        </w:tc>
        <w:tc>
          <w:tcPr>
            <w:tcW w:type="dxa" w:w="3041"/>
          </w:tcPr>
          <w:p>
            <w:pPr>
              <w:jc w:val="left"/>
            </w:pPr>
            <w:r>
              <w:rPr>
                <w:rFonts w:ascii="Times New Roman" w:hAnsi="Times New Roman"/>
                <w:b w:val="0"/>
                <w:sz w:val="20"/>
              </w:rPr>
              <w:t>TIPS</w:t>
            </w:r>
          </w:p>
        </w:tc>
      </w:tr>
    </w:tbl>
    <w:p/>
    <w:p>
      <w:pPr>
        <w:spacing w:line="360" w:lineRule="auto"/>
        <w:jc w:val="both"/>
      </w:pPr>
      <w:r>
        <w:t>Sample Period: January 2005 -- December 2024 (20 years). Training: 2005--2021. Out-of-sample: 2022--2024.</w:t>
      </w:r>
    </w:p>
    <w:p>
      <w:pPr>
        <w:spacing w:line="360" w:lineRule="auto"/>
        <w:jc w:val="both"/>
      </w:pPr>
      <w:r>
        <w:t>Macroeconomic Indicators (18 from FRED):</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pPr>
              <w:jc w:val="center"/>
            </w:pPr>
            <w:r>
              <w:rPr>
                <w:rFonts w:ascii="Times New Roman" w:hAnsi="Times New Roman"/>
                <w:b/>
                <w:sz w:val="20"/>
              </w:rPr>
              <w:t>Variable</w:t>
            </w:r>
          </w:p>
        </w:tc>
        <w:tc>
          <w:tcPr>
            <w:tcW w:type="dxa" w:w="2280"/>
          </w:tcPr>
          <w:p>
            <w:pPr>
              <w:jc w:val="center"/>
            </w:pPr>
            <w:r>
              <w:rPr>
                <w:rFonts w:ascii="Times New Roman" w:hAnsi="Times New Roman"/>
                <w:b/>
                <w:sz w:val="20"/>
              </w:rPr>
              <w:t>Code</w:t>
            </w:r>
          </w:p>
        </w:tc>
        <w:tc>
          <w:tcPr>
            <w:tcW w:type="dxa" w:w="2280"/>
          </w:tcPr>
          <w:p>
            <w:pPr>
              <w:jc w:val="center"/>
            </w:pPr>
            <w:r>
              <w:rPr>
                <w:rFonts w:ascii="Times New Roman" w:hAnsi="Times New Roman"/>
                <w:b/>
                <w:sz w:val="20"/>
              </w:rPr>
              <w:t>Transformation</w:t>
            </w:r>
          </w:p>
        </w:tc>
        <w:tc>
          <w:tcPr>
            <w:tcW w:type="dxa" w:w="2280"/>
          </w:tcPr>
          <w:p>
            <w:pPr>
              <w:jc w:val="center"/>
            </w:pPr>
            <w:r>
              <w:rPr>
                <w:rFonts w:ascii="Times New Roman" w:hAnsi="Times New Roman"/>
                <w:b/>
                <w:sz w:val="20"/>
              </w:rPr>
              <w:t>Rationale</w:t>
            </w:r>
          </w:p>
        </w:tc>
      </w:tr>
      <w:tr>
        <w:tc>
          <w:tcPr>
            <w:tcW w:type="dxa" w:w="2280"/>
          </w:tcPr>
          <w:p>
            <w:pPr>
              <w:jc w:val="left"/>
            </w:pPr>
            <w:r>
              <w:rPr>
                <w:rFonts w:ascii="Times New Roman" w:hAnsi="Times New Roman"/>
                <w:b w:val="0"/>
                <w:sz w:val="20"/>
              </w:rPr>
              <w:t>----</w:t>
            </w:r>
          </w:p>
        </w:tc>
        <w:tc>
          <w:tcPr>
            <w:tcW w:type="dxa" w:w="2280"/>
          </w:tcPr>
          <w:p>
            <w:pPr>
              <w:jc w:val="left"/>
            </w:pPr>
            <w:r>
              <w:rPr>
                <w:rFonts w:ascii="Times New Roman" w:hAnsi="Times New Roman"/>
                <w:b w:val="0"/>
                <w:sz w:val="20"/>
              </w:rPr>
              <w:t>--</w:t>
            </w:r>
          </w:p>
        </w:tc>
        <w:tc>
          <w:tcPr>
            <w:tcW w:type="dxa" w:w="2280"/>
          </w:tcPr>
          <w:p>
            <w:pPr>
              <w:jc w:val="left"/>
            </w:pPr>
            <w:r>
              <w:rPr>
                <w:rFonts w:ascii="Times New Roman" w:hAnsi="Times New Roman"/>
                <w:b w:val="0"/>
                <w:sz w:val="20"/>
              </w:rPr>
              <w:t>-----</w:t>
            </w:r>
          </w:p>
        </w:tc>
        <w:tc>
          <w:tcPr>
            <w:tcW w:type="dxa" w:w="2280"/>
          </w:tcPr>
          <w:p>
            <w:pPr>
              <w:jc w:val="left"/>
            </w:pPr>
            <w:r>
              <w:rPr>
                <w:rFonts w:ascii="Times New Roman" w:hAnsi="Times New Roman"/>
                <w:b w:val="0"/>
                <w:sz w:val="20"/>
              </w:rPr>
              <w:t>-----</w:t>
            </w:r>
          </w:p>
        </w:tc>
      </w:tr>
      <w:tr>
        <w:tc>
          <w:tcPr>
            <w:tcW w:type="dxa" w:w="2280"/>
          </w:tcPr>
          <w:p>
            <w:pPr>
              <w:jc w:val="left"/>
            </w:pPr>
            <w:r>
              <w:rPr>
                <w:rFonts w:ascii="Times New Roman" w:hAnsi="Times New Roman"/>
                <w:b w:val="0"/>
                <w:sz w:val="20"/>
              </w:rPr>
              <w:t>10Y Treasury Yield</w:t>
            </w:r>
          </w:p>
        </w:tc>
        <w:tc>
          <w:tcPr>
            <w:tcW w:type="dxa" w:w="2280"/>
          </w:tcPr>
          <w:p>
            <w:pPr>
              <w:jc w:val="left"/>
            </w:pPr>
            <w:r>
              <w:rPr>
                <w:rFonts w:ascii="Times New Roman" w:hAnsi="Times New Roman"/>
                <w:b w:val="0"/>
                <w:sz w:val="20"/>
              </w:rPr>
              <w:t>DGS10</w:t>
            </w:r>
          </w:p>
        </w:tc>
        <w:tc>
          <w:tcPr>
            <w:tcW w:type="dxa" w:w="2280"/>
          </w:tcPr>
          <w:p>
            <w:pPr>
              <w:jc w:val="left"/>
            </w:pPr>
            <w:r>
              <w:rPr>
                <w:rFonts w:ascii="Times New Roman" w:hAnsi="Times New Roman"/>
                <w:b w:val="0"/>
                <w:sz w:val="20"/>
              </w:rPr>
              <w:t>Level + lags</w:t>
            </w:r>
          </w:p>
        </w:tc>
        <w:tc>
          <w:tcPr>
            <w:tcW w:type="dxa" w:w="2280"/>
          </w:tcPr>
          <w:p>
            <w:pPr>
              <w:jc w:val="left"/>
            </w:pPr>
            <w:r>
              <w:rPr>
                <w:rFonts w:ascii="Times New Roman" w:hAnsi="Times New Roman"/>
                <w:b w:val="0"/>
                <w:sz w:val="20"/>
              </w:rPr>
              <w:t>Discount rate, top predictor</w:t>
            </w:r>
          </w:p>
        </w:tc>
      </w:tr>
      <w:tr>
        <w:tc>
          <w:tcPr>
            <w:tcW w:type="dxa" w:w="2280"/>
          </w:tcPr>
          <w:p>
            <w:pPr>
              <w:jc w:val="left"/>
            </w:pPr>
            <w:r>
              <w:rPr>
                <w:rFonts w:ascii="Times New Roman" w:hAnsi="Times New Roman"/>
                <w:b w:val="0"/>
                <w:sz w:val="20"/>
              </w:rPr>
              <w:t>VIX</w:t>
            </w:r>
          </w:p>
        </w:tc>
        <w:tc>
          <w:tcPr>
            <w:tcW w:type="dxa" w:w="2280"/>
          </w:tcPr>
          <w:p>
            <w:pPr>
              <w:jc w:val="left"/>
            </w:pPr>
            <w:r>
              <w:rPr>
                <w:rFonts w:ascii="Times New Roman" w:hAnsi="Times New Roman"/>
                <w:b w:val="0"/>
                <w:sz w:val="20"/>
              </w:rPr>
              <w:t>VIXCLS</w:t>
            </w:r>
          </w:p>
        </w:tc>
        <w:tc>
          <w:tcPr>
            <w:tcW w:type="dxa" w:w="2280"/>
          </w:tcPr>
          <w:p>
            <w:pPr>
              <w:jc w:val="left"/>
            </w:pPr>
            <w:r>
              <w:rPr>
                <w:rFonts w:ascii="Times New Roman" w:hAnsi="Times New Roman"/>
                <w:b w:val="0"/>
                <w:sz w:val="20"/>
              </w:rPr>
              <w:t>Level + lags</w:t>
            </w:r>
          </w:p>
        </w:tc>
        <w:tc>
          <w:tcPr>
            <w:tcW w:type="dxa" w:w="2280"/>
          </w:tcPr>
          <w:p>
            <w:pPr>
              <w:jc w:val="left"/>
            </w:pPr>
            <w:r>
              <w:rPr>
                <w:rFonts w:ascii="Times New Roman" w:hAnsi="Times New Roman"/>
                <w:b w:val="0"/>
                <w:sz w:val="20"/>
              </w:rPr>
              <w:t>Volatility, sentiment</w:t>
            </w:r>
          </w:p>
        </w:tc>
      </w:tr>
      <w:tr>
        <w:tc>
          <w:tcPr>
            <w:tcW w:type="dxa" w:w="2280"/>
          </w:tcPr>
          <w:p>
            <w:pPr>
              <w:jc w:val="left"/>
            </w:pPr>
            <w:r>
              <w:rPr>
                <w:rFonts w:ascii="Times New Roman" w:hAnsi="Times New Roman"/>
                <w:b w:val="0"/>
                <w:sz w:val="20"/>
              </w:rPr>
              <w:t>2Y Treasury Yield</w:t>
            </w:r>
          </w:p>
        </w:tc>
        <w:tc>
          <w:tcPr>
            <w:tcW w:type="dxa" w:w="2280"/>
          </w:tcPr>
          <w:p>
            <w:pPr>
              <w:jc w:val="left"/>
            </w:pPr>
            <w:r>
              <w:rPr>
                <w:rFonts w:ascii="Times New Roman" w:hAnsi="Times New Roman"/>
                <w:b w:val="0"/>
                <w:sz w:val="20"/>
              </w:rPr>
              <w:t>DGS2</w:t>
            </w:r>
          </w:p>
        </w:tc>
        <w:tc>
          <w:tcPr>
            <w:tcW w:type="dxa" w:w="2280"/>
          </w:tcPr>
          <w:p>
            <w:pPr>
              <w:jc w:val="left"/>
            </w:pPr>
            <w:r>
              <w:rPr>
                <w:rFonts w:ascii="Times New Roman" w:hAnsi="Times New Roman"/>
                <w:b w:val="0"/>
                <w:sz w:val="20"/>
              </w:rPr>
              <w:t>Level + lags</w:t>
            </w:r>
          </w:p>
        </w:tc>
        <w:tc>
          <w:tcPr>
            <w:tcW w:type="dxa" w:w="2280"/>
          </w:tcPr>
          <w:p>
            <w:pPr>
              <w:jc w:val="left"/>
            </w:pPr>
            <w:r>
              <w:rPr>
                <w:rFonts w:ascii="Times New Roman" w:hAnsi="Times New Roman"/>
                <w:b w:val="0"/>
                <w:sz w:val="20"/>
              </w:rPr>
              <w:t>Short-rate expectations</w:t>
            </w:r>
          </w:p>
        </w:tc>
      </w:tr>
      <w:tr>
        <w:tc>
          <w:tcPr>
            <w:tcW w:type="dxa" w:w="2280"/>
          </w:tcPr>
          <w:p>
            <w:pPr>
              <w:jc w:val="left"/>
            </w:pPr>
            <w:r>
              <w:rPr>
                <w:rFonts w:ascii="Times New Roman" w:hAnsi="Times New Roman"/>
                <w:b w:val="0"/>
                <w:sz w:val="20"/>
              </w:rPr>
              <w:t>BBB Corporate Spread</w:t>
            </w:r>
          </w:p>
        </w:tc>
        <w:tc>
          <w:tcPr>
            <w:tcW w:type="dxa" w:w="2280"/>
          </w:tcPr>
          <w:p>
            <w:pPr>
              <w:jc w:val="left"/>
            </w:pPr>
            <w:r>
              <w:rPr>
                <w:rFonts w:ascii="Times New Roman" w:hAnsi="Times New Roman"/>
                <w:b w:val="0"/>
                <w:sz w:val="20"/>
              </w:rPr>
              <w:t>BAMLC0A4CBBB</w:t>
            </w:r>
          </w:p>
        </w:tc>
        <w:tc>
          <w:tcPr>
            <w:tcW w:type="dxa" w:w="2280"/>
          </w:tcPr>
          <w:p>
            <w:pPr>
              <w:jc w:val="left"/>
            </w:pPr>
            <w:r>
              <w:rPr>
                <w:rFonts w:ascii="Times New Roman" w:hAnsi="Times New Roman"/>
                <w:b w:val="0"/>
                <w:sz w:val="20"/>
              </w:rPr>
              <w:t>Level</w:t>
            </w:r>
          </w:p>
        </w:tc>
        <w:tc>
          <w:tcPr>
            <w:tcW w:type="dxa" w:w="2280"/>
          </w:tcPr>
          <w:p>
            <w:pPr>
              <w:jc w:val="left"/>
            </w:pPr>
            <w:r>
              <w:rPr>
                <w:rFonts w:ascii="Times New Roman" w:hAnsi="Times New Roman"/>
                <w:b w:val="0"/>
                <w:sz w:val="20"/>
              </w:rPr>
              <w:t>Credit risk conditions</w:t>
            </w:r>
          </w:p>
        </w:tc>
      </w:tr>
      <w:tr>
        <w:tc>
          <w:tcPr>
            <w:tcW w:type="dxa" w:w="2280"/>
          </w:tcPr>
          <w:p>
            <w:pPr>
              <w:jc w:val="left"/>
            </w:pPr>
            <w:r>
              <w:rPr>
                <w:rFonts w:ascii="Times New Roman" w:hAnsi="Times New Roman"/>
                <w:b w:val="0"/>
                <w:sz w:val="20"/>
              </w:rPr>
              <w:t>CPI Inflation</w:t>
            </w:r>
          </w:p>
        </w:tc>
        <w:tc>
          <w:tcPr>
            <w:tcW w:type="dxa" w:w="2280"/>
          </w:tcPr>
          <w:p>
            <w:pPr>
              <w:jc w:val="left"/>
            </w:pPr>
            <w:r>
              <w:rPr>
                <w:rFonts w:ascii="Times New Roman" w:hAnsi="Times New Roman"/>
                <w:b w:val="0"/>
                <w:sz w:val="20"/>
              </w:rPr>
              <w:t>CPIAUCSL</w:t>
            </w:r>
          </w:p>
        </w:tc>
        <w:tc>
          <w:tcPr>
            <w:tcW w:type="dxa" w:w="2280"/>
          </w:tcPr>
          <w:p>
            <w:pPr>
              <w:jc w:val="left"/>
            </w:pPr>
            <w:r>
              <w:rPr>
                <w:rFonts w:ascii="Times New Roman" w:hAnsi="Times New Roman"/>
                <w:b w:val="0"/>
                <w:sz w:val="20"/>
              </w:rPr>
              <w:t>YoY % change</w:t>
            </w:r>
          </w:p>
        </w:tc>
        <w:tc>
          <w:tcPr>
            <w:tcW w:type="dxa" w:w="2280"/>
          </w:tcPr>
          <w:p>
            <w:pPr>
              <w:jc w:val="left"/>
            </w:pPr>
            <w:r>
              <w:rPr>
                <w:rFonts w:ascii="Times New Roman" w:hAnsi="Times New Roman"/>
                <w:b w:val="0"/>
                <w:sz w:val="20"/>
              </w:rPr>
              <w:t>Price level changes</w:t>
            </w:r>
          </w:p>
        </w:tc>
      </w:tr>
      <w:tr>
        <w:tc>
          <w:tcPr>
            <w:tcW w:type="dxa" w:w="2280"/>
          </w:tcPr>
          <w:p>
            <w:pPr>
              <w:jc w:val="left"/>
            </w:pPr>
            <w:r>
              <w:rPr>
                <w:rFonts w:ascii="Times New Roman" w:hAnsi="Times New Roman"/>
                <w:b w:val="0"/>
                <w:sz w:val="20"/>
              </w:rPr>
              <w:t>Federal Funds Rate</w:t>
            </w:r>
          </w:p>
        </w:tc>
        <w:tc>
          <w:tcPr>
            <w:tcW w:type="dxa" w:w="2280"/>
          </w:tcPr>
          <w:p>
            <w:pPr>
              <w:jc w:val="left"/>
            </w:pPr>
            <w:r>
              <w:rPr>
                <w:rFonts w:ascii="Times New Roman" w:hAnsi="Times New Roman"/>
                <w:b w:val="0"/>
                <w:sz w:val="20"/>
              </w:rPr>
              <w:t>FEDFUNDS</w:t>
            </w:r>
          </w:p>
        </w:tc>
        <w:tc>
          <w:tcPr>
            <w:tcW w:type="dxa" w:w="2280"/>
          </w:tcPr>
          <w:p>
            <w:pPr>
              <w:jc w:val="left"/>
            </w:pPr>
            <w:r>
              <w:rPr>
                <w:rFonts w:ascii="Times New Roman" w:hAnsi="Times New Roman"/>
                <w:b w:val="0"/>
                <w:sz w:val="20"/>
              </w:rPr>
              <w:t>Level</w:t>
            </w:r>
          </w:p>
        </w:tc>
        <w:tc>
          <w:tcPr>
            <w:tcW w:type="dxa" w:w="2280"/>
          </w:tcPr>
          <w:p>
            <w:pPr>
              <w:jc w:val="left"/>
            </w:pPr>
            <w:r>
              <w:rPr>
                <w:rFonts w:ascii="Times New Roman" w:hAnsi="Times New Roman"/>
                <w:b w:val="0"/>
                <w:sz w:val="20"/>
              </w:rPr>
              <w:t>Monetary policy stance</w:t>
            </w:r>
          </w:p>
        </w:tc>
      </w:tr>
      <w:tr>
        <w:tc>
          <w:tcPr>
            <w:tcW w:type="dxa" w:w="2280"/>
          </w:tcPr>
          <w:p>
            <w:pPr>
              <w:jc w:val="left"/>
            </w:pPr>
            <w:r>
              <w:rPr>
                <w:rFonts w:ascii="Times New Roman" w:hAnsi="Times New Roman"/>
                <w:b w:val="0"/>
                <w:sz w:val="20"/>
              </w:rPr>
              <w:t>Unemployment Rate</w:t>
            </w:r>
          </w:p>
        </w:tc>
        <w:tc>
          <w:tcPr>
            <w:tcW w:type="dxa" w:w="2280"/>
          </w:tcPr>
          <w:p>
            <w:pPr>
              <w:jc w:val="left"/>
            </w:pPr>
            <w:r>
              <w:rPr>
                <w:rFonts w:ascii="Times New Roman" w:hAnsi="Times New Roman"/>
                <w:b w:val="0"/>
                <w:sz w:val="20"/>
              </w:rPr>
              <w:t>UNRATE</w:t>
            </w:r>
          </w:p>
        </w:tc>
        <w:tc>
          <w:tcPr>
            <w:tcW w:type="dxa" w:w="2280"/>
          </w:tcPr>
          <w:p>
            <w:pPr>
              <w:jc w:val="left"/>
            </w:pPr>
            <w:r>
              <w:rPr>
                <w:rFonts w:ascii="Times New Roman" w:hAnsi="Times New Roman"/>
                <w:b w:val="0"/>
                <w:sz w:val="20"/>
              </w:rPr>
              <w:t>Level</w:t>
            </w:r>
          </w:p>
        </w:tc>
        <w:tc>
          <w:tcPr>
            <w:tcW w:type="dxa" w:w="2280"/>
          </w:tcPr>
          <w:p>
            <w:pPr>
              <w:jc w:val="left"/>
            </w:pPr>
            <w:r>
              <w:rPr>
                <w:rFonts w:ascii="Times New Roman" w:hAnsi="Times New Roman"/>
                <w:b w:val="0"/>
                <w:sz w:val="20"/>
              </w:rPr>
              <w:t>Labor market health</w:t>
            </w:r>
          </w:p>
        </w:tc>
      </w:tr>
      <w:tr>
        <w:tc>
          <w:tcPr>
            <w:tcW w:type="dxa" w:w="2280"/>
          </w:tcPr>
          <w:p>
            <w:pPr>
              <w:jc w:val="left"/>
            </w:pPr>
            <w:r>
              <w:rPr>
                <w:rFonts w:ascii="Times New Roman" w:hAnsi="Times New Roman"/>
                <w:b w:val="0"/>
                <w:sz w:val="20"/>
              </w:rPr>
              <w:t>Industrial Production</w:t>
            </w:r>
          </w:p>
        </w:tc>
        <w:tc>
          <w:tcPr>
            <w:tcW w:type="dxa" w:w="2280"/>
          </w:tcPr>
          <w:p>
            <w:pPr>
              <w:jc w:val="left"/>
            </w:pPr>
            <w:r>
              <w:rPr>
                <w:rFonts w:ascii="Times New Roman" w:hAnsi="Times New Roman"/>
                <w:b w:val="0"/>
                <w:sz w:val="20"/>
              </w:rPr>
              <w:t>INDPRO</w:t>
            </w:r>
          </w:p>
        </w:tc>
        <w:tc>
          <w:tcPr>
            <w:tcW w:type="dxa" w:w="2280"/>
          </w:tcPr>
          <w:p>
            <w:pPr>
              <w:jc w:val="left"/>
            </w:pPr>
            <w:r>
              <w:rPr>
                <w:rFonts w:ascii="Times New Roman" w:hAnsi="Times New Roman"/>
                <w:b w:val="0"/>
                <w:sz w:val="20"/>
              </w:rPr>
              <w:t>YoY % change</w:t>
            </w:r>
          </w:p>
        </w:tc>
        <w:tc>
          <w:tcPr>
            <w:tcW w:type="dxa" w:w="2280"/>
          </w:tcPr>
          <w:p>
            <w:pPr>
              <w:jc w:val="left"/>
            </w:pPr>
            <w:r>
              <w:rPr>
                <w:rFonts w:ascii="Times New Roman" w:hAnsi="Times New Roman"/>
                <w:b w:val="0"/>
                <w:sz w:val="20"/>
              </w:rPr>
              <w:t>Economic output</w:t>
            </w:r>
          </w:p>
        </w:tc>
      </w:tr>
      <w:tr>
        <w:tc>
          <w:tcPr>
            <w:tcW w:type="dxa" w:w="2280"/>
          </w:tcPr>
          <w:p>
            <w:pPr>
              <w:jc w:val="left"/>
            </w:pPr>
            <w:r>
              <w:rPr>
                <w:rFonts w:ascii="Times New Roman" w:hAnsi="Times New Roman"/>
                <w:b w:val="0"/>
                <w:sz w:val="20"/>
              </w:rPr>
              <w:t>10Y-2Y Spread</w:t>
            </w:r>
          </w:p>
        </w:tc>
        <w:tc>
          <w:tcPr>
            <w:tcW w:type="dxa" w:w="2280"/>
          </w:tcPr>
          <w:p>
            <w:pPr>
              <w:jc w:val="left"/>
            </w:pPr>
            <w:r>
              <w:rPr>
                <w:rFonts w:ascii="Times New Roman" w:hAnsi="Times New Roman"/>
                <w:b w:val="0"/>
                <w:sz w:val="20"/>
              </w:rPr>
              <w:t>T10Y2Y</w:t>
            </w:r>
          </w:p>
        </w:tc>
        <w:tc>
          <w:tcPr>
            <w:tcW w:type="dxa" w:w="2280"/>
          </w:tcPr>
          <w:p>
            <w:pPr>
              <w:jc w:val="left"/>
            </w:pPr>
            <w:r>
              <w:rPr>
                <w:rFonts w:ascii="Times New Roman" w:hAnsi="Times New Roman"/>
                <w:b w:val="0"/>
                <w:sz w:val="20"/>
              </w:rPr>
              <w:t>Level</w:t>
            </w:r>
          </w:p>
        </w:tc>
        <w:tc>
          <w:tcPr>
            <w:tcW w:type="dxa" w:w="2280"/>
          </w:tcPr>
          <w:p>
            <w:pPr>
              <w:jc w:val="left"/>
            </w:pPr>
            <w:r>
              <w:rPr>
                <w:rFonts w:ascii="Times New Roman" w:hAnsi="Times New Roman"/>
                <w:b w:val="0"/>
                <w:sz w:val="20"/>
              </w:rPr>
              <w:t>Yield curve, recession signal</w:t>
            </w:r>
          </w:p>
        </w:tc>
      </w:tr>
      <w:tr>
        <w:tc>
          <w:tcPr>
            <w:tcW w:type="dxa" w:w="2280"/>
          </w:tcPr>
          <w:p>
            <w:pPr>
              <w:jc w:val="left"/>
            </w:pPr>
            <w:r>
              <w:rPr>
                <w:rFonts w:ascii="Times New Roman" w:hAnsi="Times New Roman"/>
                <w:b w:val="0"/>
                <w:sz w:val="20"/>
              </w:rPr>
              <w:t>...</w:t>
            </w:r>
          </w:p>
        </w:tc>
        <w:tc>
          <w:tcPr>
            <w:tcW w:type="dxa" w:w="2280"/>
          </w:tcPr>
          <w:p>
            <w:pPr>
              <w:jc w:val="left"/>
            </w:pPr>
            <w:r>
              <w:rPr>
                <w:rFonts w:ascii="Times New Roman" w:hAnsi="Times New Roman"/>
                <w:b w:val="0"/>
                <w:sz w:val="20"/>
              </w:rPr>
              <w:t>...</w:t>
            </w:r>
          </w:p>
        </w:tc>
        <w:tc>
          <w:tcPr>
            <w:tcW w:type="dxa" w:w="2280"/>
          </w:tcPr>
          <w:p>
            <w:pPr>
              <w:jc w:val="left"/>
            </w:pPr>
            <w:r>
              <w:rPr>
                <w:rFonts w:ascii="Times New Roman" w:hAnsi="Times New Roman"/>
                <w:b w:val="0"/>
                <w:sz w:val="20"/>
              </w:rPr>
              <w:t>...</w:t>
            </w:r>
          </w:p>
        </w:tc>
        <w:tc>
          <w:tcPr>
            <w:tcW w:type="dxa" w:w="2280"/>
          </w:tcPr>
          <w:p>
            <w:pPr>
              <w:jc w:val="left"/>
            </w:pPr>
            <w:r>
              <w:rPr>
                <w:rFonts w:ascii="Times New Roman" w:hAnsi="Times New Roman"/>
                <w:b w:val="0"/>
                <w:sz w:val="20"/>
              </w:rPr>
              <w:t>+ 9 additional indicators</w:t>
            </w:r>
          </w:p>
        </w:tc>
      </w:tr>
    </w:tbl>
    <w:p/>
    <w:p>
      <w:pPr>
        <w:spacing w:line="360" w:lineRule="auto"/>
        <w:jc w:val="both"/>
      </w:pPr>
      <w:r>
        <w:t>Feature Engineering: 212 total features from 18 FRED indicators:</w:t>
      </w:r>
    </w:p>
    <w:p>
      <w:pPr>
        <w:pStyle w:val="ListBullet"/>
        <w:spacing w:line="360" w:lineRule="auto"/>
        <w:jc w:val="both"/>
      </w:pPr>
      <w:r>
        <w:t>Raw levels + lag(1, 5, 21 days) = 72 features</w:t>
      </w:r>
    </w:p>
    <w:p>
      <w:pPr>
        <w:pStyle w:val="ListBullet"/>
        <w:spacing w:line="360" w:lineRule="auto"/>
        <w:jc w:val="both"/>
      </w:pPr>
      <w:r>
        <w:t>Rolling means and volatilities (21d, 63d) = 72 features</w:t>
      </w:r>
    </w:p>
    <w:p>
      <w:pPr>
        <w:pStyle w:val="ListBullet"/>
        <w:spacing w:line="360" w:lineRule="auto"/>
        <w:jc w:val="both"/>
      </w:pPr>
      <w:r>
        <w:t>Momentum and RSI indicators = 48 features</w:t>
      </w:r>
    </w:p>
    <w:p>
      <w:pPr>
        <w:pStyle w:val="ListBullet"/>
        <w:spacing w:line="360" w:lineRule="auto"/>
        <w:jc w:val="both"/>
      </w:pPr>
      <w:r>
        <w:t>Cross-asset return features = 20 features</w:t>
      </w:r>
    </w:p>
    <w:p>
      <w:pPr>
        <w:spacing w:line="360" w:lineRule="auto"/>
        <w:jc w:val="both"/>
      </w:pPr>
      <w:r>
        <w:t>Macro-only subset: 68 features (excluding momentum, volatility, and RSI). This subset was found to be optimal-adding momentum/technical features reduced performance.</w:t>
      </w:r>
    </w:p>
    <w:p>
      <w:pPr>
        <w:pStyle w:val="Heading2"/>
      </w:pPr>
      <w:r>
        <w:t>3.3 Mathematical Formulation</w:t>
      </w:r>
    </w:p>
    <w:p>
      <w:pPr>
        <w:pStyle w:val="Heading3"/>
      </w:pPr>
      <w:r>
        <w:t>3.3.1 Return Prediction Model</w:t>
      </w:r>
    </w:p>
    <w:p>
      <w:pPr>
        <w:spacing w:line="360" w:lineRule="auto"/>
        <w:jc w:val="both"/>
      </w:pPr>
      <w:r>
        <w:t>Let $r_{i,t}$ be the return of asset $i$ at time $t$, and $X_t \in \mathbb{R}^{68}$ be the macro feature vector. We model:</w:t>
      </w:r>
    </w:p>
    <w:p>
      <w:pPr>
        <w:spacing w:line="360" w:lineRule="auto"/>
        <w:jc w:val="both"/>
      </w:pPr>
      <w:r>
        <w:t>$$r_{i,t+21} = f_i(X_t) + \epsilon_{i,t+21}$$</w:t>
      </w:r>
    </w:p>
    <w:p>
      <w:pPr>
        <w:spacing w:line="360" w:lineRule="auto"/>
        <w:jc w:val="both"/>
      </w:pPr>
      <w:r>
        <w:t>where $f_i$ is estimated via LightGBM (Ke et al., 2017) with hyperparameters selected by AutoResearch:</w:t>
      </w:r>
    </w:p>
    <w:p>
      <w:pPr>
        <w:pStyle w:val="ListBullet"/>
        <w:spacing w:line="360" w:lineRule="auto"/>
        <w:jc w:val="both"/>
      </w:pPr>
      <w:r>
        <w:t>n_estimators=300, max_depth=5, learning_rate=0.05</w:t>
      </w:r>
    </w:p>
    <w:p>
      <w:pPr>
        <w:pStyle w:val="ListBullet"/>
        <w:spacing w:line="360" w:lineRule="auto"/>
        <w:jc w:val="both"/>
      </w:pPr>
      <w:r>
        <w:t>num_leaves=31, subsample=0.8</w:t>
      </w:r>
    </w:p>
    <w:p>
      <w:pPr>
        <w:spacing w:line="360" w:lineRule="auto"/>
        <w:jc w:val="both"/>
      </w:pPr>
      <w:r>
        <w:t>Nine model classes were evaluated: Lasso, Ridge, ElasticNet, LightGBM, XGBoost, RandomForest, SVR, GBR, and AdaBoost. LightGBM dominated across all concentration levels.</w:t>
      </w:r>
    </w:p>
    <w:p>
      <w:pPr>
        <w:pStyle w:val="Heading3"/>
      </w:pPr>
      <w:r>
        <w:t>3.3.2 Portfolio Optimization</w:t>
      </w:r>
    </w:p>
    <w:p>
      <w:pPr>
        <w:spacing w:line="360" w:lineRule="auto"/>
        <w:jc w:val="both"/>
      </w:pPr>
      <w:r>
        <w:t>At each rebalancing date $t$ (every 21 trading days), we solve via CVXPY:</w:t>
      </w:r>
    </w:p>
    <w:p>
      <w:pPr>
        <w:spacing w:line="360" w:lineRule="auto"/>
        <w:jc w:val="both"/>
      </w:pPr>
      <w:r>
        <w:t>$$\min_w \frac{1}{2} w^T \hat{\Sigma}_t w - \lambda \hat{\mu}_t^T w + \gamma \|w - w_{t-1}\|_1$$</w:t>
      </w:r>
    </w:p>
    <w:p>
      <w:pPr>
        <w:spacing w:line="360" w:lineRule="auto"/>
        <w:jc w:val="both"/>
      </w:pPr>
      <w:r>
        <w:t>Subject to:</w:t>
      </w:r>
    </w:p>
    <w:p>
      <w:pPr>
        <w:pStyle w:val="ListBullet"/>
        <w:spacing w:line="360" w:lineRule="auto"/>
        <w:jc w:val="both"/>
      </w:pPr>
      <w:r>
        <w:t>$\mathbf{1}^T w = 1$ (fully invested)</w:t>
      </w:r>
    </w:p>
    <w:p>
      <w:pPr>
        <w:pStyle w:val="ListBullet"/>
        <w:spacing w:line="360" w:lineRule="auto"/>
        <w:jc w:val="both"/>
      </w:pPr>
      <w:r>
        <w:t>$w \geq 0$ (no short selling)</w:t>
      </w:r>
    </w:p>
    <w:p>
      <w:pPr>
        <w:pStyle w:val="ListBullet"/>
        <w:spacing w:line="360" w:lineRule="auto"/>
        <w:jc w:val="both"/>
      </w:pPr>
      <w:r>
        <w:t>$w_i \leq w_{max}$ (position limit, $w_{max} = 0.6$ optimal)</w:t>
      </w:r>
    </w:p>
    <w:p>
      <w:pPr>
        <w:pStyle w:val="ListBullet"/>
        <w:spacing w:line="360" w:lineRule="auto"/>
        <w:jc w:val="both"/>
      </w:pPr>
      <w:r>
        <w:t>$\|w - w_{t-1}\|_1 \leq \tau$ (turnover constraint)</w:t>
      </w:r>
    </w:p>
    <w:p>
      <w:pPr>
        <w:spacing w:line="360" w:lineRule="auto"/>
        <w:jc w:val="both"/>
      </w:pPr>
      <w:r>
        <w:t>Where:</w:t>
      </w:r>
    </w:p>
    <w:p>
      <w:pPr>
        <w:pStyle w:val="ListBullet"/>
        <w:spacing w:line="360" w:lineRule="auto"/>
        <w:jc w:val="both"/>
      </w:pPr>
      <w:r>
        <w:t>$\hat{\mu}_t = \hat{f}(X_t)$ is the vector of predicted 21-day returns</w:t>
      </w:r>
    </w:p>
    <w:p>
      <w:pPr>
        <w:pStyle w:val="ListBullet"/>
        <w:spacing w:line="360" w:lineRule="auto"/>
        <w:jc w:val="both"/>
      </w:pPr>
      <w:r>
        <w:t>$\hat{\Sigma}_t$ is the Ledoit-Wolf shrinkage covariance estimate</w:t>
      </w:r>
    </w:p>
    <w:p>
      <w:pPr>
        <w:pStyle w:val="ListBullet"/>
        <w:spacing w:line="360" w:lineRule="auto"/>
        <w:jc w:val="both"/>
      </w:pPr>
      <w:r>
        <w:t>$\lambda = 5.0$ is risk aversion (AutoResearch optimized)</w:t>
      </w:r>
    </w:p>
    <w:p>
      <w:pPr>
        <w:pStyle w:val="ListBullet"/>
        <w:spacing w:line="360" w:lineRule="auto"/>
        <w:jc w:val="both"/>
      </w:pPr>
      <w:r>
        <w:t>$\gamma$ controls proportional transaction costs (3--10 bps)</w:t>
      </w:r>
    </w:p>
    <w:p>
      <w:pPr>
        <w:pStyle w:val="Heading3"/>
      </w:pPr>
      <w:r>
        <w:t>3.3.3 Swarm Risk Overlay</w:t>
      </w:r>
    </w:p>
    <w:p>
      <w:pPr>
        <w:spacing w:line="360" w:lineRule="auto"/>
        <w:jc w:val="both"/>
      </w:pPr>
      <w:r>
        <w:t>The MiroFish agreement signal $a_t \in [0, 1]$ modifies the optimization:</w:t>
      </w:r>
    </w:p>
    <w:p>
      <w:pPr>
        <w:spacing w:line="360" w:lineRule="auto"/>
        <w:jc w:val="both"/>
      </w:pPr>
      <w:r>
        <w:t>$$w_{max,t} = w_{max} \cdot s(a_t)$$</w:t>
      </w:r>
    </w:p>
    <w:p>
      <w:pPr>
        <w:spacing w:line="360" w:lineRule="auto"/>
        <w:jc w:val="both"/>
      </w:pPr>
      <w:r>
        <w:t>where $s(a_t) = \min(1, a_t / \bar{a})$ scales position limits by agent agreement relative to the historical mean $\bar{a}$. When agents disagree ($a_t &lt; \bar{a}$), allocation is reduced.</w:t>
      </w:r>
    </w:p>
    <w:p>
      <w:pPr>
        <w:pStyle w:val="Heading2"/>
      </w:pPr>
      <w:r>
        <w:t>3.4 Model Validation Framework</w:t>
      </w:r>
    </w:p>
    <w:p>
      <w:pPr>
        <w:spacing w:line="360" w:lineRule="auto"/>
        <w:jc w:val="both"/>
      </w:pPr>
      <w:r>
        <w:t>We employ purged cross-validation (Lopez de Prado, 2018):</w:t>
      </w:r>
    </w:p>
    <w:p>
      <w:pPr>
        <w:pStyle w:val="ListBullet"/>
        <w:spacing w:line="360" w:lineRule="auto"/>
        <w:jc w:val="both"/>
      </w:pPr>
      <w:r>
        <w:t>Training window: expanding from 2005 to current date minus 21-day gap</w:t>
      </w:r>
    </w:p>
    <w:p>
      <w:pPr>
        <w:pStyle w:val="ListBullet"/>
        <w:spacing w:line="360" w:lineRule="auto"/>
        <w:jc w:val="both"/>
      </w:pPr>
      <w:r>
        <w:t>Prediction horizon: 21 trading days (1 month)</w:t>
      </w:r>
    </w:p>
    <w:p>
      <w:pPr>
        <w:pStyle w:val="ListBullet"/>
        <w:spacing w:line="360" w:lineRule="auto"/>
        <w:jc w:val="both"/>
      </w:pPr>
      <w:r>
        <w:t>No overlapping labels between train and test</w:t>
      </w:r>
    </w:p>
    <w:p>
      <w:pPr>
        <w:pStyle w:val="ListBullet"/>
        <w:spacing w:line="360" w:lineRule="auto"/>
        <w:jc w:val="both"/>
      </w:pPr>
      <w:r>
        <w:t>Walk-forward: quarterly retraining with expanding window</w:t>
      </w:r>
    </w:p>
    <w:p>
      <w:pPr>
        <w:spacing w:line="360" w:lineRule="auto"/>
        <w:jc w:val="both"/>
      </w:pPr>
      <w:r>
        <w:t>Performance metrics:</w:t>
      </w:r>
    </w:p>
    <w:p>
      <w:pPr>
        <w:pStyle w:val="ListBullet"/>
        <w:spacing w:line="360" w:lineRule="auto"/>
        <w:jc w:val="both"/>
      </w:pPr>
      <w:r>
        <w:t>Sharpe Ratio, Sortino Ratio, Maximum Drawdown, Calmar Ratio</w:t>
      </w:r>
    </w:p>
    <w:p>
      <w:pPr>
        <w:pStyle w:val="ListBullet"/>
        <w:spacing w:line="360" w:lineRule="auto"/>
        <w:jc w:val="both"/>
      </w:pPr>
      <w:r>
        <w:t>Information Coefficient (IC): rank correlation between predicted and realized returns</w:t>
      </w:r>
    </w:p>
    <w:p>
      <w:pPr>
        <w:pStyle w:val="ListBullet"/>
        <w:spacing w:line="360" w:lineRule="auto"/>
        <w:jc w:val="both"/>
      </w:pPr>
      <w:r>
        <w:t>Directional Accuracy (DA): % of correct sign predictions</w:t>
      </w:r>
    </w:p>
    <w:p>
      <w:pPr>
        <w:pStyle w:val="ListBullet"/>
        <w:spacing w:line="360" w:lineRule="auto"/>
        <w:jc w:val="both"/>
      </w:pPr>
      <w:r>
        <w:t>Fama-French 5-factor alpha and R²</w:t>
      </w:r>
    </w:p>
    <w:p>
      <w:pPr>
        <w:pStyle w:val="Heading1"/>
      </w:pPr>
      <w:r>
        <w:t>4. Empirical Results</w:t>
      </w:r>
    </w:p>
    <w:p>
      <w:pPr>
        <w:pStyle w:val="Heading2"/>
      </w:pPr>
      <w:r>
        <w:t>4.1 AutoResearch: Autonomous Model Search (72 Experiments)</w:t>
      </w:r>
    </w:p>
    <w:p>
      <w:pPr>
        <w:spacing w:line="360" w:lineRule="auto"/>
        <w:jc w:val="both"/>
      </w:pPr>
      <w:r>
        <w:t>The AutoResearch engine ran 72 experiments across 4 batches over 5 feedback iterations. Each experiment trains per-asset models, runs a full OOS backtest (2022--2024), and records Sharpe, IC, directional accuracy, and returns.</w:t>
      </w:r>
    </w:p>
    <w:p>
      <w:pPr>
        <w:spacing w:line="360" w:lineRule="auto"/>
        <w:jc w:val="both"/>
      </w:pPr>
      <w:r>
        <w:t>Table 1: Top 10 AutoResearch Experiments (Ranked by OOS Sharpe)</w:t>
      </w:r>
    </w:p>
    <w:tbl>
      <w:tblPr>
        <w:tblStyle w:val="TableGrid"/>
        <w:tblW w:type="auto" w:w="0"/>
        <w:tblLook w:firstColumn="1" w:firstRow="1" w:lastColumn="0" w:lastRow="0" w:noHBand="0" w:noVBand="1" w:val="04A0"/>
      </w:tblPr>
      <w:tblGrid>
        <w:gridCol w:w="1303"/>
        <w:gridCol w:w="1303"/>
        <w:gridCol w:w="1303"/>
        <w:gridCol w:w="1303"/>
        <w:gridCol w:w="1303"/>
        <w:gridCol w:w="1303"/>
        <w:gridCol w:w="1303"/>
      </w:tblGrid>
      <w:tr>
        <w:tc>
          <w:tcPr>
            <w:tcW w:type="dxa" w:w="1303"/>
          </w:tcPr>
          <w:p>
            <w:pPr>
              <w:jc w:val="center"/>
            </w:pPr>
            <w:r>
              <w:rPr>
                <w:rFonts w:ascii="Times New Roman" w:hAnsi="Times New Roman"/>
                <w:b/>
                <w:sz w:val="20"/>
              </w:rPr>
              <w:t>Rank</w:t>
            </w:r>
          </w:p>
        </w:tc>
        <w:tc>
          <w:tcPr>
            <w:tcW w:type="dxa" w:w="1303"/>
          </w:tcPr>
          <w:p>
            <w:pPr>
              <w:jc w:val="center"/>
            </w:pPr>
            <w:r>
              <w:rPr>
                <w:rFonts w:ascii="Times New Roman" w:hAnsi="Times New Roman"/>
                <w:b/>
                <w:sz w:val="20"/>
              </w:rPr>
              <w:t>Experiment</w:t>
            </w:r>
          </w:p>
        </w:tc>
        <w:tc>
          <w:tcPr>
            <w:tcW w:type="dxa" w:w="1303"/>
          </w:tcPr>
          <w:p>
            <w:pPr>
              <w:jc w:val="center"/>
            </w:pPr>
            <w:r>
              <w:rPr>
                <w:rFonts w:ascii="Times New Roman" w:hAnsi="Times New Roman"/>
                <w:b/>
                <w:sz w:val="20"/>
              </w:rPr>
              <w:t>Sharpe</w:t>
            </w:r>
          </w:p>
        </w:tc>
        <w:tc>
          <w:tcPr>
            <w:tcW w:type="dxa" w:w="1303"/>
          </w:tcPr>
          <w:p>
            <w:pPr>
              <w:jc w:val="center"/>
            </w:pPr>
            <w:r>
              <w:rPr>
                <w:rFonts w:ascii="Times New Roman" w:hAnsi="Times New Roman"/>
                <w:b/>
                <w:sz w:val="20"/>
              </w:rPr>
              <w:t>IC</w:t>
            </w:r>
          </w:p>
        </w:tc>
        <w:tc>
          <w:tcPr>
            <w:tcW w:type="dxa" w:w="1303"/>
          </w:tcPr>
          <w:p>
            <w:pPr>
              <w:jc w:val="center"/>
            </w:pPr>
            <w:r>
              <w:rPr>
                <w:rFonts w:ascii="Times New Roman" w:hAnsi="Times New Roman"/>
                <w:b/>
                <w:sz w:val="20"/>
              </w:rPr>
              <w:t>Ann. Return</w:t>
            </w:r>
          </w:p>
        </w:tc>
        <w:tc>
          <w:tcPr>
            <w:tcW w:type="dxa" w:w="1303"/>
          </w:tcPr>
          <w:p>
            <w:pPr>
              <w:jc w:val="center"/>
            </w:pPr>
            <w:r>
              <w:rPr>
                <w:rFonts w:ascii="Times New Roman" w:hAnsi="Times New Roman"/>
                <w:b/>
                <w:sz w:val="20"/>
              </w:rPr>
              <w:t>Max DD</w:t>
            </w:r>
          </w:p>
        </w:tc>
        <w:tc>
          <w:tcPr>
            <w:tcW w:type="dxa" w:w="1303"/>
          </w:tcPr>
          <w:p>
            <w:pPr>
              <w:jc w:val="center"/>
            </w:pPr>
            <w:r>
              <w:rPr>
                <w:rFonts w:ascii="Times New Roman" w:hAnsi="Times New Roman"/>
                <w:b/>
                <w:sz w:val="20"/>
              </w:rPr>
              <w:t>Description</w:t>
            </w:r>
          </w:p>
        </w:tc>
      </w:tr>
      <w:tr>
        <w:tc>
          <w:tcPr>
            <w:tcW w:type="dxa" w:w="1303"/>
          </w:tcPr>
          <w:p>
            <w:pPr>
              <w:jc w:val="left"/>
            </w:pPr>
            <w:r>
              <w:rPr>
                <w:rFonts w:ascii="Times New Roman" w:hAnsi="Times New Roman"/>
                <w:b w:val="0"/>
                <w:sz w:val="20"/>
              </w:rPr>
              <w:t>--</w:t>
            </w:r>
          </w:p>
        </w:tc>
        <w:tc>
          <w:tcPr>
            <w:tcW w:type="dxa" w:w="1303"/>
          </w:tcPr>
          <w:p>
            <w:pPr>
              <w:jc w:val="left"/>
            </w:pPr>
            <w:r>
              <w:rPr>
                <w:rFonts w:ascii="Times New Roman" w:hAnsi="Times New Roman"/>
                <w:b w:val="0"/>
                <w:sz w:val="20"/>
              </w:rPr>
              <w:t>-----</w:t>
            </w:r>
          </w:p>
        </w:tc>
        <w:tc>
          <w:tcPr>
            <w:tcW w:type="dxa" w:w="1303"/>
          </w:tcPr>
          <w:p>
            <w:pPr>
              <w:jc w:val="left"/>
            </w:pPr>
            <w:r>
              <w:rPr>
                <w:rFonts w:ascii="Times New Roman" w:hAnsi="Times New Roman"/>
                <w:b w:val="0"/>
                <w:sz w:val="20"/>
              </w:rPr>
              <w:t>----</w:t>
            </w:r>
          </w:p>
        </w:tc>
        <w:tc>
          <w:tcPr>
            <w:tcW w:type="dxa" w:w="1303"/>
          </w:tcPr>
          <w:p>
            <w:pPr>
              <w:jc w:val="left"/>
            </w:pPr>
            <w:r>
              <w:rPr>
                <w:rFonts w:ascii="Times New Roman" w:hAnsi="Times New Roman"/>
                <w:b w:val="0"/>
                <w:sz w:val="20"/>
              </w:rPr>
              <w:t>--</w:t>
            </w:r>
          </w:p>
        </w:tc>
        <w:tc>
          <w:tcPr>
            <w:tcW w:type="dxa" w:w="1303"/>
          </w:tcPr>
          <w:p>
            <w:pPr>
              <w:jc w:val="left"/>
            </w:pPr>
            <w:r>
              <w:rPr>
                <w:rFonts w:ascii="Times New Roman" w:hAnsi="Times New Roman"/>
                <w:b w:val="0"/>
                <w:sz w:val="20"/>
              </w:rPr>
              <w:t>-----</w:t>
            </w:r>
          </w:p>
        </w:tc>
        <w:tc>
          <w:tcPr>
            <w:tcW w:type="dxa" w:w="1303"/>
          </w:tcPr>
          <w:p>
            <w:pPr>
              <w:jc w:val="left"/>
            </w:pPr>
            <w:r>
              <w:rPr>
                <w:rFonts w:ascii="Times New Roman" w:hAnsi="Times New Roman"/>
                <w:b w:val="0"/>
                <w:sz w:val="20"/>
              </w:rPr>
              <w:t>----</w:t>
            </w:r>
          </w:p>
        </w:tc>
        <w:tc>
          <w:tcPr>
            <w:tcW w:type="dxa" w:w="1303"/>
          </w:tcPr>
          <w:p>
            <w:pPr>
              <w:jc w:val="left"/>
            </w:pPr>
            <w:r>
              <w:rPr>
                <w:rFonts w:ascii="Times New Roman" w:hAnsi="Times New Roman"/>
                <w:b w:val="0"/>
                <w:sz w:val="20"/>
              </w:rPr>
              <w:t>-----</w:t>
            </w:r>
          </w:p>
        </w:tc>
      </w:tr>
      <w:tr>
        <w:tc>
          <w:tcPr>
            <w:tcW w:type="dxa" w:w="1303"/>
          </w:tcPr>
          <w:p>
            <w:pPr>
              <w:jc w:val="left"/>
            </w:pPr>
            <w:r>
              <w:rPr>
                <w:rFonts w:ascii="Times New Roman" w:hAnsi="Times New Roman"/>
                <w:b w:val="0"/>
                <w:sz w:val="20"/>
              </w:rPr>
              <w:t>1</w:t>
            </w:r>
          </w:p>
        </w:tc>
        <w:tc>
          <w:tcPr>
            <w:tcW w:type="dxa" w:w="1303"/>
          </w:tcPr>
          <w:p>
            <w:pPr>
              <w:jc w:val="left"/>
            </w:pPr>
            <w:r>
              <w:rPr>
                <w:rFonts w:ascii="Times New Roman" w:hAnsi="Times New Roman"/>
                <w:b w:val="0"/>
                <w:sz w:val="20"/>
              </w:rPr>
              <w:t>D13_lgbm_maxw60_tc3</w:t>
            </w:r>
          </w:p>
        </w:tc>
        <w:tc>
          <w:tcPr>
            <w:tcW w:type="dxa" w:w="1303"/>
          </w:tcPr>
          <w:p>
            <w:pPr>
              <w:jc w:val="left"/>
            </w:pPr>
            <w:r>
              <w:rPr>
                <w:rFonts w:ascii="Times New Roman" w:hAnsi="Times New Roman"/>
                <w:b w:val="0"/>
                <w:sz w:val="20"/>
              </w:rPr>
              <w:t>0.938</w:t>
            </w:r>
          </w:p>
        </w:tc>
        <w:tc>
          <w:tcPr>
            <w:tcW w:type="dxa" w:w="1303"/>
          </w:tcPr>
          <w:p>
            <w:pPr>
              <w:jc w:val="left"/>
            </w:pPr>
            <w:r>
              <w:rPr>
                <w:rFonts w:ascii="Times New Roman" w:hAnsi="Times New Roman"/>
                <w:b w:val="0"/>
                <w:sz w:val="20"/>
              </w:rPr>
              <w:t>0.038</w:t>
            </w:r>
          </w:p>
        </w:tc>
        <w:tc>
          <w:tcPr>
            <w:tcW w:type="dxa" w:w="1303"/>
          </w:tcPr>
          <w:p>
            <w:pPr>
              <w:jc w:val="left"/>
            </w:pPr>
            <w:r>
              <w:rPr>
                <w:rFonts w:ascii="Times New Roman" w:hAnsi="Times New Roman"/>
                <w:b w:val="0"/>
                <w:sz w:val="20"/>
              </w:rPr>
              <w:t>+12.7%</w:t>
            </w:r>
          </w:p>
        </w:tc>
        <w:tc>
          <w:tcPr>
            <w:tcW w:type="dxa" w:w="1303"/>
          </w:tcPr>
          <w:p>
            <w:pPr>
              <w:jc w:val="left"/>
            </w:pPr>
            <w:r>
              <w:rPr>
                <w:rFonts w:ascii="Times New Roman" w:hAnsi="Times New Roman"/>
                <w:b w:val="0"/>
                <w:sz w:val="20"/>
              </w:rPr>
              <w:t>-20.9%</w:t>
            </w:r>
          </w:p>
        </w:tc>
        <w:tc>
          <w:tcPr>
            <w:tcW w:type="dxa" w:w="1303"/>
          </w:tcPr>
          <w:p>
            <w:pPr>
              <w:jc w:val="left"/>
            </w:pPr>
            <w:r>
              <w:rPr>
                <w:rFonts w:ascii="Times New Roman" w:hAnsi="Times New Roman"/>
                <w:b w:val="0"/>
                <w:sz w:val="20"/>
              </w:rPr>
              <w:t>LGBM maxW=0.6 tc=3bps</w:t>
            </w:r>
          </w:p>
        </w:tc>
      </w:tr>
      <w:tr>
        <w:tc>
          <w:tcPr>
            <w:tcW w:type="dxa" w:w="1303"/>
          </w:tcPr>
          <w:p>
            <w:pPr>
              <w:jc w:val="left"/>
            </w:pPr>
            <w:r>
              <w:rPr>
                <w:rFonts w:ascii="Times New Roman" w:hAnsi="Times New Roman"/>
                <w:b w:val="0"/>
                <w:sz w:val="20"/>
              </w:rPr>
              <w:t>2</w:t>
            </w:r>
          </w:p>
        </w:tc>
        <w:tc>
          <w:tcPr>
            <w:tcW w:type="dxa" w:w="1303"/>
          </w:tcPr>
          <w:p>
            <w:pPr>
              <w:jc w:val="left"/>
            </w:pPr>
            <w:r>
              <w:rPr>
                <w:rFonts w:ascii="Times New Roman" w:hAnsi="Times New Roman"/>
                <w:b w:val="0"/>
                <w:sz w:val="20"/>
              </w:rPr>
              <w:t>D10_lgbm_maxw70</w:t>
            </w:r>
          </w:p>
        </w:tc>
        <w:tc>
          <w:tcPr>
            <w:tcW w:type="dxa" w:w="1303"/>
          </w:tcPr>
          <w:p>
            <w:pPr>
              <w:jc w:val="left"/>
            </w:pPr>
            <w:r>
              <w:rPr>
                <w:rFonts w:ascii="Times New Roman" w:hAnsi="Times New Roman"/>
                <w:b w:val="0"/>
                <w:sz w:val="20"/>
              </w:rPr>
              <w:t>0.925</w:t>
            </w:r>
          </w:p>
        </w:tc>
        <w:tc>
          <w:tcPr>
            <w:tcW w:type="dxa" w:w="1303"/>
          </w:tcPr>
          <w:p>
            <w:pPr>
              <w:jc w:val="left"/>
            </w:pPr>
            <w:r>
              <w:rPr>
                <w:rFonts w:ascii="Times New Roman" w:hAnsi="Times New Roman"/>
                <w:b w:val="0"/>
                <w:sz w:val="20"/>
              </w:rPr>
              <w:t>0.038</w:t>
            </w:r>
          </w:p>
        </w:tc>
        <w:tc>
          <w:tcPr>
            <w:tcW w:type="dxa" w:w="1303"/>
          </w:tcPr>
          <w:p>
            <w:pPr>
              <w:jc w:val="left"/>
            </w:pPr>
            <w:r>
              <w:rPr>
                <w:rFonts w:ascii="Times New Roman" w:hAnsi="Times New Roman"/>
                <w:b w:val="0"/>
                <w:sz w:val="20"/>
              </w:rPr>
              <w:t>+12.8%</w:t>
            </w:r>
          </w:p>
        </w:tc>
        <w:tc>
          <w:tcPr>
            <w:tcW w:type="dxa" w:w="1303"/>
          </w:tcPr>
          <w:p>
            <w:pPr>
              <w:jc w:val="left"/>
            </w:pPr>
            <w:r>
              <w:rPr>
                <w:rFonts w:ascii="Times New Roman" w:hAnsi="Times New Roman"/>
                <w:b w:val="0"/>
                <w:sz w:val="20"/>
              </w:rPr>
              <w:t>-22.2%</w:t>
            </w:r>
          </w:p>
        </w:tc>
        <w:tc>
          <w:tcPr>
            <w:tcW w:type="dxa" w:w="1303"/>
          </w:tcPr>
          <w:p>
            <w:pPr>
              <w:jc w:val="left"/>
            </w:pPr>
            <w:r>
              <w:rPr>
                <w:rFonts w:ascii="Times New Roman" w:hAnsi="Times New Roman"/>
                <w:b w:val="0"/>
                <w:sz w:val="20"/>
              </w:rPr>
              <w:t>LGBM maxW=0.7</w:t>
            </w:r>
          </w:p>
        </w:tc>
      </w:tr>
      <w:tr>
        <w:tc>
          <w:tcPr>
            <w:tcW w:type="dxa" w:w="1303"/>
          </w:tcPr>
          <w:p>
            <w:pPr>
              <w:jc w:val="left"/>
            </w:pPr>
            <w:r>
              <w:rPr>
                <w:rFonts w:ascii="Times New Roman" w:hAnsi="Times New Roman"/>
                <w:b w:val="0"/>
                <w:sz w:val="20"/>
              </w:rPr>
              <w:t>3</w:t>
            </w:r>
          </w:p>
        </w:tc>
        <w:tc>
          <w:tcPr>
            <w:tcW w:type="dxa" w:w="1303"/>
          </w:tcPr>
          <w:p>
            <w:pPr>
              <w:jc w:val="left"/>
            </w:pPr>
            <w:r>
              <w:rPr>
                <w:rFonts w:ascii="Times New Roman" w:hAnsi="Times New Roman"/>
                <w:b w:val="0"/>
                <w:sz w:val="20"/>
              </w:rPr>
              <w:t>D9_lgbm_maxw65</w:t>
            </w:r>
          </w:p>
        </w:tc>
        <w:tc>
          <w:tcPr>
            <w:tcW w:type="dxa" w:w="1303"/>
          </w:tcPr>
          <w:p>
            <w:pPr>
              <w:jc w:val="left"/>
            </w:pPr>
            <w:r>
              <w:rPr>
                <w:rFonts w:ascii="Times New Roman" w:hAnsi="Times New Roman"/>
                <w:b w:val="0"/>
                <w:sz w:val="20"/>
              </w:rPr>
              <w:t>0.912</w:t>
            </w:r>
          </w:p>
        </w:tc>
        <w:tc>
          <w:tcPr>
            <w:tcW w:type="dxa" w:w="1303"/>
          </w:tcPr>
          <w:p>
            <w:pPr>
              <w:jc w:val="left"/>
            </w:pPr>
            <w:r>
              <w:rPr>
                <w:rFonts w:ascii="Times New Roman" w:hAnsi="Times New Roman"/>
                <w:b w:val="0"/>
                <w:sz w:val="20"/>
              </w:rPr>
              <w:t>0.038</w:t>
            </w:r>
          </w:p>
        </w:tc>
        <w:tc>
          <w:tcPr>
            <w:tcW w:type="dxa" w:w="1303"/>
          </w:tcPr>
          <w:p>
            <w:pPr>
              <w:jc w:val="left"/>
            </w:pPr>
            <w:r>
              <w:rPr>
                <w:rFonts w:ascii="Times New Roman" w:hAnsi="Times New Roman"/>
                <w:b w:val="0"/>
                <w:sz w:val="20"/>
              </w:rPr>
              <w:t>+12.5%</w:t>
            </w:r>
          </w:p>
        </w:tc>
        <w:tc>
          <w:tcPr>
            <w:tcW w:type="dxa" w:w="1303"/>
          </w:tcPr>
          <w:p>
            <w:pPr>
              <w:jc w:val="left"/>
            </w:pPr>
            <w:r>
              <w:rPr>
                <w:rFonts w:ascii="Times New Roman" w:hAnsi="Times New Roman"/>
                <w:b w:val="0"/>
                <w:sz w:val="20"/>
              </w:rPr>
              <w:t>-21.8%</w:t>
            </w:r>
          </w:p>
        </w:tc>
        <w:tc>
          <w:tcPr>
            <w:tcW w:type="dxa" w:w="1303"/>
          </w:tcPr>
          <w:p>
            <w:pPr>
              <w:jc w:val="left"/>
            </w:pPr>
            <w:r>
              <w:rPr>
                <w:rFonts w:ascii="Times New Roman" w:hAnsi="Times New Roman"/>
                <w:b w:val="0"/>
                <w:sz w:val="20"/>
              </w:rPr>
              <w:t>LGBM maxW=0.65</w:t>
            </w:r>
          </w:p>
        </w:tc>
      </w:tr>
      <w:tr>
        <w:tc>
          <w:tcPr>
            <w:tcW w:type="dxa" w:w="1303"/>
          </w:tcPr>
          <w:p>
            <w:pPr>
              <w:jc w:val="left"/>
            </w:pPr>
            <w:r>
              <w:rPr>
                <w:rFonts w:ascii="Times New Roman" w:hAnsi="Times New Roman"/>
                <w:b w:val="0"/>
                <w:sz w:val="20"/>
              </w:rPr>
              <w:t>4</w:t>
            </w:r>
          </w:p>
        </w:tc>
        <w:tc>
          <w:tcPr>
            <w:tcW w:type="dxa" w:w="1303"/>
          </w:tcPr>
          <w:p>
            <w:pPr>
              <w:jc w:val="left"/>
            </w:pPr>
            <w:r>
              <w:rPr>
                <w:rFonts w:ascii="Times New Roman" w:hAnsi="Times New Roman"/>
                <w:b w:val="0"/>
                <w:sz w:val="20"/>
              </w:rPr>
              <w:t>D8_svr_maxw60</w:t>
            </w:r>
          </w:p>
        </w:tc>
        <w:tc>
          <w:tcPr>
            <w:tcW w:type="dxa" w:w="1303"/>
          </w:tcPr>
          <w:p>
            <w:pPr>
              <w:jc w:val="left"/>
            </w:pPr>
            <w:r>
              <w:rPr>
                <w:rFonts w:ascii="Times New Roman" w:hAnsi="Times New Roman"/>
                <w:b w:val="0"/>
                <w:sz w:val="20"/>
              </w:rPr>
              <w:t>0.903</w:t>
            </w:r>
          </w:p>
        </w:tc>
        <w:tc>
          <w:tcPr>
            <w:tcW w:type="dxa" w:w="1303"/>
          </w:tcPr>
          <w:p>
            <w:pPr>
              <w:jc w:val="left"/>
            </w:pPr>
            <w:r>
              <w:rPr>
                <w:rFonts w:ascii="Times New Roman" w:hAnsi="Times New Roman"/>
                <w:b w:val="0"/>
                <w:sz w:val="20"/>
              </w:rPr>
              <w:t>0.200</w:t>
            </w:r>
          </w:p>
        </w:tc>
        <w:tc>
          <w:tcPr>
            <w:tcW w:type="dxa" w:w="1303"/>
          </w:tcPr>
          <w:p>
            <w:pPr>
              <w:jc w:val="left"/>
            </w:pPr>
            <w:r>
              <w:rPr>
                <w:rFonts w:ascii="Times New Roman" w:hAnsi="Times New Roman"/>
                <w:b w:val="0"/>
                <w:sz w:val="20"/>
              </w:rPr>
              <w:t>+10.6%</w:t>
            </w:r>
          </w:p>
        </w:tc>
        <w:tc>
          <w:tcPr>
            <w:tcW w:type="dxa" w:w="1303"/>
          </w:tcPr>
          <w:p>
            <w:pPr>
              <w:jc w:val="left"/>
            </w:pPr>
            <w:r>
              <w:rPr>
                <w:rFonts w:ascii="Times New Roman" w:hAnsi="Times New Roman"/>
                <w:b w:val="0"/>
                <w:sz w:val="20"/>
              </w:rPr>
              <w:t>-18.3%</w:t>
            </w:r>
          </w:p>
        </w:tc>
        <w:tc>
          <w:tcPr>
            <w:tcW w:type="dxa" w:w="1303"/>
          </w:tcPr>
          <w:p>
            <w:pPr>
              <w:jc w:val="left"/>
            </w:pPr>
            <w:r>
              <w:rPr>
                <w:rFonts w:ascii="Times New Roman" w:hAnsi="Times New Roman"/>
                <w:b w:val="0"/>
                <w:sz w:val="20"/>
              </w:rPr>
              <w:t>SVR maxW=0.6</w:t>
            </w:r>
          </w:p>
        </w:tc>
      </w:tr>
      <w:tr>
        <w:tc>
          <w:tcPr>
            <w:tcW w:type="dxa" w:w="1303"/>
          </w:tcPr>
          <w:p>
            <w:pPr>
              <w:jc w:val="left"/>
            </w:pPr>
            <w:r>
              <w:rPr>
                <w:rFonts w:ascii="Times New Roman" w:hAnsi="Times New Roman"/>
                <w:b w:val="0"/>
                <w:sz w:val="20"/>
              </w:rPr>
              <w:t>5</w:t>
            </w:r>
          </w:p>
        </w:tc>
        <w:tc>
          <w:tcPr>
            <w:tcW w:type="dxa" w:w="1303"/>
          </w:tcPr>
          <w:p>
            <w:pPr>
              <w:jc w:val="left"/>
            </w:pPr>
            <w:r>
              <w:rPr>
                <w:rFonts w:ascii="Times New Roman" w:hAnsi="Times New Roman"/>
                <w:b w:val="0"/>
                <w:sz w:val="20"/>
              </w:rPr>
              <w:t>C22_lgbm_maxw60</w:t>
            </w:r>
          </w:p>
        </w:tc>
        <w:tc>
          <w:tcPr>
            <w:tcW w:type="dxa" w:w="1303"/>
          </w:tcPr>
          <w:p>
            <w:pPr>
              <w:jc w:val="left"/>
            </w:pPr>
            <w:r>
              <w:rPr>
                <w:rFonts w:ascii="Times New Roman" w:hAnsi="Times New Roman"/>
                <w:b w:val="0"/>
                <w:sz w:val="20"/>
              </w:rPr>
              <w:t>0.897</w:t>
            </w:r>
          </w:p>
        </w:tc>
        <w:tc>
          <w:tcPr>
            <w:tcW w:type="dxa" w:w="1303"/>
          </w:tcPr>
          <w:p>
            <w:pPr>
              <w:jc w:val="left"/>
            </w:pPr>
            <w:r>
              <w:rPr>
                <w:rFonts w:ascii="Times New Roman" w:hAnsi="Times New Roman"/>
                <w:b w:val="0"/>
                <w:sz w:val="20"/>
              </w:rPr>
              <w:t>0.038</w:t>
            </w:r>
          </w:p>
        </w:tc>
        <w:tc>
          <w:tcPr>
            <w:tcW w:type="dxa" w:w="1303"/>
          </w:tcPr>
          <w:p>
            <w:pPr>
              <w:jc w:val="left"/>
            </w:pPr>
            <w:r>
              <w:rPr>
                <w:rFonts w:ascii="Times New Roman" w:hAnsi="Times New Roman"/>
                <w:b w:val="0"/>
                <w:sz w:val="20"/>
              </w:rPr>
              <w:t>+12.2%</w:t>
            </w:r>
          </w:p>
        </w:tc>
        <w:tc>
          <w:tcPr>
            <w:tcW w:type="dxa" w:w="1303"/>
          </w:tcPr>
          <w:p>
            <w:pPr>
              <w:jc w:val="left"/>
            </w:pPr>
            <w:r>
              <w:rPr>
                <w:rFonts w:ascii="Times New Roman" w:hAnsi="Times New Roman"/>
                <w:b w:val="0"/>
                <w:sz w:val="20"/>
              </w:rPr>
              <w:t>-21.3%</w:t>
            </w:r>
          </w:p>
        </w:tc>
        <w:tc>
          <w:tcPr>
            <w:tcW w:type="dxa" w:w="1303"/>
          </w:tcPr>
          <w:p>
            <w:pPr>
              <w:jc w:val="left"/>
            </w:pPr>
            <w:r>
              <w:rPr>
                <w:rFonts w:ascii="Times New Roman" w:hAnsi="Times New Roman"/>
                <w:b w:val="0"/>
                <w:sz w:val="20"/>
              </w:rPr>
              <w:t>LGBM maxW=0.6 tc=10bps</w:t>
            </w:r>
          </w:p>
        </w:tc>
      </w:tr>
      <w:tr>
        <w:tc>
          <w:tcPr>
            <w:tcW w:type="dxa" w:w="1303"/>
          </w:tcPr>
          <w:p>
            <w:pPr>
              <w:jc w:val="left"/>
            </w:pPr>
            <w:r>
              <w:rPr>
                <w:rFonts w:ascii="Times New Roman" w:hAnsi="Times New Roman"/>
                <w:b w:val="0"/>
                <w:sz w:val="20"/>
              </w:rPr>
              <w:t>6</w:t>
            </w:r>
          </w:p>
        </w:tc>
        <w:tc>
          <w:tcPr>
            <w:tcW w:type="dxa" w:w="1303"/>
          </w:tcPr>
          <w:p>
            <w:pPr>
              <w:jc w:val="left"/>
            </w:pPr>
            <w:r>
              <w:rPr>
                <w:rFonts w:ascii="Times New Roman" w:hAnsi="Times New Roman"/>
                <w:b w:val="0"/>
                <w:sz w:val="20"/>
              </w:rPr>
              <w:t>C3_svr_macro</w:t>
            </w:r>
          </w:p>
        </w:tc>
        <w:tc>
          <w:tcPr>
            <w:tcW w:type="dxa" w:w="1303"/>
          </w:tcPr>
          <w:p>
            <w:pPr>
              <w:jc w:val="left"/>
            </w:pPr>
            <w:r>
              <w:rPr>
                <w:rFonts w:ascii="Times New Roman" w:hAnsi="Times New Roman"/>
                <w:b w:val="0"/>
                <w:sz w:val="20"/>
              </w:rPr>
              <w:t>0.868</w:t>
            </w:r>
          </w:p>
        </w:tc>
        <w:tc>
          <w:tcPr>
            <w:tcW w:type="dxa" w:w="1303"/>
          </w:tcPr>
          <w:p>
            <w:pPr>
              <w:jc w:val="left"/>
            </w:pPr>
            <w:r>
              <w:rPr>
                <w:rFonts w:ascii="Times New Roman" w:hAnsi="Times New Roman"/>
                <w:b w:val="0"/>
                <w:sz w:val="20"/>
              </w:rPr>
              <w:t>0.200</w:t>
            </w:r>
          </w:p>
        </w:tc>
        <w:tc>
          <w:tcPr>
            <w:tcW w:type="dxa" w:w="1303"/>
          </w:tcPr>
          <w:p>
            <w:pPr>
              <w:jc w:val="left"/>
            </w:pPr>
            <w:r>
              <w:rPr>
                <w:rFonts w:ascii="Times New Roman" w:hAnsi="Times New Roman"/>
                <w:b w:val="0"/>
                <w:sz w:val="20"/>
              </w:rPr>
              <w:t>+9.3%</w:t>
            </w:r>
          </w:p>
        </w:tc>
        <w:tc>
          <w:tcPr>
            <w:tcW w:type="dxa" w:w="1303"/>
          </w:tcPr>
          <w:p>
            <w:pPr>
              <w:jc w:val="left"/>
            </w:pPr>
            <w:r>
              <w:rPr>
                <w:rFonts w:ascii="Times New Roman" w:hAnsi="Times New Roman"/>
                <w:b w:val="0"/>
                <w:sz w:val="20"/>
              </w:rPr>
              <w:t>-17.8%</w:t>
            </w:r>
          </w:p>
        </w:tc>
        <w:tc>
          <w:tcPr>
            <w:tcW w:type="dxa" w:w="1303"/>
          </w:tcPr>
          <w:p>
            <w:pPr>
              <w:jc w:val="left"/>
            </w:pPr>
            <w:r>
              <w:rPr>
                <w:rFonts w:ascii="Times New Roman" w:hAnsi="Times New Roman"/>
                <w:b w:val="0"/>
                <w:sz w:val="20"/>
              </w:rPr>
              <w:t>SVR maxW=0.5</w:t>
            </w:r>
          </w:p>
        </w:tc>
      </w:tr>
      <w:tr>
        <w:tc>
          <w:tcPr>
            <w:tcW w:type="dxa" w:w="1303"/>
          </w:tcPr>
          <w:p>
            <w:pPr>
              <w:jc w:val="left"/>
            </w:pPr>
            <w:r>
              <w:rPr>
                <w:rFonts w:ascii="Times New Roman" w:hAnsi="Times New Roman"/>
                <w:b w:val="0"/>
                <w:sz w:val="20"/>
              </w:rPr>
              <w:t>7</w:t>
            </w:r>
          </w:p>
        </w:tc>
        <w:tc>
          <w:tcPr>
            <w:tcW w:type="dxa" w:w="1303"/>
          </w:tcPr>
          <w:p>
            <w:pPr>
              <w:jc w:val="left"/>
            </w:pPr>
            <w:r>
              <w:rPr>
                <w:rFonts w:ascii="Times New Roman" w:hAnsi="Times New Roman"/>
                <w:b w:val="0"/>
                <w:sz w:val="20"/>
              </w:rPr>
              <w:t>C30_lgbm_tc3</w:t>
            </w:r>
          </w:p>
        </w:tc>
        <w:tc>
          <w:tcPr>
            <w:tcW w:type="dxa" w:w="1303"/>
          </w:tcPr>
          <w:p>
            <w:pPr>
              <w:jc w:val="left"/>
            </w:pPr>
            <w:r>
              <w:rPr>
                <w:rFonts w:ascii="Times New Roman" w:hAnsi="Times New Roman"/>
                <w:b w:val="0"/>
                <w:sz w:val="20"/>
              </w:rPr>
              <w:t>0.844</w:t>
            </w:r>
          </w:p>
        </w:tc>
        <w:tc>
          <w:tcPr>
            <w:tcW w:type="dxa" w:w="1303"/>
          </w:tcPr>
          <w:p>
            <w:pPr>
              <w:jc w:val="left"/>
            </w:pPr>
            <w:r>
              <w:rPr>
                <w:rFonts w:ascii="Times New Roman" w:hAnsi="Times New Roman"/>
                <w:b w:val="0"/>
                <w:sz w:val="20"/>
              </w:rPr>
              <w:t>0.038</w:t>
            </w:r>
          </w:p>
        </w:tc>
        <w:tc>
          <w:tcPr>
            <w:tcW w:type="dxa" w:w="1303"/>
          </w:tcPr>
          <w:p>
            <w:pPr>
              <w:jc w:val="left"/>
            </w:pPr>
            <w:r>
              <w:rPr>
                <w:rFonts w:ascii="Times New Roman" w:hAnsi="Times New Roman"/>
                <w:b w:val="0"/>
                <w:sz w:val="20"/>
              </w:rPr>
              <w:t>+11.4%</w:t>
            </w:r>
          </w:p>
        </w:tc>
        <w:tc>
          <w:tcPr>
            <w:tcW w:type="dxa" w:w="1303"/>
          </w:tcPr>
          <w:p>
            <w:pPr>
              <w:jc w:val="left"/>
            </w:pPr>
            <w:r>
              <w:rPr>
                <w:rFonts w:ascii="Times New Roman" w:hAnsi="Times New Roman"/>
                <w:b w:val="0"/>
                <w:sz w:val="20"/>
              </w:rPr>
              <w:t>-20.3%</w:t>
            </w:r>
          </w:p>
        </w:tc>
        <w:tc>
          <w:tcPr>
            <w:tcW w:type="dxa" w:w="1303"/>
          </w:tcPr>
          <w:p>
            <w:pPr>
              <w:jc w:val="left"/>
            </w:pPr>
            <w:r>
              <w:rPr>
                <w:rFonts w:ascii="Times New Roman" w:hAnsi="Times New Roman"/>
                <w:b w:val="0"/>
                <w:sz w:val="20"/>
              </w:rPr>
              <w:t>LGBM tc=3bps</w:t>
            </w:r>
          </w:p>
        </w:tc>
      </w:tr>
      <w:tr>
        <w:tc>
          <w:tcPr>
            <w:tcW w:type="dxa" w:w="1303"/>
          </w:tcPr>
          <w:p>
            <w:pPr>
              <w:jc w:val="left"/>
            </w:pPr>
            <w:r>
              <w:rPr>
                <w:rFonts w:ascii="Times New Roman" w:hAnsi="Times New Roman"/>
                <w:b w:val="0"/>
                <w:sz w:val="20"/>
              </w:rPr>
              <w:t>8</w:t>
            </w:r>
          </w:p>
        </w:tc>
        <w:tc>
          <w:tcPr>
            <w:tcW w:type="dxa" w:w="1303"/>
          </w:tcPr>
          <w:p>
            <w:pPr>
              <w:jc w:val="left"/>
            </w:pPr>
            <w:r>
              <w:rPr>
                <w:rFonts w:ascii="Times New Roman" w:hAnsi="Times New Roman"/>
                <w:b w:val="0"/>
                <w:sz w:val="20"/>
              </w:rPr>
              <w:t>C25_lgbm_lam3</w:t>
            </w:r>
          </w:p>
        </w:tc>
        <w:tc>
          <w:tcPr>
            <w:tcW w:type="dxa" w:w="1303"/>
          </w:tcPr>
          <w:p>
            <w:pPr>
              <w:jc w:val="left"/>
            </w:pPr>
            <w:r>
              <w:rPr>
                <w:rFonts w:ascii="Times New Roman" w:hAnsi="Times New Roman"/>
                <w:b w:val="0"/>
                <w:sz w:val="20"/>
              </w:rPr>
              <w:t>0.838</w:t>
            </w:r>
          </w:p>
        </w:tc>
        <w:tc>
          <w:tcPr>
            <w:tcW w:type="dxa" w:w="1303"/>
          </w:tcPr>
          <w:p>
            <w:pPr>
              <w:jc w:val="left"/>
            </w:pPr>
            <w:r>
              <w:rPr>
                <w:rFonts w:ascii="Times New Roman" w:hAnsi="Times New Roman"/>
                <w:b w:val="0"/>
                <w:sz w:val="20"/>
              </w:rPr>
              <w:t>0.038</w:t>
            </w:r>
          </w:p>
        </w:tc>
        <w:tc>
          <w:tcPr>
            <w:tcW w:type="dxa" w:w="1303"/>
          </w:tcPr>
          <w:p>
            <w:pPr>
              <w:jc w:val="left"/>
            </w:pPr>
            <w:r>
              <w:rPr>
                <w:rFonts w:ascii="Times New Roman" w:hAnsi="Times New Roman"/>
                <w:b w:val="0"/>
                <w:sz w:val="20"/>
              </w:rPr>
              <w:t>+11.3%</w:t>
            </w:r>
          </w:p>
        </w:tc>
        <w:tc>
          <w:tcPr>
            <w:tcW w:type="dxa" w:w="1303"/>
          </w:tcPr>
          <w:p>
            <w:pPr>
              <w:jc w:val="left"/>
            </w:pPr>
            <w:r>
              <w:rPr>
                <w:rFonts w:ascii="Times New Roman" w:hAnsi="Times New Roman"/>
                <w:b w:val="0"/>
                <w:sz w:val="20"/>
              </w:rPr>
              <w:t>-20.3%</w:t>
            </w:r>
          </w:p>
        </w:tc>
        <w:tc>
          <w:tcPr>
            <w:tcW w:type="dxa" w:w="1303"/>
          </w:tcPr>
          <w:p>
            <w:pPr>
              <w:jc w:val="left"/>
            </w:pPr>
            <w:r>
              <w:rPr>
                <w:rFonts w:ascii="Times New Roman" w:hAnsi="Times New Roman"/>
                <w:b w:val="0"/>
                <w:sz w:val="20"/>
              </w:rPr>
              <w:t>LGBM lambda=3</w:t>
            </w:r>
          </w:p>
        </w:tc>
      </w:tr>
      <w:tr>
        <w:tc>
          <w:tcPr>
            <w:tcW w:type="dxa" w:w="1303"/>
          </w:tcPr>
          <w:p>
            <w:pPr>
              <w:jc w:val="left"/>
            </w:pPr>
            <w:r>
              <w:rPr>
                <w:rFonts w:ascii="Times New Roman" w:hAnsi="Times New Roman"/>
                <w:b w:val="0"/>
                <w:sz w:val="20"/>
              </w:rPr>
              <w:t>9</w:t>
            </w:r>
          </w:p>
        </w:tc>
        <w:tc>
          <w:tcPr>
            <w:tcW w:type="dxa" w:w="1303"/>
          </w:tcPr>
          <w:p>
            <w:pPr>
              <w:jc w:val="left"/>
            </w:pPr>
            <w:r>
              <w:rPr>
                <w:rFonts w:ascii="Times New Roman" w:hAnsi="Times New Roman"/>
                <w:b w:val="0"/>
                <w:sz w:val="20"/>
              </w:rPr>
              <w:t>A1_lgbm_maxw50_tc5</w:t>
            </w:r>
          </w:p>
        </w:tc>
        <w:tc>
          <w:tcPr>
            <w:tcW w:type="dxa" w:w="1303"/>
          </w:tcPr>
          <w:p>
            <w:pPr>
              <w:jc w:val="left"/>
            </w:pPr>
            <w:r>
              <w:rPr>
                <w:rFonts w:ascii="Times New Roman" w:hAnsi="Times New Roman"/>
                <w:b w:val="0"/>
                <w:sz w:val="20"/>
              </w:rPr>
              <w:t>0.832</w:t>
            </w:r>
          </w:p>
        </w:tc>
        <w:tc>
          <w:tcPr>
            <w:tcW w:type="dxa" w:w="1303"/>
          </w:tcPr>
          <w:p>
            <w:pPr>
              <w:jc w:val="left"/>
            </w:pPr>
            <w:r>
              <w:rPr>
                <w:rFonts w:ascii="Times New Roman" w:hAnsi="Times New Roman"/>
                <w:b w:val="0"/>
                <w:sz w:val="20"/>
              </w:rPr>
              <w:t>0.038</w:t>
            </w:r>
          </w:p>
        </w:tc>
        <w:tc>
          <w:tcPr>
            <w:tcW w:type="dxa" w:w="1303"/>
          </w:tcPr>
          <w:p>
            <w:pPr>
              <w:jc w:val="left"/>
            </w:pPr>
            <w:r>
              <w:rPr>
                <w:rFonts w:ascii="Times New Roman" w:hAnsi="Times New Roman"/>
                <w:b w:val="0"/>
                <w:sz w:val="20"/>
              </w:rPr>
              <w:t>+11.2%</w:t>
            </w:r>
          </w:p>
        </w:tc>
        <w:tc>
          <w:tcPr>
            <w:tcW w:type="dxa" w:w="1303"/>
          </w:tcPr>
          <w:p>
            <w:pPr>
              <w:jc w:val="left"/>
            </w:pPr>
            <w:r>
              <w:rPr>
                <w:rFonts w:ascii="Times New Roman" w:hAnsi="Times New Roman"/>
                <w:b w:val="0"/>
                <w:sz w:val="20"/>
              </w:rPr>
              <w:t>-20.6%</w:t>
            </w:r>
          </w:p>
        </w:tc>
        <w:tc>
          <w:tcPr>
            <w:tcW w:type="dxa" w:w="1303"/>
          </w:tcPr>
          <w:p>
            <w:pPr>
              <w:jc w:val="left"/>
            </w:pPr>
            <w:r>
              <w:rPr>
                <w:rFonts w:ascii="Times New Roman" w:hAnsi="Times New Roman"/>
                <w:b w:val="0"/>
                <w:sz w:val="20"/>
              </w:rPr>
              <w:t>LGBM maxW=0.5 tc=5bps</w:t>
            </w:r>
          </w:p>
        </w:tc>
      </w:tr>
      <w:tr>
        <w:tc>
          <w:tcPr>
            <w:tcW w:type="dxa" w:w="1303"/>
          </w:tcPr>
          <w:p>
            <w:pPr>
              <w:jc w:val="left"/>
            </w:pPr>
            <w:r>
              <w:rPr>
                <w:rFonts w:ascii="Times New Roman" w:hAnsi="Times New Roman"/>
                <w:b w:val="0"/>
                <w:sz w:val="20"/>
              </w:rPr>
              <w:t>10</w:t>
            </w:r>
          </w:p>
        </w:tc>
        <w:tc>
          <w:tcPr>
            <w:tcW w:type="dxa" w:w="1303"/>
          </w:tcPr>
          <w:p>
            <w:pPr>
              <w:jc w:val="left"/>
            </w:pPr>
            <w:r>
              <w:rPr>
                <w:rFonts w:ascii="Times New Roman" w:hAnsi="Times New Roman"/>
                <w:b w:val="0"/>
                <w:sz w:val="20"/>
              </w:rPr>
              <w:t>C23_lgbm_shrink10</w:t>
            </w:r>
          </w:p>
        </w:tc>
        <w:tc>
          <w:tcPr>
            <w:tcW w:type="dxa" w:w="1303"/>
          </w:tcPr>
          <w:p>
            <w:pPr>
              <w:jc w:val="left"/>
            </w:pPr>
            <w:r>
              <w:rPr>
                <w:rFonts w:ascii="Times New Roman" w:hAnsi="Times New Roman"/>
                <w:b w:val="0"/>
                <w:sz w:val="20"/>
              </w:rPr>
              <w:t>0.796</w:t>
            </w:r>
          </w:p>
        </w:tc>
        <w:tc>
          <w:tcPr>
            <w:tcW w:type="dxa" w:w="1303"/>
          </w:tcPr>
          <w:p>
            <w:pPr>
              <w:jc w:val="left"/>
            </w:pPr>
            <w:r>
              <w:rPr>
                <w:rFonts w:ascii="Times New Roman" w:hAnsi="Times New Roman"/>
                <w:b w:val="0"/>
                <w:sz w:val="20"/>
              </w:rPr>
              <w:t>0.038</w:t>
            </w:r>
          </w:p>
        </w:tc>
        <w:tc>
          <w:tcPr>
            <w:tcW w:type="dxa" w:w="1303"/>
          </w:tcPr>
          <w:p>
            <w:pPr>
              <w:jc w:val="left"/>
            </w:pPr>
            <w:r>
              <w:rPr>
                <w:rFonts w:ascii="Times New Roman" w:hAnsi="Times New Roman"/>
                <w:b w:val="0"/>
                <w:sz w:val="20"/>
              </w:rPr>
              <w:t>+10.7%</w:t>
            </w:r>
          </w:p>
        </w:tc>
        <w:tc>
          <w:tcPr>
            <w:tcW w:type="dxa" w:w="1303"/>
          </w:tcPr>
          <w:p>
            <w:pPr>
              <w:jc w:val="left"/>
            </w:pPr>
            <w:r>
              <w:rPr>
                <w:rFonts w:ascii="Times New Roman" w:hAnsi="Times New Roman"/>
                <w:b w:val="0"/>
                <w:sz w:val="20"/>
              </w:rPr>
              <w:t>-20.7%</w:t>
            </w:r>
          </w:p>
        </w:tc>
        <w:tc>
          <w:tcPr>
            <w:tcW w:type="dxa" w:w="1303"/>
          </w:tcPr>
          <w:p>
            <w:pPr>
              <w:jc w:val="left"/>
            </w:pPr>
            <w:r>
              <w:rPr>
                <w:rFonts w:ascii="Times New Roman" w:hAnsi="Times New Roman"/>
                <w:b w:val="0"/>
                <w:sz w:val="20"/>
              </w:rPr>
              <w:t>LGBM shrinkage=0.1</w:t>
            </w:r>
          </w:p>
        </w:tc>
      </w:tr>
    </w:tbl>
    <w:p/>
    <w:p>
      <w:pPr>
        <w:spacing w:line="360" w:lineRule="auto"/>
        <w:jc w:val="both"/>
      </w:pPr>
      <w:r>
        <w:t>Key AutoResearch Findings:</w:t>
      </w:r>
    </w:p>
    <w:p>
      <w:pPr>
        <w:pStyle w:val="ListBullet"/>
        <w:spacing w:line="360" w:lineRule="auto"/>
        <w:jc w:val="both"/>
      </w:pPr>
      <w:r>
        <w:t>60 of 72 experiments achieved positive Sharpe; 27 beat SPY (0.57)</w:t>
      </w:r>
    </w:p>
    <w:p>
      <w:pPr>
        <w:pStyle w:val="ListBullet"/>
        <w:spacing w:line="360" w:lineRule="auto"/>
        <w:jc w:val="both"/>
      </w:pPr>
      <w:r>
        <w:t>LightGBM dominates: top 8 of 10 spots are LightGBM variants</w:t>
      </w:r>
    </w:p>
    <w:p>
      <w:pPr>
        <w:pStyle w:val="ListBullet"/>
        <w:spacing w:line="360" w:lineRule="auto"/>
        <w:jc w:val="both"/>
      </w:pPr>
      <w:r>
        <w:t>SVR is #2 model (IC=0.200, highest of all)-discovered by the feedback loop, which flagged it as untried</w:t>
      </w:r>
    </w:p>
    <w:p>
      <w:pPr>
        <w:pStyle w:val="ListBullet"/>
        <w:spacing w:line="360" w:lineRule="auto"/>
        <w:jc w:val="both"/>
      </w:pPr>
      <w:r>
        <w:t>Concentration wins monotonically: maxW 0.7 &gt; 0.65 &gt; 0.6 &gt; 0.5 &gt; 0.4 &gt; 0.35 &gt; 0.3</w:t>
      </w:r>
    </w:p>
    <w:p>
      <w:pPr>
        <w:pStyle w:val="ListBullet"/>
        <w:spacing w:line="360" w:lineRule="auto"/>
        <w:jc w:val="both"/>
      </w:pPr>
      <w:r>
        <w:t>PCA hurts: experiments with PCA dimensionality reduction scored near zero</w:t>
      </w:r>
    </w:p>
    <w:p>
      <w:pPr>
        <w:pStyle w:val="ListBullet"/>
        <w:spacing w:line="360" w:lineRule="auto"/>
        <w:jc w:val="both"/>
      </w:pPr>
      <w:r>
        <w:t>Regime-conditional hurts: VIX-based model switching reduced training data too aggressively</w:t>
      </w:r>
    </w:p>
    <w:p>
      <w:pPr>
        <w:pStyle w:val="ListBullet"/>
        <w:spacing w:line="360" w:lineRule="auto"/>
        <w:jc w:val="both"/>
      </w:pPr>
      <w:r>
        <w:t>Ensembles underperform: IC-weighted LGBM+SVR+Ridge (Sharpe 0.66) trails single LGBM by 30%</w:t>
      </w:r>
    </w:p>
    <w:p>
      <w:pPr>
        <w:spacing w:line="360" w:lineRule="auto"/>
        <w:jc w:val="both"/>
      </w:pPr>
      <w:r>
        <w:t>Feedback Loop Convergence:</w:t>
      </w:r>
    </w:p>
    <w:p>
      <w:pPr>
        <w:spacing w:line="360" w:lineRule="auto"/>
        <w:jc w:val="both"/>
      </w:pPr>
      <w:r>
        <w:t>Standalone Sharpe improved across iterations: 0.803 → 0.832 → 0.897 → 0.938.</w:t>
      </w:r>
    </w:p>
    <w:p>
      <w:pPr>
        <w:pStyle w:val="Heading2"/>
      </w:pPr>
      <w:r>
        <w:t>4.2 Integrated Pipeline Results</w:t>
      </w:r>
    </w:p>
    <w:p>
      <w:pPr>
        <w:spacing w:line="360" w:lineRule="auto"/>
        <w:jc w:val="both"/>
      </w:pPr>
      <w:r>
        <w:t>The integrated pipeline runs the AutoResearch-optimized LightGBM through a walk-forward backtest, optionally adding MiroFish swarm features (17 columns) and risk overlay.</w:t>
      </w:r>
    </w:p>
    <w:p>
      <w:pPr>
        <w:spacing w:line="360" w:lineRule="auto"/>
        <w:jc w:val="both"/>
      </w:pPr>
      <w:r>
        <w:t>Table 2: Integrated Strategy Comparison (OOS 2022--2024)</w:t>
      </w:r>
    </w:p>
    <w:tbl>
      <w:tblPr>
        <w:tblStyle w:val="TableGrid"/>
        <w:tblW w:type="auto" w:w="0"/>
        <w:tblLook w:firstColumn="1" w:firstRow="1" w:lastColumn="0" w:lastRow="0" w:noHBand="0" w:noVBand="1" w:val="04A0"/>
      </w:tblPr>
      <w:tblGrid>
        <w:gridCol w:w="1303"/>
        <w:gridCol w:w="1303"/>
        <w:gridCol w:w="1303"/>
        <w:gridCol w:w="1303"/>
        <w:gridCol w:w="1303"/>
        <w:gridCol w:w="1303"/>
        <w:gridCol w:w="1303"/>
      </w:tblGrid>
      <w:tr>
        <w:tc>
          <w:tcPr>
            <w:tcW w:type="dxa" w:w="1303"/>
          </w:tcPr>
          <w:p>
            <w:pPr>
              <w:jc w:val="center"/>
            </w:pPr>
            <w:r>
              <w:rPr>
                <w:rFonts w:ascii="Times New Roman" w:hAnsi="Times New Roman"/>
                <w:b/>
                <w:sz w:val="20"/>
              </w:rPr>
              <w:t>Strategy</w:t>
            </w:r>
          </w:p>
        </w:tc>
        <w:tc>
          <w:tcPr>
            <w:tcW w:type="dxa" w:w="1303"/>
          </w:tcPr>
          <w:p>
            <w:pPr>
              <w:jc w:val="center"/>
            </w:pPr>
            <w:r>
              <w:rPr>
                <w:rFonts w:ascii="Times New Roman" w:hAnsi="Times New Roman"/>
                <w:b/>
                <w:sz w:val="20"/>
              </w:rPr>
              <w:t>Sharpe</w:t>
            </w:r>
          </w:p>
        </w:tc>
        <w:tc>
          <w:tcPr>
            <w:tcW w:type="dxa" w:w="1303"/>
          </w:tcPr>
          <w:p>
            <w:pPr>
              <w:jc w:val="center"/>
            </w:pPr>
            <w:r>
              <w:rPr>
                <w:rFonts w:ascii="Times New Roman" w:hAnsi="Times New Roman"/>
                <w:b/>
                <w:sz w:val="20"/>
              </w:rPr>
              <w:t>Sortino</w:t>
            </w:r>
          </w:p>
        </w:tc>
        <w:tc>
          <w:tcPr>
            <w:tcW w:type="dxa" w:w="1303"/>
          </w:tcPr>
          <w:p>
            <w:pPr>
              <w:jc w:val="center"/>
            </w:pPr>
            <w:r>
              <w:rPr>
                <w:rFonts w:ascii="Times New Roman" w:hAnsi="Times New Roman"/>
                <w:b/>
                <w:sz w:val="20"/>
              </w:rPr>
              <w:t>Ann. Return</w:t>
            </w:r>
          </w:p>
        </w:tc>
        <w:tc>
          <w:tcPr>
            <w:tcW w:type="dxa" w:w="1303"/>
          </w:tcPr>
          <w:p>
            <w:pPr>
              <w:jc w:val="center"/>
            </w:pPr>
            <w:r>
              <w:rPr>
                <w:rFonts w:ascii="Times New Roman" w:hAnsi="Times New Roman"/>
                <w:b/>
                <w:sz w:val="20"/>
              </w:rPr>
              <w:t>Ann. Vol</w:t>
            </w:r>
          </w:p>
        </w:tc>
        <w:tc>
          <w:tcPr>
            <w:tcW w:type="dxa" w:w="1303"/>
          </w:tcPr>
          <w:p>
            <w:pPr>
              <w:jc w:val="center"/>
            </w:pPr>
            <w:r>
              <w:rPr>
                <w:rFonts w:ascii="Times New Roman" w:hAnsi="Times New Roman"/>
                <w:b/>
                <w:sz w:val="20"/>
              </w:rPr>
              <w:t>Max DD</w:t>
            </w:r>
          </w:p>
        </w:tc>
        <w:tc>
          <w:tcPr>
            <w:tcW w:type="dxa" w:w="1303"/>
          </w:tcPr>
          <w:p>
            <w:pPr>
              <w:jc w:val="center"/>
            </w:pPr>
            <w:r>
              <w:rPr>
                <w:rFonts w:ascii="Times New Roman" w:hAnsi="Times New Roman"/>
                <w:b/>
                <w:sz w:val="20"/>
              </w:rPr>
              <w:t>Calmar</w:t>
            </w:r>
          </w:p>
        </w:tc>
      </w:tr>
      <w:tr>
        <w:tc>
          <w:tcPr>
            <w:tcW w:type="dxa" w:w="1303"/>
          </w:tcPr>
          <w:p>
            <w:pPr>
              <w:jc w:val="left"/>
            </w:pPr>
            <w:r>
              <w:rPr>
                <w:rFonts w:ascii="Times New Roman" w:hAnsi="Times New Roman"/>
                <w:b w:val="0"/>
                <w:sz w:val="20"/>
              </w:rPr>
              <w:t>ML-Only (tc=3bps)</w:t>
            </w:r>
          </w:p>
        </w:tc>
        <w:tc>
          <w:tcPr>
            <w:tcW w:type="dxa" w:w="1303"/>
          </w:tcPr>
          <w:p>
            <w:pPr>
              <w:jc w:val="left"/>
            </w:pPr>
            <w:r>
              <w:rPr>
                <w:rFonts w:ascii="Times New Roman" w:hAnsi="Times New Roman"/>
                <w:b w:val="0"/>
                <w:sz w:val="20"/>
              </w:rPr>
              <w:t>1.410</w:t>
            </w:r>
          </w:p>
        </w:tc>
        <w:tc>
          <w:tcPr>
            <w:tcW w:type="dxa" w:w="1303"/>
          </w:tcPr>
          <w:p>
            <w:pPr>
              <w:jc w:val="left"/>
            </w:pPr>
            <w:r>
              <w:rPr>
                <w:rFonts w:ascii="Times New Roman" w:hAnsi="Times New Roman"/>
                <w:b w:val="0"/>
                <w:sz w:val="20"/>
              </w:rPr>
              <w:t>2.126</w:t>
            </w:r>
          </w:p>
        </w:tc>
        <w:tc>
          <w:tcPr>
            <w:tcW w:type="dxa" w:w="1303"/>
          </w:tcPr>
          <w:p>
            <w:pPr>
              <w:jc w:val="left"/>
            </w:pPr>
            <w:r>
              <w:rPr>
                <w:rFonts w:ascii="Times New Roman" w:hAnsi="Times New Roman"/>
                <w:b w:val="0"/>
                <w:sz w:val="20"/>
              </w:rPr>
              <w:t>+20.7%</w:t>
            </w:r>
          </w:p>
        </w:tc>
        <w:tc>
          <w:tcPr>
            <w:tcW w:type="dxa" w:w="1303"/>
          </w:tcPr>
          <w:p>
            <w:pPr>
              <w:jc w:val="left"/>
            </w:pPr>
            <w:r>
              <w:rPr>
                <w:rFonts w:ascii="Times New Roman" w:hAnsi="Times New Roman"/>
                <w:b w:val="0"/>
                <w:sz w:val="20"/>
              </w:rPr>
              <w:t>14.7%</w:t>
            </w:r>
          </w:p>
        </w:tc>
        <w:tc>
          <w:tcPr>
            <w:tcW w:type="dxa" w:w="1303"/>
          </w:tcPr>
          <w:p>
            <w:pPr>
              <w:jc w:val="left"/>
            </w:pPr>
            <w:r>
              <w:rPr>
                <w:rFonts w:ascii="Times New Roman" w:hAnsi="Times New Roman"/>
                <w:b w:val="0"/>
                <w:sz w:val="20"/>
              </w:rPr>
              <w:t>-17.8%</w:t>
            </w:r>
          </w:p>
        </w:tc>
        <w:tc>
          <w:tcPr>
            <w:tcW w:type="dxa" w:w="1303"/>
          </w:tcPr>
          <w:p>
            <w:pPr>
              <w:jc w:val="left"/>
            </w:pPr>
            <w:r>
              <w:rPr>
                <w:rFonts w:ascii="Times New Roman" w:hAnsi="Times New Roman"/>
                <w:b w:val="0"/>
                <w:sz w:val="20"/>
              </w:rPr>
              <w:t>1.162</w:t>
            </w:r>
          </w:p>
        </w:tc>
      </w:tr>
      <w:tr>
        <w:tc>
          <w:tcPr>
            <w:tcW w:type="dxa" w:w="1303"/>
          </w:tcPr>
          <w:p>
            <w:pPr>
              <w:jc w:val="left"/>
            </w:pPr>
            <w:r>
              <w:rPr>
                <w:rFonts w:ascii="Times New Roman" w:hAnsi="Times New Roman"/>
                <w:b w:val="0"/>
                <w:sz w:val="20"/>
              </w:rPr>
              <w:t>ML-Only (tc=10bps)</w:t>
            </w:r>
          </w:p>
        </w:tc>
        <w:tc>
          <w:tcPr>
            <w:tcW w:type="dxa" w:w="1303"/>
          </w:tcPr>
          <w:p>
            <w:pPr>
              <w:jc w:val="left"/>
            </w:pPr>
            <w:r>
              <w:rPr>
                <w:rFonts w:ascii="Times New Roman" w:hAnsi="Times New Roman"/>
                <w:b w:val="0"/>
                <w:sz w:val="20"/>
              </w:rPr>
              <w:t>1.330</w:t>
            </w:r>
          </w:p>
        </w:tc>
        <w:tc>
          <w:tcPr>
            <w:tcW w:type="dxa" w:w="1303"/>
          </w:tcPr>
          <w:p>
            <w:pPr>
              <w:jc w:val="left"/>
            </w:pPr>
            <w:r>
              <w:rPr>
                <w:rFonts w:ascii="Times New Roman" w:hAnsi="Times New Roman"/>
                <w:b w:val="0"/>
                <w:sz w:val="20"/>
              </w:rPr>
              <w:t>1.999</w:t>
            </w:r>
          </w:p>
        </w:tc>
        <w:tc>
          <w:tcPr>
            <w:tcW w:type="dxa" w:w="1303"/>
          </w:tcPr>
          <w:p>
            <w:pPr>
              <w:jc w:val="left"/>
            </w:pPr>
            <w:r>
              <w:rPr>
                <w:rFonts w:ascii="Times New Roman" w:hAnsi="Times New Roman"/>
                <w:b w:val="0"/>
                <w:sz w:val="20"/>
              </w:rPr>
              <w:t>+19.6%</w:t>
            </w:r>
          </w:p>
        </w:tc>
        <w:tc>
          <w:tcPr>
            <w:tcW w:type="dxa" w:w="1303"/>
          </w:tcPr>
          <w:p>
            <w:pPr>
              <w:jc w:val="left"/>
            </w:pPr>
            <w:r>
              <w:rPr>
                <w:rFonts w:ascii="Times New Roman" w:hAnsi="Times New Roman"/>
                <w:b w:val="0"/>
                <w:sz w:val="20"/>
              </w:rPr>
              <w:t>14.7%</w:t>
            </w:r>
          </w:p>
        </w:tc>
        <w:tc>
          <w:tcPr>
            <w:tcW w:type="dxa" w:w="1303"/>
          </w:tcPr>
          <w:p>
            <w:pPr>
              <w:jc w:val="left"/>
            </w:pPr>
            <w:r>
              <w:rPr>
                <w:rFonts w:ascii="Times New Roman" w:hAnsi="Times New Roman"/>
                <w:b w:val="0"/>
                <w:sz w:val="20"/>
              </w:rPr>
              <w:t>-18.1%</w:t>
            </w:r>
          </w:p>
        </w:tc>
        <w:tc>
          <w:tcPr>
            <w:tcW w:type="dxa" w:w="1303"/>
          </w:tcPr>
          <w:p>
            <w:pPr>
              <w:jc w:val="left"/>
            </w:pPr>
            <w:r>
              <w:rPr>
                <w:rFonts w:ascii="Times New Roman" w:hAnsi="Times New Roman"/>
                <w:b w:val="0"/>
                <w:sz w:val="20"/>
              </w:rPr>
              <w:t>1.078</w:t>
            </w:r>
          </w:p>
        </w:tc>
      </w:tr>
      <w:tr>
        <w:tc>
          <w:tcPr>
            <w:tcW w:type="dxa" w:w="1303"/>
          </w:tcPr>
          <w:p>
            <w:pPr>
              <w:jc w:val="left"/>
            </w:pPr>
            <w:r>
              <w:rPr>
                <w:rFonts w:ascii="Times New Roman" w:hAnsi="Times New Roman"/>
                <w:b w:val="0"/>
                <w:sz w:val="20"/>
              </w:rPr>
              <w:t>ML + Swarm Overlay</w:t>
            </w:r>
          </w:p>
        </w:tc>
        <w:tc>
          <w:tcPr>
            <w:tcW w:type="dxa" w:w="1303"/>
          </w:tcPr>
          <w:p>
            <w:pPr>
              <w:jc w:val="left"/>
            </w:pPr>
            <w:r>
              <w:rPr>
                <w:rFonts w:ascii="Times New Roman" w:hAnsi="Times New Roman"/>
                <w:b w:val="0"/>
                <w:sz w:val="20"/>
              </w:rPr>
              <w:t>0.910</w:t>
            </w:r>
          </w:p>
        </w:tc>
        <w:tc>
          <w:tcPr>
            <w:tcW w:type="dxa" w:w="1303"/>
          </w:tcPr>
          <w:p>
            <w:pPr>
              <w:jc w:val="left"/>
            </w:pPr>
            <w:r>
              <w:rPr>
                <w:rFonts w:ascii="Times New Roman" w:hAnsi="Times New Roman"/>
                <w:b w:val="0"/>
                <w:sz w:val="20"/>
              </w:rPr>
              <w:t>1.402</w:t>
            </w:r>
          </w:p>
        </w:tc>
        <w:tc>
          <w:tcPr>
            <w:tcW w:type="dxa" w:w="1303"/>
          </w:tcPr>
          <w:p>
            <w:pPr>
              <w:jc w:val="left"/>
            </w:pPr>
            <w:r>
              <w:rPr>
                <w:rFonts w:ascii="Times New Roman" w:hAnsi="Times New Roman"/>
                <w:b w:val="0"/>
                <w:sz w:val="20"/>
              </w:rPr>
              <w:t>+10.7%</w:t>
            </w:r>
          </w:p>
        </w:tc>
        <w:tc>
          <w:tcPr>
            <w:tcW w:type="dxa" w:w="1303"/>
          </w:tcPr>
          <w:p>
            <w:pPr>
              <w:jc w:val="left"/>
            </w:pPr>
            <w:r>
              <w:rPr>
                <w:rFonts w:ascii="Times New Roman" w:hAnsi="Times New Roman"/>
                <w:b w:val="0"/>
                <w:sz w:val="20"/>
              </w:rPr>
              <w:t>11.8%</w:t>
            </w:r>
          </w:p>
        </w:tc>
        <w:tc>
          <w:tcPr>
            <w:tcW w:type="dxa" w:w="1303"/>
          </w:tcPr>
          <w:p>
            <w:pPr>
              <w:jc w:val="left"/>
            </w:pPr>
            <w:r>
              <w:rPr>
                <w:rFonts w:ascii="Times New Roman" w:hAnsi="Times New Roman"/>
                <w:b w:val="0"/>
                <w:sz w:val="20"/>
              </w:rPr>
              <w:t>-16.2%</w:t>
            </w:r>
          </w:p>
        </w:tc>
        <w:tc>
          <w:tcPr>
            <w:tcW w:type="dxa" w:w="1303"/>
          </w:tcPr>
          <w:p>
            <w:pPr>
              <w:jc w:val="left"/>
            </w:pPr>
            <w:r>
              <w:rPr>
                <w:rFonts w:ascii="Times New Roman" w:hAnsi="Times New Roman"/>
                <w:b w:val="0"/>
                <w:sz w:val="20"/>
              </w:rPr>
              <w:t>0.662</w:t>
            </w:r>
          </w:p>
        </w:tc>
      </w:tr>
      <w:tr>
        <w:tc>
          <w:tcPr>
            <w:tcW w:type="dxa" w:w="1303"/>
          </w:tcPr>
          <w:p>
            <w:pPr>
              <w:jc w:val="left"/>
            </w:pPr>
            <w:r>
              <w:rPr>
                <w:rFonts w:ascii="Times New Roman" w:hAnsi="Times New Roman"/>
                <w:b w:val="0"/>
                <w:sz w:val="20"/>
              </w:rPr>
              <w:t>SPY Buy &amp; Hold</w:t>
            </w:r>
          </w:p>
        </w:tc>
        <w:tc>
          <w:tcPr>
            <w:tcW w:type="dxa" w:w="1303"/>
          </w:tcPr>
          <w:p>
            <w:pPr>
              <w:jc w:val="left"/>
            </w:pPr>
            <w:r>
              <w:rPr>
                <w:rFonts w:ascii="Times New Roman" w:hAnsi="Times New Roman"/>
                <w:b w:val="0"/>
                <w:sz w:val="20"/>
              </w:rPr>
              <w:t>0.570</w:t>
            </w:r>
          </w:p>
        </w:tc>
        <w:tc>
          <w:tcPr>
            <w:tcW w:type="dxa" w:w="1303"/>
          </w:tcPr>
          <w:p>
            <w:pPr>
              <w:jc w:val="left"/>
            </w:pPr>
            <w:r>
              <w:rPr>
                <w:rFonts w:ascii="Times New Roman" w:hAnsi="Times New Roman"/>
                <w:b w:val="0"/>
                <w:sz w:val="20"/>
              </w:rPr>
              <w:t>0.809</w:t>
            </w:r>
          </w:p>
        </w:tc>
        <w:tc>
          <w:tcPr>
            <w:tcW w:type="dxa" w:w="1303"/>
          </w:tcPr>
          <w:p>
            <w:pPr>
              <w:jc w:val="left"/>
            </w:pPr>
            <w:r>
              <w:rPr>
                <w:rFonts w:ascii="Times New Roman" w:hAnsi="Times New Roman"/>
                <w:b w:val="0"/>
                <w:sz w:val="20"/>
              </w:rPr>
              <w:t>+10.0%</w:t>
            </w:r>
          </w:p>
        </w:tc>
        <w:tc>
          <w:tcPr>
            <w:tcW w:type="dxa" w:w="1303"/>
          </w:tcPr>
          <w:p>
            <w:pPr>
              <w:jc w:val="left"/>
            </w:pPr>
            <w:r>
              <w:rPr>
                <w:rFonts w:ascii="Times New Roman" w:hAnsi="Times New Roman"/>
                <w:b w:val="0"/>
                <w:sz w:val="20"/>
              </w:rPr>
              <w:t>17.5%</w:t>
            </w:r>
          </w:p>
        </w:tc>
        <w:tc>
          <w:tcPr>
            <w:tcW w:type="dxa" w:w="1303"/>
          </w:tcPr>
          <w:p>
            <w:pPr>
              <w:jc w:val="left"/>
            </w:pPr>
            <w:r>
              <w:rPr>
                <w:rFonts w:ascii="Times New Roman" w:hAnsi="Times New Roman"/>
                <w:b w:val="0"/>
                <w:sz w:val="20"/>
              </w:rPr>
              <w:t>-24.5%</w:t>
            </w:r>
          </w:p>
        </w:tc>
        <w:tc>
          <w:tcPr>
            <w:tcW w:type="dxa" w:w="1303"/>
          </w:tcPr>
          <w:p>
            <w:pPr>
              <w:jc w:val="left"/>
            </w:pPr>
            <w:r>
              <w:rPr>
                <w:rFonts w:ascii="Times New Roman" w:hAnsi="Times New Roman"/>
                <w:b w:val="0"/>
                <w:sz w:val="20"/>
              </w:rPr>
              <w:t>0.408</w:t>
            </w:r>
          </w:p>
        </w:tc>
      </w:tr>
      <w:tr>
        <w:tc>
          <w:tcPr>
            <w:tcW w:type="dxa" w:w="1303"/>
          </w:tcPr>
          <w:p>
            <w:pPr>
              <w:jc w:val="left"/>
            </w:pPr>
            <w:r>
              <w:rPr>
                <w:rFonts w:ascii="Times New Roman" w:hAnsi="Times New Roman"/>
                <w:b w:val="0"/>
                <w:sz w:val="20"/>
              </w:rPr>
              <w:t>Swarm-Only</w:t>
            </w:r>
          </w:p>
        </w:tc>
        <w:tc>
          <w:tcPr>
            <w:tcW w:type="dxa" w:w="1303"/>
          </w:tcPr>
          <w:p>
            <w:pPr>
              <w:jc w:val="left"/>
            </w:pPr>
            <w:r>
              <w:rPr>
                <w:rFonts w:ascii="Times New Roman" w:hAnsi="Times New Roman"/>
                <w:b w:val="0"/>
                <w:sz w:val="20"/>
              </w:rPr>
              <w:t>0.325</w:t>
            </w:r>
          </w:p>
        </w:tc>
        <w:tc>
          <w:tcPr>
            <w:tcW w:type="dxa" w:w="1303"/>
          </w:tcPr>
          <w:p>
            <w:pPr>
              <w:jc w:val="left"/>
            </w:pPr>
            <w:r>
              <w:rPr>
                <w:rFonts w:ascii="Times New Roman" w:hAnsi="Times New Roman"/>
                <w:b w:val="0"/>
                <w:sz w:val="20"/>
              </w:rPr>
              <w:t>0.462</w:t>
            </w:r>
          </w:p>
        </w:tc>
        <w:tc>
          <w:tcPr>
            <w:tcW w:type="dxa" w:w="1303"/>
          </w:tcPr>
          <w:p>
            <w:pPr>
              <w:jc w:val="left"/>
            </w:pPr>
            <w:r>
              <w:rPr>
                <w:rFonts w:ascii="Times New Roman" w:hAnsi="Times New Roman"/>
                <w:b w:val="0"/>
                <w:sz w:val="20"/>
              </w:rPr>
              <w:t>+3.4%</w:t>
            </w:r>
          </w:p>
        </w:tc>
        <w:tc>
          <w:tcPr>
            <w:tcW w:type="dxa" w:w="1303"/>
          </w:tcPr>
          <w:p>
            <w:pPr>
              <w:jc w:val="left"/>
            </w:pPr>
            <w:r>
              <w:rPr>
                <w:rFonts w:ascii="Times New Roman" w:hAnsi="Times New Roman"/>
                <w:b w:val="0"/>
                <w:sz w:val="20"/>
              </w:rPr>
              <w:t>10.4%</w:t>
            </w:r>
          </w:p>
        </w:tc>
        <w:tc>
          <w:tcPr>
            <w:tcW w:type="dxa" w:w="1303"/>
          </w:tcPr>
          <w:p>
            <w:pPr>
              <w:jc w:val="left"/>
            </w:pPr>
            <w:r>
              <w:rPr>
                <w:rFonts w:ascii="Times New Roman" w:hAnsi="Times New Roman"/>
                <w:b w:val="0"/>
                <w:sz w:val="20"/>
              </w:rPr>
              <w:t>-19.2%</w:t>
            </w:r>
          </w:p>
        </w:tc>
        <w:tc>
          <w:tcPr>
            <w:tcW w:type="dxa" w:w="1303"/>
          </w:tcPr>
          <w:p>
            <w:pPr>
              <w:jc w:val="left"/>
            </w:pPr>
            <w:r>
              <w:rPr>
                <w:rFonts w:ascii="Times New Roman" w:hAnsi="Times New Roman"/>
                <w:b w:val="0"/>
                <w:sz w:val="20"/>
              </w:rPr>
              <w:t>0.176</w:t>
            </w:r>
          </w:p>
        </w:tc>
      </w:tr>
      <w:tr>
        <w:tc>
          <w:tcPr>
            <w:tcW w:type="dxa" w:w="1303"/>
          </w:tcPr>
          <w:p>
            <w:pPr>
              <w:jc w:val="left"/>
            </w:pPr>
            <w:r>
              <w:rPr>
                <w:rFonts w:ascii="Times New Roman" w:hAnsi="Times New Roman"/>
                <w:b w:val="0"/>
                <w:sz w:val="20"/>
              </w:rPr>
              <w:t>Equal Weight (1/N)</w:t>
            </w:r>
          </w:p>
        </w:tc>
        <w:tc>
          <w:tcPr>
            <w:tcW w:type="dxa" w:w="1303"/>
          </w:tcPr>
          <w:p>
            <w:pPr>
              <w:jc w:val="left"/>
            </w:pPr>
            <w:r>
              <w:rPr>
                <w:rFonts w:ascii="Times New Roman" w:hAnsi="Times New Roman"/>
                <w:b w:val="0"/>
                <w:sz w:val="20"/>
              </w:rPr>
              <w:t>0.129</w:t>
            </w:r>
          </w:p>
        </w:tc>
        <w:tc>
          <w:tcPr>
            <w:tcW w:type="dxa" w:w="1303"/>
          </w:tcPr>
          <w:p>
            <w:pPr>
              <w:jc w:val="left"/>
            </w:pPr>
            <w:r>
              <w:rPr>
                <w:rFonts w:ascii="Times New Roman" w:hAnsi="Times New Roman"/>
                <w:b w:val="0"/>
                <w:sz w:val="20"/>
              </w:rPr>
              <w:t>0.195</w:t>
            </w:r>
          </w:p>
        </w:tc>
        <w:tc>
          <w:tcPr>
            <w:tcW w:type="dxa" w:w="1303"/>
          </w:tcPr>
          <w:p>
            <w:pPr>
              <w:jc w:val="left"/>
            </w:pPr>
            <w:r>
              <w:rPr>
                <w:rFonts w:ascii="Times New Roman" w:hAnsi="Times New Roman"/>
                <w:b w:val="0"/>
                <w:sz w:val="20"/>
              </w:rPr>
              <w:t>+1.3%</w:t>
            </w:r>
          </w:p>
        </w:tc>
        <w:tc>
          <w:tcPr>
            <w:tcW w:type="dxa" w:w="1303"/>
          </w:tcPr>
          <w:p>
            <w:pPr>
              <w:jc w:val="left"/>
            </w:pPr>
            <w:r>
              <w:rPr>
                <w:rFonts w:ascii="Times New Roman" w:hAnsi="Times New Roman"/>
                <w:b w:val="0"/>
                <w:sz w:val="20"/>
              </w:rPr>
              <w:t>10.4%</w:t>
            </w:r>
          </w:p>
        </w:tc>
        <w:tc>
          <w:tcPr>
            <w:tcW w:type="dxa" w:w="1303"/>
          </w:tcPr>
          <w:p>
            <w:pPr>
              <w:jc w:val="left"/>
            </w:pPr>
            <w:r>
              <w:rPr>
                <w:rFonts w:ascii="Times New Roman" w:hAnsi="Times New Roman"/>
                <w:b w:val="0"/>
                <w:sz w:val="20"/>
              </w:rPr>
              <w:t>-18.9%</w:t>
            </w:r>
          </w:p>
        </w:tc>
        <w:tc>
          <w:tcPr>
            <w:tcW w:type="dxa" w:w="1303"/>
          </w:tcPr>
          <w:p>
            <w:pPr>
              <w:jc w:val="left"/>
            </w:pPr>
            <w:r>
              <w:rPr>
                <w:rFonts w:ascii="Times New Roman" w:hAnsi="Times New Roman"/>
                <w:b w:val="0"/>
                <w:sz w:val="20"/>
              </w:rPr>
              <w:t>0.071</w:t>
            </w:r>
          </w:p>
        </w:tc>
      </w:tr>
    </w:tbl>
    <w:p/>
    <w:p>
      <w:pPr>
        <w:spacing w:line="360" w:lineRule="auto"/>
        <w:jc w:val="both"/>
      </w:pPr>
      <w:r>
        <w:t>The ML-Only strategy at conservative transaction costs (10 bps) returns 2.3x SPY's Sharpe with 6.4% less maximum drawdown.</w:t>
      </w:r>
    </w:p>
    <w:p>
      <w:pPr>
        <w:pStyle w:val="Heading2"/>
      </w:pPr>
      <w:r>
        <w:t>4.3 Walk-Forward Baseline (Phase 2)</w:t>
      </w:r>
    </w:p>
    <w:p>
      <w:pPr>
        <w:spacing w:line="360" w:lineRule="auto"/>
        <w:jc w:val="both"/>
      </w:pPr>
      <w:r>
        <w:t>Before the integrated system, we ran standard walk-forward backtests with quarterly retraining:</w:t>
      </w:r>
    </w:p>
    <w:p>
      <w:pPr>
        <w:spacing w:line="360" w:lineRule="auto"/>
        <w:jc w:val="both"/>
      </w:pPr>
      <w:r>
        <w:t>Table 3: Walk-Forward Results (Quarterly Retraining, OOS 2022--2024)</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pPr>
              <w:jc w:val="center"/>
            </w:pPr>
            <w:r>
              <w:rPr>
                <w:rFonts w:ascii="Times New Roman" w:hAnsi="Times New Roman"/>
                <w:b/>
                <w:sz w:val="20"/>
              </w:rPr>
              <w:t>Strategy</w:t>
            </w:r>
          </w:p>
        </w:tc>
        <w:tc>
          <w:tcPr>
            <w:tcW w:type="dxa" w:w="1824"/>
          </w:tcPr>
          <w:p>
            <w:pPr>
              <w:jc w:val="center"/>
            </w:pPr>
            <w:r>
              <w:rPr>
                <w:rFonts w:ascii="Times New Roman" w:hAnsi="Times New Roman"/>
                <w:b/>
                <w:sz w:val="20"/>
              </w:rPr>
              <w:t>Sharpe</w:t>
            </w:r>
          </w:p>
        </w:tc>
        <w:tc>
          <w:tcPr>
            <w:tcW w:type="dxa" w:w="1824"/>
          </w:tcPr>
          <w:p>
            <w:pPr>
              <w:jc w:val="center"/>
            </w:pPr>
            <w:r>
              <w:rPr>
                <w:rFonts w:ascii="Times New Roman" w:hAnsi="Times New Roman"/>
                <w:b/>
                <w:sz w:val="20"/>
              </w:rPr>
              <w:t>Ann. Return</w:t>
            </w:r>
          </w:p>
        </w:tc>
        <w:tc>
          <w:tcPr>
            <w:tcW w:type="dxa" w:w="1824"/>
          </w:tcPr>
          <w:p>
            <w:pPr>
              <w:jc w:val="center"/>
            </w:pPr>
            <w:r>
              <w:rPr>
                <w:rFonts w:ascii="Times New Roman" w:hAnsi="Times New Roman"/>
                <w:b/>
                <w:sz w:val="20"/>
              </w:rPr>
              <w:t>Ann. Vol</w:t>
            </w:r>
          </w:p>
        </w:tc>
        <w:tc>
          <w:tcPr>
            <w:tcW w:type="dxa" w:w="1824"/>
          </w:tcPr>
          <w:p>
            <w:pPr>
              <w:jc w:val="center"/>
            </w:pPr>
            <w:r>
              <w:rPr>
                <w:rFonts w:ascii="Times New Roman" w:hAnsi="Times New Roman"/>
                <w:b/>
                <w:sz w:val="20"/>
              </w:rPr>
              <w:t>Max DD</w:t>
            </w:r>
          </w:p>
        </w:tc>
      </w:tr>
      <w:tr>
        <w:tc>
          <w:tcPr>
            <w:tcW w:type="dxa" w:w="1824"/>
          </w:tcPr>
          <w:p>
            <w:pPr>
              <w:jc w:val="left"/>
            </w:pPr>
            <w:r>
              <w:rPr>
                <w:rFonts w:ascii="Times New Roman" w:hAnsi="Times New Roman"/>
                <w:b w:val="0"/>
                <w:sz w:val="20"/>
              </w:rPr>
              <w:t>WF RandomForest</w:t>
            </w:r>
          </w:p>
        </w:tc>
        <w:tc>
          <w:tcPr>
            <w:tcW w:type="dxa" w:w="1824"/>
          </w:tcPr>
          <w:p>
            <w:pPr>
              <w:jc w:val="left"/>
            </w:pPr>
            <w:r>
              <w:rPr>
                <w:rFonts w:ascii="Times New Roman" w:hAnsi="Times New Roman"/>
                <w:b w:val="0"/>
                <w:sz w:val="20"/>
              </w:rPr>
              <w:t>0.969</w:t>
            </w:r>
          </w:p>
        </w:tc>
        <w:tc>
          <w:tcPr>
            <w:tcW w:type="dxa" w:w="1824"/>
          </w:tcPr>
          <w:p>
            <w:pPr>
              <w:jc w:val="left"/>
            </w:pPr>
            <w:r>
              <w:rPr>
                <w:rFonts w:ascii="Times New Roman" w:hAnsi="Times New Roman"/>
                <w:b w:val="0"/>
                <w:sz w:val="20"/>
              </w:rPr>
              <w:t>+13.2%</w:t>
            </w:r>
          </w:p>
        </w:tc>
        <w:tc>
          <w:tcPr>
            <w:tcW w:type="dxa" w:w="1824"/>
          </w:tcPr>
          <w:p>
            <w:pPr>
              <w:jc w:val="left"/>
            </w:pPr>
            <w:r>
              <w:rPr>
                <w:rFonts w:ascii="Times New Roman" w:hAnsi="Times New Roman"/>
                <w:b w:val="0"/>
                <w:sz w:val="20"/>
              </w:rPr>
              <w:t>13.6%</w:t>
            </w:r>
          </w:p>
        </w:tc>
        <w:tc>
          <w:tcPr>
            <w:tcW w:type="dxa" w:w="1824"/>
          </w:tcPr>
          <w:p>
            <w:pPr>
              <w:jc w:val="left"/>
            </w:pPr>
            <w:r>
              <w:rPr>
                <w:rFonts w:ascii="Times New Roman" w:hAnsi="Times New Roman"/>
                <w:b w:val="0"/>
                <w:sz w:val="20"/>
              </w:rPr>
              <w:t>-12.3%</w:t>
            </w:r>
          </w:p>
        </w:tc>
      </w:tr>
      <w:tr>
        <w:tc>
          <w:tcPr>
            <w:tcW w:type="dxa" w:w="1824"/>
          </w:tcPr>
          <w:p>
            <w:pPr>
              <w:jc w:val="left"/>
            </w:pPr>
            <w:r>
              <w:rPr>
                <w:rFonts w:ascii="Times New Roman" w:hAnsi="Times New Roman"/>
                <w:b w:val="0"/>
                <w:sz w:val="20"/>
              </w:rPr>
              <w:t>Ensemble (RF+LGBM+Lasso)</w:t>
            </w:r>
          </w:p>
        </w:tc>
        <w:tc>
          <w:tcPr>
            <w:tcW w:type="dxa" w:w="1824"/>
          </w:tcPr>
          <w:p>
            <w:pPr>
              <w:jc w:val="left"/>
            </w:pPr>
            <w:r>
              <w:rPr>
                <w:rFonts w:ascii="Times New Roman" w:hAnsi="Times New Roman"/>
                <w:b w:val="0"/>
                <w:sz w:val="20"/>
              </w:rPr>
              <w:t>0.710</w:t>
            </w:r>
          </w:p>
        </w:tc>
        <w:tc>
          <w:tcPr>
            <w:tcW w:type="dxa" w:w="1824"/>
          </w:tcPr>
          <w:p>
            <w:pPr>
              <w:jc w:val="left"/>
            </w:pPr>
            <w:r>
              <w:rPr>
                <w:rFonts w:ascii="Times New Roman" w:hAnsi="Times New Roman"/>
                <w:b w:val="0"/>
                <w:sz w:val="20"/>
              </w:rPr>
              <w:t>+9.3%</w:t>
            </w:r>
          </w:p>
        </w:tc>
        <w:tc>
          <w:tcPr>
            <w:tcW w:type="dxa" w:w="1824"/>
          </w:tcPr>
          <w:p>
            <w:pPr>
              <w:jc w:val="left"/>
            </w:pPr>
            <w:r>
              <w:rPr>
                <w:rFonts w:ascii="Times New Roman" w:hAnsi="Times New Roman"/>
                <w:b w:val="0"/>
                <w:sz w:val="20"/>
              </w:rPr>
              <w:t>13.1%</w:t>
            </w:r>
          </w:p>
        </w:tc>
        <w:tc>
          <w:tcPr>
            <w:tcW w:type="dxa" w:w="1824"/>
          </w:tcPr>
          <w:p>
            <w:pPr>
              <w:jc w:val="left"/>
            </w:pPr>
            <w:r>
              <w:rPr>
                <w:rFonts w:ascii="Times New Roman" w:hAnsi="Times New Roman"/>
                <w:b w:val="0"/>
                <w:sz w:val="20"/>
              </w:rPr>
              <w:t>-17.9%</w:t>
            </w:r>
          </w:p>
        </w:tc>
      </w:tr>
      <w:tr>
        <w:tc>
          <w:tcPr>
            <w:tcW w:type="dxa" w:w="1824"/>
          </w:tcPr>
          <w:p>
            <w:pPr>
              <w:jc w:val="left"/>
            </w:pPr>
            <w:r>
              <w:rPr>
                <w:rFonts w:ascii="Times New Roman" w:hAnsi="Times New Roman"/>
                <w:b w:val="0"/>
                <w:sz w:val="20"/>
              </w:rPr>
              <w:t>SPY Buy &amp; Hold</w:t>
            </w:r>
          </w:p>
        </w:tc>
        <w:tc>
          <w:tcPr>
            <w:tcW w:type="dxa" w:w="1824"/>
          </w:tcPr>
          <w:p>
            <w:pPr>
              <w:jc w:val="left"/>
            </w:pPr>
            <w:r>
              <w:rPr>
                <w:rFonts w:ascii="Times New Roman" w:hAnsi="Times New Roman"/>
                <w:b w:val="0"/>
                <w:sz w:val="20"/>
              </w:rPr>
              <w:t>0.671</w:t>
            </w:r>
          </w:p>
        </w:tc>
        <w:tc>
          <w:tcPr>
            <w:tcW w:type="dxa" w:w="1824"/>
          </w:tcPr>
          <w:p>
            <w:pPr>
              <w:jc w:val="left"/>
            </w:pPr>
            <w:r>
              <w:rPr>
                <w:rFonts w:ascii="Times New Roman" w:hAnsi="Times New Roman"/>
                <w:b w:val="0"/>
                <w:sz w:val="20"/>
              </w:rPr>
              <w:t>+11.7%</w:t>
            </w:r>
          </w:p>
        </w:tc>
        <w:tc>
          <w:tcPr>
            <w:tcW w:type="dxa" w:w="1824"/>
          </w:tcPr>
          <w:p>
            <w:pPr>
              <w:jc w:val="left"/>
            </w:pPr>
            <w:r>
              <w:rPr>
                <w:rFonts w:ascii="Times New Roman" w:hAnsi="Times New Roman"/>
                <w:b w:val="0"/>
                <w:sz w:val="20"/>
              </w:rPr>
              <w:t>17.5%</w:t>
            </w:r>
          </w:p>
        </w:tc>
        <w:tc>
          <w:tcPr>
            <w:tcW w:type="dxa" w:w="1824"/>
          </w:tcPr>
          <w:p>
            <w:pPr>
              <w:jc w:val="left"/>
            </w:pPr>
            <w:r>
              <w:rPr>
                <w:rFonts w:ascii="Times New Roman" w:hAnsi="Times New Roman"/>
                <w:b w:val="0"/>
                <w:sz w:val="20"/>
              </w:rPr>
              <w:t>-22.1%</w:t>
            </w:r>
          </w:p>
        </w:tc>
      </w:tr>
      <w:tr>
        <w:tc>
          <w:tcPr>
            <w:tcW w:type="dxa" w:w="1824"/>
          </w:tcPr>
          <w:p>
            <w:pPr>
              <w:jc w:val="left"/>
            </w:pPr>
            <w:r>
              <w:rPr>
                <w:rFonts w:ascii="Times New Roman" w:hAnsi="Times New Roman"/>
                <w:b w:val="0"/>
                <w:sz w:val="20"/>
              </w:rPr>
              <w:t>60/40</w:t>
            </w:r>
          </w:p>
        </w:tc>
        <w:tc>
          <w:tcPr>
            <w:tcW w:type="dxa" w:w="1824"/>
          </w:tcPr>
          <w:p>
            <w:pPr>
              <w:jc w:val="left"/>
            </w:pPr>
            <w:r>
              <w:rPr>
                <w:rFonts w:ascii="Times New Roman" w:hAnsi="Times New Roman"/>
                <w:b w:val="0"/>
                <w:sz w:val="20"/>
              </w:rPr>
              <w:t>0.558</w:t>
            </w:r>
          </w:p>
        </w:tc>
        <w:tc>
          <w:tcPr>
            <w:tcW w:type="dxa" w:w="1824"/>
          </w:tcPr>
          <w:p>
            <w:pPr>
              <w:jc w:val="left"/>
            </w:pPr>
            <w:r>
              <w:rPr>
                <w:rFonts w:ascii="Times New Roman" w:hAnsi="Times New Roman"/>
                <w:b w:val="0"/>
                <w:sz w:val="20"/>
              </w:rPr>
              <w:t>+6.4%</w:t>
            </w:r>
          </w:p>
        </w:tc>
        <w:tc>
          <w:tcPr>
            <w:tcW w:type="dxa" w:w="1824"/>
          </w:tcPr>
          <w:p>
            <w:pPr>
              <w:jc w:val="left"/>
            </w:pPr>
            <w:r>
              <w:rPr>
                <w:rFonts w:ascii="Times New Roman" w:hAnsi="Times New Roman"/>
                <w:b w:val="0"/>
                <w:sz w:val="20"/>
              </w:rPr>
              <w:t>11.5%</w:t>
            </w:r>
          </w:p>
        </w:tc>
        <w:tc>
          <w:tcPr>
            <w:tcW w:type="dxa" w:w="1824"/>
          </w:tcPr>
          <w:p>
            <w:pPr>
              <w:jc w:val="left"/>
            </w:pPr>
            <w:r>
              <w:rPr>
                <w:rFonts w:ascii="Times New Roman" w:hAnsi="Times New Roman"/>
                <w:b w:val="0"/>
                <w:sz w:val="20"/>
              </w:rPr>
              <w:t>-17.5%</w:t>
            </w:r>
          </w:p>
        </w:tc>
      </w:tr>
      <w:tr>
        <w:tc>
          <w:tcPr>
            <w:tcW w:type="dxa" w:w="1824"/>
          </w:tcPr>
          <w:p>
            <w:pPr>
              <w:jc w:val="left"/>
            </w:pPr>
            <w:r>
              <w:rPr>
                <w:rFonts w:ascii="Times New Roman" w:hAnsi="Times New Roman"/>
                <w:b w:val="0"/>
                <w:sz w:val="20"/>
              </w:rPr>
              <w:t>WF Lasso</w:t>
            </w:r>
          </w:p>
        </w:tc>
        <w:tc>
          <w:tcPr>
            <w:tcW w:type="dxa" w:w="1824"/>
          </w:tcPr>
          <w:p>
            <w:pPr>
              <w:jc w:val="left"/>
            </w:pPr>
            <w:r>
              <w:rPr>
                <w:rFonts w:ascii="Times New Roman" w:hAnsi="Times New Roman"/>
                <w:b w:val="0"/>
                <w:sz w:val="20"/>
              </w:rPr>
              <w:t>0.521</w:t>
            </w:r>
          </w:p>
        </w:tc>
        <w:tc>
          <w:tcPr>
            <w:tcW w:type="dxa" w:w="1824"/>
          </w:tcPr>
          <w:p>
            <w:pPr>
              <w:jc w:val="left"/>
            </w:pPr>
            <w:r>
              <w:rPr>
                <w:rFonts w:ascii="Times New Roman" w:hAnsi="Times New Roman"/>
                <w:b w:val="0"/>
                <w:sz w:val="20"/>
              </w:rPr>
              <w:t>+7.6%</w:t>
            </w:r>
          </w:p>
        </w:tc>
        <w:tc>
          <w:tcPr>
            <w:tcW w:type="dxa" w:w="1824"/>
          </w:tcPr>
          <w:p>
            <w:pPr>
              <w:jc w:val="left"/>
            </w:pPr>
            <w:r>
              <w:rPr>
                <w:rFonts w:ascii="Times New Roman" w:hAnsi="Times New Roman"/>
                <w:b w:val="0"/>
                <w:sz w:val="20"/>
              </w:rPr>
              <w:t>14.6%</w:t>
            </w:r>
          </w:p>
        </w:tc>
        <w:tc>
          <w:tcPr>
            <w:tcW w:type="dxa" w:w="1824"/>
          </w:tcPr>
          <w:p>
            <w:pPr>
              <w:jc w:val="left"/>
            </w:pPr>
            <w:r>
              <w:rPr>
                <w:rFonts w:ascii="Times New Roman" w:hAnsi="Times New Roman"/>
                <w:b w:val="0"/>
                <w:sz w:val="20"/>
              </w:rPr>
              <w:t>-23.0%</w:t>
            </w:r>
          </w:p>
        </w:tc>
      </w:tr>
      <w:tr>
        <w:tc>
          <w:tcPr>
            <w:tcW w:type="dxa" w:w="1824"/>
          </w:tcPr>
          <w:p>
            <w:pPr>
              <w:jc w:val="left"/>
            </w:pPr>
            <w:r>
              <w:rPr>
                <w:rFonts w:ascii="Times New Roman" w:hAnsi="Times New Roman"/>
                <w:b w:val="0"/>
                <w:sz w:val="20"/>
              </w:rPr>
              <w:t>WF LightGBM</w:t>
            </w:r>
          </w:p>
        </w:tc>
        <w:tc>
          <w:tcPr>
            <w:tcW w:type="dxa" w:w="1824"/>
          </w:tcPr>
          <w:p>
            <w:pPr>
              <w:jc w:val="left"/>
            </w:pPr>
            <w:r>
              <w:rPr>
                <w:rFonts w:ascii="Times New Roman" w:hAnsi="Times New Roman"/>
                <w:b w:val="0"/>
                <w:sz w:val="20"/>
              </w:rPr>
              <w:t>0.498</w:t>
            </w:r>
          </w:p>
        </w:tc>
        <w:tc>
          <w:tcPr>
            <w:tcW w:type="dxa" w:w="1824"/>
          </w:tcPr>
          <w:p>
            <w:pPr>
              <w:jc w:val="left"/>
            </w:pPr>
            <w:r>
              <w:rPr>
                <w:rFonts w:ascii="Times New Roman" w:hAnsi="Times New Roman"/>
                <w:b w:val="0"/>
                <w:sz w:val="20"/>
              </w:rPr>
              <w:t>+7.0%</w:t>
            </w:r>
          </w:p>
        </w:tc>
        <w:tc>
          <w:tcPr>
            <w:tcW w:type="dxa" w:w="1824"/>
          </w:tcPr>
          <w:p>
            <w:pPr>
              <w:jc w:val="left"/>
            </w:pPr>
            <w:r>
              <w:rPr>
                <w:rFonts w:ascii="Times New Roman" w:hAnsi="Times New Roman"/>
                <w:b w:val="0"/>
                <w:sz w:val="20"/>
              </w:rPr>
              <w:t>14.1%</w:t>
            </w:r>
          </w:p>
        </w:tc>
        <w:tc>
          <w:tcPr>
            <w:tcW w:type="dxa" w:w="1824"/>
          </w:tcPr>
          <w:p>
            <w:pPr>
              <w:jc w:val="left"/>
            </w:pPr>
            <w:r>
              <w:rPr>
                <w:rFonts w:ascii="Times New Roman" w:hAnsi="Times New Roman"/>
                <w:b w:val="0"/>
                <w:sz w:val="20"/>
              </w:rPr>
              <w:t>-22.2%</w:t>
            </w:r>
          </w:p>
        </w:tc>
      </w:tr>
      <w:tr>
        <w:tc>
          <w:tcPr>
            <w:tcW w:type="dxa" w:w="1824"/>
          </w:tcPr>
          <w:p>
            <w:pPr>
              <w:jc w:val="left"/>
            </w:pPr>
            <w:r>
              <w:rPr>
                <w:rFonts w:ascii="Times New Roman" w:hAnsi="Times New Roman"/>
                <w:b w:val="0"/>
                <w:sz w:val="20"/>
              </w:rPr>
              <w:t>Equal Weight</w:t>
            </w:r>
          </w:p>
        </w:tc>
        <w:tc>
          <w:tcPr>
            <w:tcW w:type="dxa" w:w="1824"/>
          </w:tcPr>
          <w:p>
            <w:pPr>
              <w:jc w:val="left"/>
            </w:pPr>
            <w:r>
              <w:rPr>
                <w:rFonts w:ascii="Times New Roman" w:hAnsi="Times New Roman"/>
                <w:b w:val="0"/>
                <w:sz w:val="20"/>
              </w:rPr>
              <w:t>0.202</w:t>
            </w:r>
          </w:p>
        </w:tc>
        <w:tc>
          <w:tcPr>
            <w:tcW w:type="dxa" w:w="1824"/>
          </w:tcPr>
          <w:p>
            <w:pPr>
              <w:jc w:val="left"/>
            </w:pPr>
            <w:r>
              <w:rPr>
                <w:rFonts w:ascii="Times New Roman" w:hAnsi="Times New Roman"/>
                <w:b w:val="0"/>
                <w:sz w:val="20"/>
              </w:rPr>
              <w:t>+2.1%</w:t>
            </w:r>
          </w:p>
        </w:tc>
        <w:tc>
          <w:tcPr>
            <w:tcW w:type="dxa" w:w="1824"/>
          </w:tcPr>
          <w:p>
            <w:pPr>
              <w:jc w:val="left"/>
            </w:pPr>
            <w:r>
              <w:rPr>
                <w:rFonts w:ascii="Times New Roman" w:hAnsi="Times New Roman"/>
                <w:b w:val="0"/>
                <w:sz w:val="20"/>
              </w:rPr>
              <w:t>10.4%</w:t>
            </w:r>
          </w:p>
        </w:tc>
        <w:tc>
          <w:tcPr>
            <w:tcW w:type="dxa" w:w="1824"/>
          </w:tcPr>
          <w:p>
            <w:pPr>
              <w:jc w:val="left"/>
            </w:pPr>
            <w:r>
              <w:rPr>
                <w:rFonts w:ascii="Times New Roman" w:hAnsi="Times New Roman"/>
                <w:b w:val="0"/>
                <w:sz w:val="20"/>
              </w:rPr>
              <w:t>-17.5%</w:t>
            </w:r>
          </w:p>
        </w:tc>
      </w:tr>
    </w:tbl>
    <w:p/>
    <w:p>
      <w:pPr>
        <w:spacing w:line="360" w:lineRule="auto"/>
        <w:jc w:val="both"/>
      </w:pPr>
      <w:r>
        <w:t>Note: Walk-forward RandomForest achieves the lowest drawdown (-12.3%) of any strategy, making it optimal for risk-averse investors.</w:t>
      </w:r>
    </w:p>
    <w:p>
      <w:pPr>
        <w:pStyle w:val="Heading2"/>
      </w:pPr>
      <w:r>
        <w:t>4.4 MiroFish Swarm Intelligence Impact</w:t>
      </w:r>
    </w:p>
    <w:p>
      <w:pPr>
        <w:spacing w:line="360" w:lineRule="auto"/>
        <w:jc w:val="both"/>
      </w:pPr>
      <w:r>
        <w:t>The MiroFish multi-agent system (14 agents, 35 simulation rounds) provides a risk overlay:</w:t>
      </w:r>
    </w:p>
    <w:p>
      <w:pPr>
        <w:pStyle w:val="ListBullet"/>
        <w:spacing w:line="360" w:lineRule="auto"/>
        <w:jc w:val="both"/>
      </w:pPr>
      <w:r>
        <w:t>Agent agreement (mean 0.247): low agreement indicates high uncertainty</w:t>
      </w:r>
    </w:p>
    <w:p>
      <w:pPr>
        <w:pStyle w:val="ListBullet"/>
        <w:spacing w:line="360" w:lineRule="auto"/>
        <w:jc w:val="both"/>
      </w:pPr>
      <w:r>
        <w:t>Risk scale factor (mean 0.473): when applied, reduces position sizes on average by 53%</w:t>
      </w:r>
    </w:p>
    <w:p>
      <w:pPr>
        <w:pStyle w:val="ListBullet"/>
        <w:spacing w:line="360" w:lineRule="auto"/>
        <w:jc w:val="both"/>
      </w:pPr>
      <w:r>
        <w:t>17 swarm features injected into the ML model: regime indicators, ensemble predictions, agreement time series</w:t>
      </w:r>
    </w:p>
    <w:p>
      <w:pPr>
        <w:spacing w:line="360" w:lineRule="auto"/>
        <w:jc w:val="both"/>
      </w:pPr>
      <w:r>
        <w:t>Net Impact (ML+Swarm vs ML-Only):</w:t>
      </w:r>
    </w:p>
    <w:p>
      <w:pPr>
        <w:pStyle w:val="ListBullet"/>
        <w:spacing w:line="360" w:lineRule="auto"/>
        <w:jc w:val="both"/>
      </w:pPr>
      <w:r>
        <w:t>Sharpe delta: -0.500 (from 1.410 to 0.910)</w:t>
      </w:r>
    </w:p>
    <w:p>
      <w:pPr>
        <w:pStyle w:val="ListBullet"/>
        <w:spacing w:line="360" w:lineRule="auto"/>
        <w:jc w:val="both"/>
      </w:pPr>
      <w:r>
        <w:t>Drawdown improvement: +1.6% (from -17.8% to -16.2%)</w:t>
      </w:r>
    </w:p>
    <w:p>
      <w:pPr>
        <w:pStyle w:val="ListBullet"/>
        <w:spacing w:line="360" w:lineRule="auto"/>
        <w:jc w:val="both"/>
      </w:pPr>
      <w:r>
        <w:t>Volatility reduction: -2.9% (from 14.7% to 11.8%)</w:t>
      </w:r>
    </w:p>
    <w:p>
      <w:pPr>
        <w:pStyle w:val="ListBullet"/>
        <w:spacing w:line="360" w:lineRule="auto"/>
        <w:jc w:val="both"/>
      </w:pPr>
      <w:r>
        <w:t>Verdict: "beneficial_risk"-useful for risk-averse investors, not for return maximization</w:t>
      </w:r>
    </w:p>
    <w:p>
      <w:pPr>
        <w:pStyle w:val="Heading2"/>
      </w:pPr>
      <w:r>
        <w:t>4.5 Feature Importance</w:t>
      </w:r>
    </w:p>
    <w:p>
      <w:pPr>
        <w:spacing w:line="360" w:lineRule="auto"/>
        <w:jc w:val="both"/>
      </w:pPr>
      <w:r>
        <w:t>Top predictive macro features (across all AutoResearch experiments):</w:t>
      </w:r>
    </w:p>
    <w:p>
      <w:pPr>
        <w:pStyle w:val="ListNumber"/>
        <w:spacing w:line="360" w:lineRule="auto"/>
        <w:jc w:val="both"/>
      </w:pPr>
      <w:r>
        <w:t>10Y Treasury Yield (DGS10): Dominant predictor-discount rate for all assets</w:t>
      </w:r>
    </w:p>
    <w:p>
      <w:pPr>
        <w:pStyle w:val="ListNumber"/>
        <w:spacing w:line="360" w:lineRule="auto"/>
        <w:jc w:val="both"/>
      </w:pPr>
      <w:r>
        <w:t>VIX: Volatility regime indicator</w:t>
      </w:r>
    </w:p>
    <w:p>
      <w:pPr>
        <w:pStyle w:val="ListNumber"/>
        <w:spacing w:line="360" w:lineRule="auto"/>
        <w:jc w:val="both"/>
      </w:pPr>
      <w:r>
        <w:t>2Y Treasury Yield (DGS2): Short-rate expectations, Fed policy proxy</w:t>
      </w:r>
    </w:p>
    <w:p>
      <w:pPr>
        <w:pStyle w:val="ListNumber"/>
        <w:spacing w:line="360" w:lineRule="auto"/>
        <w:jc w:val="both"/>
      </w:pPr>
      <w:r>
        <w:t>BBB Corporate Spread: Credit risk conditions, economic stress</w:t>
      </w:r>
    </w:p>
    <w:p>
      <w:pPr>
        <w:pStyle w:val="ListNumber"/>
        <w:spacing w:line="360" w:lineRule="auto"/>
        <w:jc w:val="both"/>
      </w:pPr>
      <w:r>
        <w:t>Federal Funds Rate: Monetary policy stance</w:t>
      </w:r>
    </w:p>
    <w:p>
      <w:pPr>
        <w:pStyle w:val="ListNumber"/>
        <w:spacing w:line="360" w:lineRule="auto"/>
        <w:jc w:val="both"/>
      </w:pPr>
      <w:r>
        <w:t>Unemployment Rate: Lagging economic indicator</w:t>
      </w:r>
    </w:p>
    <w:p>
      <w:pPr>
        <w:spacing w:line="360" w:lineRule="auto"/>
        <w:jc w:val="both"/>
      </w:pPr>
      <w:r>
        <w:t>Adding momentum/RSI/technical features consistently hurt performance (macro-only subset optimal).</w:t>
      </w:r>
    </w:p>
    <w:p>
      <w:pPr>
        <w:pStyle w:val="Heading2"/>
      </w:pPr>
      <w:r>
        <w:t>4.6 Statistical Significance and Honest Limitations</w:t>
      </w:r>
    </w:p>
    <w:p>
      <w:pPr>
        <w:pStyle w:val="ListBullet"/>
        <w:spacing w:line="360" w:lineRule="auto"/>
        <w:jc w:val="both"/>
      </w:pPr>
      <w:r>
        <w:t>Ledoit-Wolf test for Sharpe ratio equality (ML-Only vs SPY, OOS): z = 0.27, p = 0.79</w:t>
      </w:r>
    </w:p>
    <w:p>
      <w:pPr>
        <w:pStyle w:val="ListBullet"/>
        <w:spacing w:line="360" w:lineRule="auto"/>
        <w:jc w:val="both"/>
      </w:pPr>
      <w:r>
        <w:t>The 3-year OOS window is too short to establish significance at conventional levels</w:t>
      </w:r>
    </w:p>
    <w:p>
      <w:pPr>
        <w:pStyle w:val="ListBullet"/>
        <w:spacing w:line="360" w:lineRule="auto"/>
        <w:jc w:val="both"/>
      </w:pPr>
      <w:r>
        <w:t>Fama-French 5-factor R² = 0.38: 62% of returns are unexplained by standard factors, suggesting genuine alpha or unmodeled factor exposure</w:t>
      </w:r>
    </w:p>
    <w:p>
      <w:pPr>
        <w:pStyle w:val="ListBullet"/>
        <w:spacing w:line="360" w:lineRule="auto"/>
        <w:jc w:val="both"/>
      </w:pPr>
      <w:r>
        <w:t>Transaction cost break-even: ~25 bps (strategy remains profitable at costs up to 25 bps)</w:t>
      </w:r>
    </w:p>
    <w:p>
      <w:pPr>
        <w:pStyle w:val="ListBullet"/>
        <w:spacing w:line="360" w:lineRule="auto"/>
        <w:jc w:val="both"/>
      </w:pPr>
      <w:r>
        <w:t>Monte Carlo bootstrap (10K samples): 95% CI for Sharpe includes both positive and negative values</w:t>
      </w:r>
    </w:p>
    <w:p>
      <w:pPr>
        <w:spacing w:line="360" w:lineRule="auto"/>
        <w:jc w:val="both"/>
      </w:pPr>
      <w:r>
        <w:t>These are honest limitations. The economic magnitude is large, but statistical confirmation requires longer evaluation periods.</w:t>
      </w:r>
    </w:p>
    <w:p>
      <w:pPr>
        <w:pStyle w:val="Heading1"/>
      </w:pPr>
      <w:r>
        <w:t>5. Implementation Framework</w:t>
      </w:r>
    </w:p>
    <w:p>
      <w:pPr>
        <w:pStyle w:val="Heading2"/>
      </w:pPr>
      <w:r>
        <w:t>5.1 System Design</w:t>
      </w:r>
    </w:p>
    <w:p>
      <w:pPr>
        <w:spacing w:line="360" w:lineRule="auto"/>
        <w:jc w:val="both"/>
      </w:pPr>
      <w:r>
        <w:t>The implementation spans three repositories:</w:t>
      </w:r>
    </w:p>
    <w:p>
      <w:pPr>
        <w:pStyle w:val="NoSpacing"/>
        <w:spacing w:line="360" w:lineRule="auto"/>
        <w:jc w:val="both"/>
      </w:pPr>
      <w:r>
        <w:t>thesis/</w:t>
      </w:r>
    </w:p>
    <w:p>
      <w:pPr>
        <w:pStyle w:val="NoSpacing"/>
        <w:spacing w:line="360" w:lineRule="auto"/>
        <w:jc w:val="both"/>
      </w:pPr>
      <w:r>
        <w:t>├── thesis_portfolio_opt/     # Main pipeline (~16,400 LOC)</w:t>
      </w:r>
    </w:p>
    <w:p>
      <w:pPr>
        <w:pStyle w:val="NoSpacing"/>
        <w:spacing w:line="360" w:lineRule="auto"/>
        <w:jc w:val="both"/>
      </w:pPr>
      <w:r>
        <w:t>│   ├── src/</w:t>
      </w:r>
    </w:p>
    <w:p>
      <w:pPr>
        <w:pStyle w:val="NoSpacing"/>
        <w:spacing w:line="360" w:lineRule="auto"/>
        <w:jc w:val="both"/>
      </w:pPr>
      <w:r>
        <w:t>│   │   ├── config.py           # Central configuration (tickers, paths, params)</w:t>
      </w:r>
    </w:p>
    <w:p>
      <w:pPr>
        <w:pStyle w:val="NoSpacing"/>
        <w:spacing w:line="360" w:lineRule="auto"/>
        <w:jc w:val="both"/>
      </w:pPr>
      <w:r>
        <w:t>│   │   ├── data_fetcher.py     # FRED + YFinance data acquisition</w:t>
      </w:r>
    </w:p>
    <w:p>
      <w:pPr>
        <w:pStyle w:val="NoSpacing"/>
        <w:spacing w:line="360" w:lineRule="auto"/>
        <w:jc w:val="both"/>
      </w:pPr>
      <w:r>
        <w:t>│   │   ├── preprocessor.py     # 212-feature engineering pipeline</w:t>
      </w:r>
    </w:p>
    <w:p>
      <w:pPr>
        <w:pStyle w:val="NoSpacing"/>
        <w:spacing w:line="360" w:lineRule="auto"/>
        <w:jc w:val="both"/>
      </w:pPr>
      <w:r>
        <w:t>│   │   ├── trainer.py          # Multi-model trainer with purged CV</w:t>
      </w:r>
    </w:p>
    <w:p>
      <w:pPr>
        <w:pStyle w:val="NoSpacing"/>
        <w:spacing w:line="360" w:lineRule="auto"/>
        <w:jc w:val="both"/>
      </w:pPr>
      <w:r>
        <w:t>│   │   ├── optimizer.py        # CVXPY mean-variance with constraints</w:t>
      </w:r>
    </w:p>
    <w:p>
      <w:pPr>
        <w:pStyle w:val="NoSpacing"/>
        <w:spacing w:line="360" w:lineRule="auto"/>
        <w:jc w:val="both"/>
      </w:pPr>
      <w:r>
        <w:t>│   │   ├── backtester.py       # Walk-forward backtesting engine</w:t>
      </w:r>
    </w:p>
    <w:p>
      <w:pPr>
        <w:pStyle w:val="NoSpacing"/>
        <w:spacing w:line="360" w:lineRule="auto"/>
        <w:jc w:val="both"/>
      </w:pPr>
      <w:r>
        <w:t>│   │   └── integration/        # Bridges to AutoResearch + MiroFish</w:t>
      </w:r>
    </w:p>
    <w:p>
      <w:pPr>
        <w:pStyle w:val="NoSpacing"/>
        <w:spacing w:line="360" w:lineRule="auto"/>
        <w:jc w:val="both"/>
      </w:pPr>
      <w:r>
        <w:t>│   ├── research/               # Analysis scripts (significance, factor attribution)</w:t>
      </w:r>
    </w:p>
    <w:p>
      <w:pPr>
        <w:pStyle w:val="NoSpacing"/>
        <w:spacing w:line="360" w:lineRule="auto"/>
        <w:jc w:val="both"/>
      </w:pPr>
      <w:r>
        <w:t>│   ├── app/dashboard.py        # Streamlit dashboard</w:t>
      </w:r>
    </w:p>
    <w:p>
      <w:pPr>
        <w:pStyle w:val="NoSpacing"/>
        <w:spacing w:line="360" w:lineRule="auto"/>
        <w:jc w:val="both"/>
      </w:pPr>
      <w:r>
        <w:t>│   ├── tests/                  # 47 tests (data integrity, optimization, research)</w:t>
      </w:r>
    </w:p>
    <w:p>
      <w:pPr>
        <w:pStyle w:val="NoSpacing"/>
        <w:spacing w:line="360" w:lineRule="auto"/>
        <w:jc w:val="both"/>
      </w:pPr>
      <w:r>
        <w:t>│   └── run_all.py              # 5-step orchestrator with --loop N support</w:t>
      </w:r>
    </w:p>
    <w:p>
      <w:pPr>
        <w:pStyle w:val="NoSpacing"/>
        <w:spacing w:line="360" w:lineRule="auto"/>
        <w:jc w:val="both"/>
      </w:pPr>
      <w:r>
        <w:t>│</w:t>
      </w:r>
    </w:p>
    <w:p>
      <w:pPr>
        <w:pStyle w:val="NoSpacing"/>
        <w:spacing w:line="360" w:lineRule="auto"/>
        <w:jc w:val="both"/>
      </w:pPr>
      <w:r>
        <w:t>├── autoresearch/               # Autonomous experiment engine</w:t>
      </w:r>
    </w:p>
    <w:p>
      <w:pPr>
        <w:pStyle w:val="NoSpacing"/>
        <w:spacing w:line="360" w:lineRule="auto"/>
        <w:jc w:val="both"/>
      </w:pPr>
      <w:r>
        <w:t>│   ├── prepare.py              # Fixed evaluation harness (1,275 LOC)</w:t>
      </w:r>
    </w:p>
    <w:p>
      <w:pPr>
        <w:pStyle w:val="NoSpacing"/>
        <w:spacing w:line="360" w:lineRule="auto"/>
        <w:jc w:val="both"/>
      </w:pPr>
      <w:r>
        <w:t>│   ├── train.py                # Modifiable experiment config</w:t>
      </w:r>
    </w:p>
    <w:p>
      <w:pPr>
        <w:pStyle w:val="NoSpacing"/>
        <w:spacing w:line="360" w:lineRule="auto"/>
        <w:jc w:val="both"/>
      </w:pPr>
      <w:r>
        <w:t>│   ├── run_extended.py         # 30-experiment batch (round 1)</w:t>
      </w:r>
    </w:p>
    <w:p>
      <w:pPr>
        <w:pStyle w:val="NoSpacing"/>
        <w:spacing w:line="360" w:lineRule="auto"/>
        <w:jc w:val="both"/>
      </w:pPr>
      <w:r>
        <w:t>│   ├── run_round2.py           # 15-experiment batch (round 2)</w:t>
      </w:r>
    </w:p>
    <w:p>
      <w:pPr>
        <w:pStyle w:val="NoSpacing"/>
        <w:spacing w:line="360" w:lineRule="auto"/>
        <w:jc w:val="both"/>
      </w:pPr>
      <w:r>
        <w:t>│   └── feedback/               # Iteration feedback JSONs</w:t>
      </w:r>
    </w:p>
    <w:p>
      <w:pPr>
        <w:pStyle w:val="NoSpacing"/>
        <w:spacing w:line="360" w:lineRule="auto"/>
        <w:jc w:val="both"/>
      </w:pPr>
      <w:r>
        <w:t>│</w:t>
      </w:r>
    </w:p>
    <w:p>
      <w:pPr>
        <w:pStyle w:val="NoSpacing"/>
        <w:spacing w:line="360" w:lineRule="auto"/>
        <w:jc w:val="both"/>
      </w:pPr>
      <w:r>
        <w:t>└── MiroFish/                   # Multi-agent swarm intelligence</w:t>
      </w:r>
    </w:p>
    <w:p>
      <w:pPr>
        <w:pStyle w:val="NoSpacing"/>
        <w:spacing w:line="360" w:lineRule="auto"/>
        <w:jc w:val="both"/>
      </w:pPr>
      <w:r>
        <w:t>└── backend/app/services/</w:t>
      </w:r>
    </w:p>
    <w:p>
      <w:pPr>
        <w:pStyle w:val="NoSpacing"/>
        <w:spacing w:line="360" w:lineRule="auto"/>
        <w:jc w:val="both"/>
      </w:pPr>
      <w:r>
        <w:t>└── financial_simulator.py  # 14-agent financial simulation</w:t>
      </w:r>
    </w:p>
    <w:p>
      <w:pPr>
        <w:pStyle w:val="Heading2"/>
      </w:pPr>
      <w:r>
        <w:t>5.2 Running the System</w:t>
      </w:r>
    </w:p>
    <w:p>
      <w:pPr>
        <w:pStyle w:val="NoSpacing"/>
        <w:spacing w:line="360" w:lineRule="auto"/>
        <w:jc w:val="both"/>
      </w:pPr>
      <w:r>
        <w:t>cd thesis_portfolio_opt</w:t>
      </w:r>
    </w:p>
    <w:p>
      <w:pPr>
        <w:pStyle w:val="NoSpacing"/>
        <w:spacing w:line="360" w:lineRule="auto"/>
        <w:jc w:val="both"/>
      </w:pPr>
      <w:r>
        <w:t># Full end-to-end (all 5 steps)</w:t>
      </w:r>
    </w:p>
    <w:p>
      <w:pPr>
        <w:pStyle w:val="NoSpacing"/>
        <w:spacing w:line="360" w:lineRule="auto"/>
        <w:jc w:val="both"/>
      </w:pPr>
      <w:r>
        <w:t>./venv/bin/python run_all.py</w:t>
      </w:r>
    </w:p>
    <w:p>
      <w:pPr>
        <w:pStyle w:val="NoSpacing"/>
        <w:spacing w:line="360" w:lineRule="auto"/>
        <w:jc w:val="both"/>
      </w:pPr>
      <w:r>
        <w:t># N iterations of the closed loop</w:t>
      </w:r>
    </w:p>
    <w:p>
      <w:pPr>
        <w:pStyle w:val="NoSpacing"/>
        <w:spacing w:line="360" w:lineRule="auto"/>
        <w:jc w:val="both"/>
      </w:pPr>
      <w:r>
        <w:t>./venv/bin/python run_all.py --loop 3</w:t>
      </w:r>
    </w:p>
    <w:p>
      <w:pPr>
        <w:pStyle w:val="NoSpacing"/>
        <w:spacing w:line="360" w:lineRule="auto"/>
        <w:jc w:val="both"/>
      </w:pPr>
      <w:r>
        <w:t># Individual steps</w:t>
      </w:r>
    </w:p>
    <w:p>
      <w:pPr>
        <w:pStyle w:val="NoSpacing"/>
        <w:spacing w:line="360" w:lineRule="auto"/>
        <w:jc w:val="both"/>
      </w:pPr>
      <w:r>
        <w:t>./venv/bin/python run_all.py --autoresearch    # Step 1: Run experiments</w:t>
      </w:r>
    </w:p>
    <w:p>
      <w:pPr>
        <w:pStyle w:val="NoSpacing"/>
        <w:spacing w:line="360" w:lineRule="auto"/>
        <w:jc w:val="both"/>
      </w:pPr>
      <w:r>
        <w:t>./venv/bin/python run_all.py --mirofish        # Step 2: Run 14-agent simulation</w:t>
      </w:r>
    </w:p>
    <w:p>
      <w:pPr>
        <w:pStyle w:val="NoSpacing"/>
        <w:spacing w:line="360" w:lineRule="auto"/>
        <w:jc w:val="both"/>
      </w:pPr>
      <w:r>
        <w:t>./venv/bin/python run_all.py --pipeline        # Step 3: Integrated backtest</w:t>
      </w:r>
    </w:p>
    <w:p>
      <w:pPr>
        <w:pStyle w:val="NoSpacing"/>
        <w:spacing w:line="360" w:lineRule="auto"/>
        <w:jc w:val="both"/>
      </w:pPr>
      <w:r>
        <w:t>./venv/bin/python run_all.py --compare         # Step 4: Figures + LaTeX tables</w:t>
      </w:r>
    </w:p>
    <w:p>
      <w:pPr>
        <w:pStyle w:val="NoSpacing"/>
        <w:spacing w:line="360" w:lineRule="auto"/>
        <w:jc w:val="both"/>
      </w:pPr>
      <w:r>
        <w:t>./venv/bin/python run_all.py --feedback        # Step 5: Close the loop</w:t>
      </w:r>
    </w:p>
    <w:p>
      <w:pPr>
        <w:pStyle w:val="Heading2"/>
      </w:pPr>
      <w:r>
        <w:t>5.3 Computational Considerations</w:t>
      </w:r>
    </w:p>
    <w:p>
      <w:pPr>
        <w:pStyle w:val="ListBullet"/>
        <w:spacing w:line="360" w:lineRule="auto"/>
        <w:jc w:val="both"/>
      </w:pPr>
      <w:r>
        <w:t>Optimization: CVXPY with OSQP solver solves the 12-asset problem in &lt;0.05 seconds</w:t>
      </w:r>
    </w:p>
    <w:p>
      <w:pPr>
        <w:pStyle w:val="ListBullet"/>
        <w:spacing w:line="360" w:lineRule="auto"/>
        <w:jc w:val="both"/>
      </w:pPr>
      <w:r>
        <w:t>AutoResearch: Each experiment runs in ~2 minutes; full 72-experiment search takes ~2.5 hours</w:t>
      </w:r>
    </w:p>
    <w:p>
      <w:pPr>
        <w:pStyle w:val="ListBullet"/>
        <w:spacing w:line="360" w:lineRule="auto"/>
        <w:jc w:val="both"/>
      </w:pPr>
      <w:r>
        <w:t>MiroFish: 14-agent simulation with 35 rounds completes in ~30 seconds</w:t>
      </w:r>
    </w:p>
    <w:p>
      <w:pPr>
        <w:pStyle w:val="ListBullet"/>
        <w:spacing w:line="360" w:lineRule="auto"/>
        <w:jc w:val="both"/>
      </w:pPr>
      <w:r>
        <w:t>Walk-forward backtest: ~5 seconds for 3-year OOS with 21-day rebalancing</w:t>
      </w:r>
    </w:p>
    <w:p>
      <w:pPr>
        <w:pStyle w:val="ListBullet"/>
        <w:spacing w:line="360" w:lineRule="auto"/>
        <w:jc w:val="both"/>
      </w:pPr>
      <w:r>
        <w:t>Test suite: 47 tests in 2.5 seconds; 36 MiroFish tests separately</w:t>
      </w:r>
    </w:p>
    <w:p>
      <w:pPr>
        <w:pStyle w:val="Heading2"/>
      </w:pPr>
      <w:r>
        <w:t>5.4 Quality Assurance</w:t>
      </w:r>
    </w:p>
    <w:p>
      <w:pPr>
        <w:pStyle w:val="ListBullet"/>
        <w:spacing w:line="360" w:lineRule="auto"/>
        <w:jc w:val="both"/>
      </w:pPr>
      <w:r>
        <w:t>47/47 tests passing (thesis_portfolio_opt)</w:t>
      </w:r>
    </w:p>
    <w:p>
      <w:pPr>
        <w:pStyle w:val="ListBullet"/>
        <w:spacing w:line="360" w:lineRule="auto"/>
        <w:jc w:val="both"/>
      </w:pPr>
      <w:r>
        <w:t>36/36 tests passing (MiroFish backend)</w:t>
      </w:r>
    </w:p>
    <w:p>
      <w:pPr>
        <w:pStyle w:val="ListBullet"/>
        <w:spacing w:line="360" w:lineRule="auto"/>
        <w:jc w:val="both"/>
      </w:pPr>
      <w:r>
        <w:t>GitHub Actions CI/CD pipeline</w:t>
      </w:r>
    </w:p>
    <w:p>
      <w:pPr>
        <w:pStyle w:val="ListBullet"/>
        <w:spacing w:line="360" w:lineRule="auto"/>
        <w:jc w:val="both"/>
      </w:pPr>
      <w:r>
        <w:t>No hardcoded secrets (python-dotenv from .env)</w:t>
      </w:r>
    </w:p>
    <w:p>
      <w:pPr>
        <w:pStyle w:val="ListBullet"/>
        <w:spacing w:line="360" w:lineRule="auto"/>
        <w:jc w:val="both"/>
      </w:pPr>
      <w:r>
        <w:t>Dependencies pinned with major version bounds</w:t>
      </w:r>
    </w:p>
    <w:p>
      <w:pPr>
        <w:pStyle w:val="Heading1"/>
      </w:pPr>
      <w:r>
        <w:t>6. Discussion</w:t>
      </w:r>
    </w:p>
    <w:p>
      <w:pPr>
        <w:pStyle w:val="Heading2"/>
      </w:pPr>
      <w:r>
        <w:t>6.1 Theoretical Implications</w:t>
      </w:r>
    </w:p>
    <w:p>
      <w:pPr>
        <w:spacing w:line="360" w:lineRule="auto"/>
        <w:jc w:val="both"/>
      </w:pPr>
      <w:r>
        <w:t>Our results support the "adaptive markets hypothesis" (Lo, 2004), where market efficiency varies with economic conditions. The superior performance of macro-informed strategies during the 2022--2024 rate-hike regime suggests return predictability is state-dependent, consistent with Rapach &amp; Zhou (2013).</w:t>
      </w:r>
    </w:p>
    <w:p>
      <w:pPr>
        <w:spacing w:line="360" w:lineRule="auto"/>
        <w:jc w:val="both"/>
      </w:pPr>
      <w:r>
        <w:t>The dominance of 10Y Treasury yield and VIX in feature importance aligns with the "discount rate channel" of asset pricing. The finding that macro-only features outperform enriched feature sets (adding momentum, RSI, PCA) suggests that in a multi-asset ETF context, macroeconomic fundamentals dominate technical signals.</w:t>
      </w:r>
    </w:p>
    <w:p>
      <w:pPr>
        <w:pStyle w:val="Heading2"/>
      </w:pPr>
      <w:r>
        <w:t>6.2 AutoResearch: Lessons from Autonomous Search</w:t>
      </w:r>
    </w:p>
    <w:p>
      <w:pPr>
        <w:spacing w:line="360" w:lineRule="auto"/>
        <w:jc w:val="both"/>
      </w:pPr>
      <w:r>
        <w:t>The autonomous search produced several non-obvious findings:</w:t>
      </w:r>
    </w:p>
    <w:p>
      <w:pPr>
        <w:pStyle w:val="ListNumber"/>
        <w:spacing w:line="360" w:lineRule="auto"/>
        <w:jc w:val="both"/>
      </w:pPr>
      <w:r>
        <w:t>Concentration wins: Higher max_weight allocations (0.6--0.7) consistently outperform diversified constraints (0.3--0.35), contradicting naive diversification wisdom but consistent with DeMiguel et al. (2009) when predictions have positive IC.</w:t>
      </w:r>
    </w:p>
    <w:p>
      <w:pPr>
        <w:pStyle w:val="ListNumber"/>
        <w:spacing w:line="360" w:lineRule="auto"/>
        <w:jc w:val="both"/>
      </w:pPr>
      <w:r>
        <w:t>SVR is the #2 model: The feedback loop identified SVR as untried and it scored highest IC (0.200), suggesting kernel-based methods capture non-linearities that tree-based models miss.</w:t>
      </w:r>
    </w:p>
    <w:p>
      <w:pPr>
        <w:pStyle w:val="ListNumber"/>
        <w:spacing w:line="360" w:lineRule="auto"/>
        <w:jc w:val="both"/>
      </w:pPr>
      <w:r>
        <w:t>Ensembles hurt: Combining models adds noise rather than diversification when the best single model already captures most signal.</w:t>
      </w:r>
    </w:p>
    <w:p>
      <w:pPr>
        <w:pStyle w:val="ListNumber"/>
        <w:spacing w:line="360" w:lineRule="auto"/>
        <w:jc w:val="both"/>
      </w:pPr>
      <w:r>
        <w:t>Regime splitting hurts: Splitting training data by VIX regime reduces sample size too aggressively for the 72-predictor feature space.</w:t>
      </w:r>
    </w:p>
    <w:p>
      <w:pPr>
        <w:pStyle w:val="Heading2"/>
      </w:pPr>
      <w:r>
        <w:t>6.3 Swarm Intelligence: Risk Overlay vs. Alpha Signal</w:t>
      </w:r>
    </w:p>
    <w:p>
      <w:pPr>
        <w:spacing w:line="360" w:lineRule="auto"/>
        <w:jc w:val="both"/>
      </w:pPr>
      <w:r>
        <w:t>MiroFish agents provide a risk overlay, not an alpha signal. The swarm-only strategy (Sharpe 0.325) significantly underperforms even equal weight, suggesting that multi-agent consensus alone is insufficient for return generation. However, as a risk management tool-scaling down allocation when agents disagree-it reduces volatility and drawdown, making it valuable for institutional risk-averse mandates.</w:t>
      </w:r>
    </w:p>
    <w:p>
      <w:pPr>
        <w:pStyle w:val="Heading2"/>
      </w:pPr>
      <w:r>
        <w:t>6.4 Practical Implications</w:t>
      </w:r>
    </w:p>
    <w:p>
      <w:pPr>
        <w:spacing w:line="360" w:lineRule="auto"/>
        <w:jc w:val="both"/>
      </w:pPr>
      <w:r>
        <w:t>For Industrial Engineers in finance roles:</w:t>
      </w:r>
    </w:p>
    <w:p>
      <w:pPr>
        <w:pStyle w:val="ListNumber"/>
        <w:spacing w:line="360" w:lineRule="auto"/>
        <w:jc w:val="both"/>
      </w:pPr>
      <w:r>
        <w:t>Systems Thinking: The closed-loop architecture (predict → optimize → backtest → feedback → repeat) exemplifies IE process control applied to finance.</w:t>
      </w:r>
    </w:p>
    <w:p>
      <w:pPr>
        <w:pStyle w:val="ListNumber"/>
        <w:spacing w:line="360" w:lineRule="auto"/>
        <w:jc w:val="both"/>
      </w:pPr>
      <w:r>
        <w:t>Autonomous Operations: The AutoResearch paradigm reduces human bias in model selection and enables systematic exploration of the hyperparameter space.</w:t>
      </w:r>
    </w:p>
    <w:p>
      <w:pPr>
        <w:pStyle w:val="ListNumber"/>
        <w:spacing w:line="360" w:lineRule="auto"/>
        <w:jc w:val="both"/>
      </w:pPr>
      <w:r>
        <w:t>Transaction Cost Sensitivity: The ~25 bps break-even is comfortably above institutional execution costs (3--10 bps), making the strategy implementable.</w:t>
      </w:r>
    </w:p>
    <w:p>
      <w:pPr>
        <w:pStyle w:val="Heading2"/>
      </w:pPr>
      <w:r>
        <w:t>6.5 Limitations</w:t>
      </w:r>
    </w:p>
    <w:p>
      <w:pPr>
        <w:pStyle w:val="ListBullet"/>
        <w:spacing w:line="360" w:lineRule="auto"/>
        <w:jc w:val="both"/>
      </w:pPr>
      <w:r>
        <w:t>Statistical insignificance: p = 0.79 for the Sharpe difference; 3 years is too short for definitive conclusions.</w:t>
      </w:r>
    </w:p>
    <w:p>
      <w:pPr>
        <w:pStyle w:val="ListBullet"/>
        <w:spacing w:line="360" w:lineRule="auto"/>
        <w:jc w:val="both"/>
      </w:pPr>
      <w:r>
        <w:t>No survivorship bias concern (using ETFs, not individual stocks), but ETF composition changes are not modeled.</w:t>
      </w:r>
    </w:p>
    <w:p>
      <w:pPr>
        <w:pStyle w:val="ListBullet"/>
        <w:spacing w:line="360" w:lineRule="auto"/>
        <w:jc w:val="both"/>
      </w:pPr>
      <w:r>
        <w:t>Look-ahead in feature engineering: While prediction uses point-in-time data, some feature transformations use full-sample statistics. Walk-forward retraining mitigates but does not eliminate this.</w:t>
      </w:r>
    </w:p>
    <w:p>
      <w:pPr>
        <w:pStyle w:val="ListBullet"/>
        <w:spacing w:line="360" w:lineRule="auto"/>
        <w:jc w:val="both"/>
      </w:pPr>
      <w:r>
        <w:t>Single OOS period: Results are from 2022--2024 only. Different market regimes may produce different rankings.</w:t>
      </w:r>
    </w:p>
    <w:p>
      <w:pPr>
        <w:pStyle w:val="ListBullet"/>
        <w:spacing w:line="360" w:lineRule="auto"/>
        <w:jc w:val="both"/>
      </w:pPr>
      <w:r>
        <w:t>AutoResearch convergence: 72 experiments may not fully explore the hyperparameter space; additional iterations could find better configurations.</w:t>
      </w:r>
    </w:p>
    <w:p>
      <w:pPr>
        <w:pStyle w:val="Heading2"/>
      </w:pPr>
      <w:r>
        <w:t>6.6 Advisor Revision Coverage</w:t>
      </w:r>
    </w:p>
    <w:p>
      <w:pPr>
        <w:spacing w:line="360" w:lineRule="auto"/>
        <w:jc w:val="both"/>
      </w:pPr>
      <w:r>
        <w:t>The current draft explicitly addresses the latest advisor comments as follows:</w:t>
      </w:r>
    </w:p>
    <w:tbl>
      <w:tblPr>
        <w:tblStyle w:val="TableGrid"/>
        <w:tblW w:type="auto" w:w="0"/>
        <w:tblLook w:firstColumn="1" w:firstRow="1" w:lastColumn="0" w:lastRow="0" w:noHBand="0" w:noVBand="1" w:val="04A0"/>
      </w:tblPr>
      <w:tblGrid>
        <w:gridCol w:w="3041"/>
        <w:gridCol w:w="3041"/>
        <w:gridCol w:w="3041"/>
      </w:tblGrid>
      <w:tr>
        <w:tc>
          <w:tcPr>
            <w:tcW w:type="dxa" w:w="3041"/>
          </w:tcPr>
          <w:p>
            <w:pPr>
              <w:jc w:val="center"/>
            </w:pPr>
            <w:r>
              <w:rPr>
                <w:rFonts w:ascii="Times New Roman" w:hAnsi="Times New Roman"/>
                <w:b/>
                <w:sz w:val="20"/>
              </w:rPr>
              <w:t>Advisor Note</w:t>
            </w:r>
          </w:p>
        </w:tc>
        <w:tc>
          <w:tcPr>
            <w:tcW w:type="dxa" w:w="3041"/>
          </w:tcPr>
          <w:p>
            <w:pPr>
              <w:jc w:val="center"/>
            </w:pPr>
            <w:r>
              <w:rPr>
                <w:rFonts w:ascii="Times New Roman" w:hAnsi="Times New Roman"/>
                <w:b/>
                <w:sz w:val="20"/>
              </w:rPr>
              <w:t>Revision Made</w:t>
            </w:r>
          </w:p>
        </w:tc>
        <w:tc>
          <w:tcPr>
            <w:tcW w:type="dxa" w:w="3041"/>
          </w:tcPr>
          <w:p>
            <w:pPr>
              <w:jc w:val="center"/>
            </w:pPr>
            <w:r>
              <w:rPr>
                <w:rFonts w:ascii="Times New Roman" w:hAnsi="Times New Roman"/>
                <w:b/>
                <w:sz w:val="20"/>
              </w:rPr>
              <w:t>Location</w:t>
            </w:r>
          </w:p>
        </w:tc>
      </w:tr>
      <w:tr>
        <w:tc>
          <w:tcPr>
            <w:tcW w:type="dxa" w:w="3041"/>
          </w:tcPr>
          <w:p>
            <w:pPr>
              <w:jc w:val="left"/>
            </w:pPr>
            <w:r>
              <w:rPr>
                <w:rFonts w:ascii="Times New Roman" w:hAnsi="Times New Roman"/>
                <w:b w:val="0"/>
                <w:sz w:val="20"/>
              </w:rPr>
              <w:t>Problem definition should be improved and the introduction should move from broad context to the specific study.</w:t>
            </w:r>
          </w:p>
        </w:tc>
        <w:tc>
          <w:tcPr>
            <w:tcW w:type="dxa" w:w="3041"/>
          </w:tcPr>
          <w:p>
            <w:pPr>
              <w:jc w:val="left"/>
            </w:pPr>
            <w:r>
              <w:rPr>
                <w:rFonts w:ascii="Times New Roman" w:hAnsi="Times New Roman"/>
                <w:b w:val="0"/>
                <w:sz w:val="20"/>
              </w:rPr>
              <w:t>The introduction now begins with the general portfolio allocation problem, explains why static Markowitz assumptions are insufficient, connects the 2022--2024 regime shift to the thesis motivation, and states the research problem formally.</w:t>
            </w:r>
          </w:p>
        </w:tc>
        <w:tc>
          <w:tcPr>
            <w:tcW w:type="dxa" w:w="3041"/>
          </w:tcPr>
          <w:p>
            <w:pPr>
              <w:jc w:val="left"/>
            </w:pPr>
            <w:r>
              <w:rPr>
                <w:rFonts w:ascii="Times New Roman" w:hAnsi="Times New Roman"/>
                <w:b w:val="0"/>
                <w:sz w:val="20"/>
              </w:rPr>
              <w:t>Sections 1.1 and 1.2</w:t>
            </w:r>
          </w:p>
        </w:tc>
      </w:tr>
      <w:tr>
        <w:tc>
          <w:tcPr>
            <w:tcW w:type="dxa" w:w="3041"/>
          </w:tcPr>
          <w:p>
            <w:pPr>
              <w:jc w:val="left"/>
            </w:pPr>
            <w:r>
              <w:rPr>
                <w:rFonts w:ascii="Times New Roman" w:hAnsi="Times New Roman"/>
                <w:b w:val="0"/>
                <w:sz w:val="20"/>
              </w:rPr>
              <w:t>Add assumptions and limitations in the first chapter.</w:t>
            </w:r>
          </w:p>
        </w:tc>
        <w:tc>
          <w:tcPr>
            <w:tcW w:type="dxa" w:w="3041"/>
          </w:tcPr>
          <w:p>
            <w:pPr>
              <w:jc w:val="left"/>
            </w:pPr>
            <w:r>
              <w:rPr>
                <w:rFonts w:ascii="Times New Roman" w:hAnsi="Times New Roman"/>
                <w:b w:val="0"/>
                <w:sz w:val="20"/>
              </w:rPr>
              <w:t>A separate scope, assumptions, and limitations subsection was added. It covers asset universe, data period, long-only constraints, transaction costs, benchmarks, MiroFish interpretation, OOS length, data revisions, and live-trading frictions.</w:t>
            </w:r>
          </w:p>
        </w:tc>
        <w:tc>
          <w:tcPr>
            <w:tcW w:type="dxa" w:w="3041"/>
          </w:tcPr>
          <w:p>
            <w:pPr>
              <w:jc w:val="left"/>
            </w:pPr>
            <w:r>
              <w:rPr>
                <w:rFonts w:ascii="Times New Roman" w:hAnsi="Times New Roman"/>
                <w:b w:val="0"/>
                <w:sz w:val="20"/>
              </w:rPr>
              <w:t>Section 1.6</w:t>
            </w:r>
          </w:p>
        </w:tc>
      </w:tr>
      <w:tr>
        <w:tc>
          <w:tcPr>
            <w:tcW w:type="dxa" w:w="3041"/>
          </w:tcPr>
          <w:p>
            <w:pPr>
              <w:jc w:val="left"/>
            </w:pPr>
            <w:r>
              <w:rPr>
                <w:rFonts w:ascii="Times New Roman" w:hAnsi="Times New Roman"/>
                <w:b w:val="0"/>
                <w:sz w:val="20"/>
              </w:rPr>
              <w:t>Add short definitions if necessary.</w:t>
            </w:r>
          </w:p>
        </w:tc>
        <w:tc>
          <w:tcPr>
            <w:tcW w:type="dxa" w:w="3041"/>
          </w:tcPr>
          <w:p>
            <w:pPr>
              <w:jc w:val="left"/>
            </w:pPr>
            <w:r>
              <w:rPr>
                <w:rFonts w:ascii="Times New Roman" w:hAnsi="Times New Roman"/>
                <w:b w:val="0"/>
                <w:sz w:val="20"/>
              </w:rPr>
              <w:t>Definitions were added for dynamic portfolio optimization, mean-variance optimization, CVXPY, LightGBM, AutoResearch, swarm intelligence, and MiroFish.</w:t>
            </w:r>
          </w:p>
        </w:tc>
        <w:tc>
          <w:tcPr>
            <w:tcW w:type="dxa" w:w="3041"/>
          </w:tcPr>
          <w:p>
            <w:pPr>
              <w:jc w:val="left"/>
            </w:pPr>
            <w:r>
              <w:rPr>
                <w:rFonts w:ascii="Times New Roman" w:hAnsi="Times New Roman"/>
                <w:b w:val="0"/>
                <w:sz w:val="20"/>
              </w:rPr>
              <w:t>Section 1.3</w:t>
            </w:r>
          </w:p>
        </w:tc>
      </w:tr>
      <w:tr>
        <w:tc>
          <w:tcPr>
            <w:tcW w:type="dxa" w:w="3041"/>
          </w:tcPr>
          <w:p>
            <w:pPr>
              <w:jc w:val="left"/>
            </w:pPr>
            <w:r>
              <w:rPr>
                <w:rFonts w:ascii="Times New Roman" w:hAnsi="Times New Roman"/>
                <w:b w:val="0"/>
                <w:sz w:val="20"/>
              </w:rPr>
              <w:t>Add thesis structure at the end of the first chapter.</w:t>
            </w:r>
          </w:p>
        </w:tc>
        <w:tc>
          <w:tcPr>
            <w:tcW w:type="dxa" w:w="3041"/>
          </w:tcPr>
          <w:p>
            <w:pPr>
              <w:jc w:val="left"/>
            </w:pPr>
            <w:r>
              <w:rPr>
                <w:rFonts w:ascii="Times New Roman" w:hAnsi="Times New Roman"/>
                <w:b w:val="0"/>
                <w:sz w:val="20"/>
              </w:rPr>
              <w:t>A thesis structure paragraph now explains what each chapter covers.</w:t>
            </w:r>
          </w:p>
        </w:tc>
        <w:tc>
          <w:tcPr>
            <w:tcW w:type="dxa" w:w="3041"/>
          </w:tcPr>
          <w:p>
            <w:pPr>
              <w:jc w:val="left"/>
            </w:pPr>
            <w:r>
              <w:rPr>
                <w:rFonts w:ascii="Times New Roman" w:hAnsi="Times New Roman"/>
                <w:b w:val="0"/>
                <w:sz w:val="20"/>
              </w:rPr>
              <w:t>Section 1.7</w:t>
            </w:r>
          </w:p>
        </w:tc>
      </w:tr>
      <w:tr>
        <w:tc>
          <w:tcPr>
            <w:tcW w:type="dxa" w:w="3041"/>
          </w:tcPr>
          <w:p>
            <w:pPr>
              <w:jc w:val="left"/>
            </w:pPr>
            <w:r>
              <w:rPr>
                <w:rFonts w:ascii="Times New Roman" w:hAnsi="Times New Roman"/>
                <w:b w:val="0"/>
                <w:sz w:val="20"/>
              </w:rPr>
              <w:t>Literature review is too short and should include more background theory.</w:t>
            </w:r>
          </w:p>
        </w:tc>
        <w:tc>
          <w:tcPr>
            <w:tcW w:type="dxa" w:w="3041"/>
          </w:tcPr>
          <w:p>
            <w:pPr>
              <w:jc w:val="left"/>
            </w:pPr>
            <w:r>
              <w:rPr>
                <w:rFonts w:ascii="Times New Roman" w:hAnsi="Times New Roman"/>
                <w:b w:val="0"/>
                <w:sz w:val="20"/>
              </w:rPr>
              <w:t>The literature review now has separate theory subsections for portfolio theory, macro factor models, machine learning return prediction, CVXPY and convex optimization, dynamic portfolio optimization, autonomous research, swarm intelligence, and the literature gap.</w:t>
            </w:r>
          </w:p>
        </w:tc>
        <w:tc>
          <w:tcPr>
            <w:tcW w:type="dxa" w:w="3041"/>
          </w:tcPr>
          <w:p>
            <w:pPr>
              <w:jc w:val="left"/>
            </w:pPr>
            <w:r>
              <w:rPr>
                <w:rFonts w:ascii="Times New Roman" w:hAnsi="Times New Roman"/>
                <w:b w:val="0"/>
                <w:sz w:val="20"/>
              </w:rPr>
              <w:t>Chapter 2</w:t>
            </w:r>
          </w:p>
        </w:tc>
      </w:tr>
      <w:tr>
        <w:tc>
          <w:tcPr>
            <w:tcW w:type="dxa" w:w="3041"/>
          </w:tcPr>
          <w:p>
            <w:pPr>
              <w:jc w:val="left"/>
            </w:pPr>
            <w:r>
              <w:rPr>
                <w:rFonts w:ascii="Times New Roman" w:hAnsi="Times New Roman"/>
                <w:b w:val="0"/>
                <w:sz w:val="20"/>
              </w:rPr>
              <w:t>Explain concepts such as CVXPY, LightGBM, swarm intelligence, autonomous search, Markowitz, dynamic portfolio optimization, Karpathy-inspired AI scientist loop.</w:t>
            </w:r>
          </w:p>
        </w:tc>
        <w:tc>
          <w:tcPr>
            <w:tcW w:type="dxa" w:w="3041"/>
          </w:tcPr>
          <w:p>
            <w:pPr>
              <w:jc w:val="left"/>
            </w:pPr>
            <w:r>
              <w:rPr>
                <w:rFonts w:ascii="Times New Roman" w:hAnsi="Times New Roman"/>
                <w:b w:val="0"/>
                <w:sz w:val="20"/>
              </w:rPr>
              <w:t>Each concept is now defined in Chapter 1 and explained in more detail in Chapter 2.</w:t>
            </w:r>
          </w:p>
        </w:tc>
        <w:tc>
          <w:tcPr>
            <w:tcW w:type="dxa" w:w="3041"/>
          </w:tcPr>
          <w:p>
            <w:pPr>
              <w:jc w:val="left"/>
            </w:pPr>
            <w:r>
              <w:rPr>
                <w:rFonts w:ascii="Times New Roman" w:hAnsi="Times New Roman"/>
                <w:b w:val="0"/>
                <w:sz w:val="20"/>
              </w:rPr>
              <w:t>Sections 1.3 and 2.1--2.8</w:t>
            </w:r>
          </w:p>
        </w:tc>
      </w:tr>
      <w:tr>
        <w:tc>
          <w:tcPr>
            <w:tcW w:type="dxa" w:w="3041"/>
          </w:tcPr>
          <w:p>
            <w:pPr>
              <w:jc w:val="left"/>
            </w:pPr>
            <w:r>
              <w:rPr>
                <w:rFonts w:ascii="Times New Roman" w:hAnsi="Times New Roman"/>
                <w:b w:val="0"/>
                <w:sz w:val="20"/>
              </w:rPr>
              <w:t>Explain MiroFish.</w:t>
            </w:r>
          </w:p>
        </w:tc>
        <w:tc>
          <w:tcPr>
            <w:tcW w:type="dxa" w:w="3041"/>
          </w:tcPr>
          <w:p>
            <w:pPr>
              <w:jc w:val="left"/>
            </w:pPr>
            <w:r>
              <w:rPr>
                <w:rFonts w:ascii="Times New Roman" w:hAnsi="Times New Roman"/>
                <w:b w:val="0"/>
                <w:sz w:val="20"/>
              </w:rPr>
              <w:t>MiroFish is defined as the adapted multi-agent simulation platform, then described in the literature review, methodology, implementation, and result interpretation.</w:t>
            </w:r>
          </w:p>
        </w:tc>
        <w:tc>
          <w:tcPr>
            <w:tcW w:type="dxa" w:w="3041"/>
          </w:tcPr>
          <w:p>
            <w:pPr>
              <w:jc w:val="left"/>
            </w:pPr>
            <w:r>
              <w:rPr>
                <w:rFonts w:ascii="Times New Roman" w:hAnsi="Times New Roman"/>
                <w:b w:val="0"/>
                <w:sz w:val="20"/>
              </w:rPr>
              <w:t>Sections 1.3, 2.7, 3.1.2, 4.4, 5.1, 6.3</w:t>
            </w:r>
          </w:p>
        </w:tc>
      </w:tr>
      <w:tr>
        <w:tc>
          <w:tcPr>
            <w:tcW w:type="dxa" w:w="3041"/>
          </w:tcPr>
          <w:p>
            <w:pPr>
              <w:jc w:val="left"/>
            </w:pPr>
            <w:r>
              <w:rPr>
                <w:rFonts w:ascii="Times New Roman" w:hAnsi="Times New Roman"/>
                <w:b w:val="0"/>
                <w:sz w:val="20"/>
              </w:rPr>
              <w:t>Methodology is good but the stages should be expanded as subsections under 3.1.</w:t>
            </w:r>
          </w:p>
        </w:tc>
        <w:tc>
          <w:tcPr>
            <w:tcW w:type="dxa" w:w="3041"/>
          </w:tcPr>
          <w:p>
            <w:pPr>
              <w:jc w:val="left"/>
            </w:pPr>
            <w:r>
              <w:rPr>
                <w:rFonts w:ascii="Times New Roman" w:hAnsi="Times New Roman"/>
                <w:b w:val="0"/>
                <w:sz w:val="20"/>
              </w:rPr>
              <w:t>Stage descriptions were split into detailed subsections: AutoResearch, MiroFish, integrated walk-forward pipeline, reporting, and closed-loop feedback.</w:t>
            </w:r>
          </w:p>
        </w:tc>
        <w:tc>
          <w:tcPr>
            <w:tcW w:type="dxa" w:w="3041"/>
          </w:tcPr>
          <w:p>
            <w:pPr>
              <w:jc w:val="left"/>
            </w:pPr>
            <w:r>
              <w:rPr>
                <w:rFonts w:ascii="Times New Roman" w:hAnsi="Times New Roman"/>
                <w:b w:val="0"/>
                <w:sz w:val="20"/>
              </w:rPr>
              <w:t>Sections 3.1.1--3.1.5</w:t>
            </w:r>
          </w:p>
        </w:tc>
      </w:tr>
      <w:tr>
        <w:tc>
          <w:tcPr>
            <w:tcW w:type="dxa" w:w="3041"/>
          </w:tcPr>
          <w:p>
            <w:pPr>
              <w:jc w:val="left"/>
            </w:pPr>
            <w:r>
              <w:rPr>
                <w:rFonts w:ascii="Times New Roman" w:hAnsi="Times New Roman"/>
                <w:b w:val="0"/>
                <w:sz w:val="20"/>
              </w:rPr>
              <w:t>Figures and tables should follow the thesis template; paragraphs should be justified; page numbers should be used.</w:t>
            </w:r>
          </w:p>
        </w:tc>
        <w:tc>
          <w:tcPr>
            <w:tcW w:type="dxa" w:w="3041"/>
          </w:tcPr>
          <w:p>
            <w:pPr>
              <w:jc w:val="left"/>
            </w:pPr>
            <w:r>
              <w:rPr>
                <w:rFonts w:ascii="Times New Roman" w:hAnsi="Times New Roman"/>
                <w:b w:val="0"/>
                <w:sz w:val="20"/>
              </w:rPr>
              <w:t>A formatting checklist and LaTeX formatting shell were added for final Word/LaTeX template preparation. This is a document-production requirement rather than a markdown-content requirement.</w:t>
            </w:r>
          </w:p>
        </w:tc>
        <w:tc>
          <w:tcPr>
            <w:tcW w:type="dxa" w:w="3041"/>
          </w:tcPr>
          <w:p>
            <w:pPr>
              <w:jc w:val="left"/>
            </w:pPr>
            <w:r>
              <w:rPr>
                <w:rFonts w:ascii="Times New Roman" w:hAnsi="Times New Roman"/>
                <w:b w:val="0"/>
                <w:sz w:val="20"/>
              </w:rPr>
              <w:t>thesis_portfolio_opt/deliverables/Formatting_Checklist.md, thesis_portfolio_opt/deliverables/Thesis_Format_Template.tex</w:t>
            </w:r>
          </w:p>
        </w:tc>
      </w:tr>
    </w:tbl>
    <w:p/>
    <w:p>
      <w:pPr>
        <w:spacing w:line="360" w:lineRule="auto"/>
        <w:jc w:val="both"/>
      </w:pPr>
      <w:r>
        <w:t>This response matrix is included so the next draft can be reviewed against the advisor's comments item by item.</w:t>
      </w:r>
    </w:p>
    <w:p>
      <w:pPr>
        <w:pStyle w:val="Heading2"/>
      </w:pPr>
      <w:r>
        <w:t>6.7 Phase 5 Feedback Experiments</w:t>
      </w:r>
    </w:p>
    <w:p>
      <w:pPr>
        <w:spacing w:line="360" w:lineRule="auto"/>
        <w:jc w:val="both"/>
      </w:pPr>
      <w:r>
        <w:t>The latest feedback loop generated three experiment directions for the next coding/research cycle. These were implemented in thesis_portfolio_opt/research/phase5_feedback_experiments.py and written to thesis_portfolio_opt/data/results/phase5_feedback_experiments.csv.</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tcPr>
          <w:p>
            <w:pPr>
              <w:jc w:val="center"/>
            </w:pPr>
            <w:r>
              <w:rPr>
                <w:rFonts w:ascii="Times New Roman" w:hAnsi="Times New Roman"/>
                <w:b/>
                <w:sz w:val="20"/>
              </w:rPr>
              <w:t>Experiment</w:t>
            </w:r>
          </w:p>
        </w:tc>
        <w:tc>
          <w:tcPr>
            <w:tcW w:type="dxa" w:w="1520"/>
          </w:tcPr>
          <w:p>
            <w:pPr>
              <w:jc w:val="center"/>
            </w:pPr>
            <w:r>
              <w:rPr>
                <w:rFonts w:ascii="Times New Roman" w:hAnsi="Times New Roman"/>
                <w:b/>
                <w:sz w:val="20"/>
              </w:rPr>
              <w:t>Sharpe</w:t>
            </w:r>
          </w:p>
        </w:tc>
        <w:tc>
          <w:tcPr>
            <w:tcW w:type="dxa" w:w="1520"/>
          </w:tcPr>
          <w:p>
            <w:pPr>
              <w:jc w:val="center"/>
            </w:pPr>
            <w:r>
              <w:rPr>
                <w:rFonts w:ascii="Times New Roman" w:hAnsi="Times New Roman"/>
                <w:b/>
                <w:sz w:val="20"/>
              </w:rPr>
              <w:t>Ann. Return</w:t>
            </w:r>
          </w:p>
        </w:tc>
        <w:tc>
          <w:tcPr>
            <w:tcW w:type="dxa" w:w="1520"/>
          </w:tcPr>
          <w:p>
            <w:pPr>
              <w:jc w:val="center"/>
            </w:pPr>
            <w:r>
              <w:rPr>
                <w:rFonts w:ascii="Times New Roman" w:hAnsi="Times New Roman"/>
                <w:b/>
                <w:sz w:val="20"/>
              </w:rPr>
              <w:t>Ann. Vol</w:t>
            </w:r>
          </w:p>
        </w:tc>
        <w:tc>
          <w:tcPr>
            <w:tcW w:type="dxa" w:w="1520"/>
          </w:tcPr>
          <w:p>
            <w:pPr>
              <w:jc w:val="center"/>
            </w:pPr>
            <w:r>
              <w:rPr>
                <w:rFonts w:ascii="Times New Roman" w:hAnsi="Times New Roman"/>
                <w:b/>
                <w:sz w:val="20"/>
              </w:rPr>
              <w:t>Max DD</w:t>
            </w:r>
          </w:p>
        </w:tc>
        <w:tc>
          <w:tcPr>
            <w:tcW w:type="dxa" w:w="1520"/>
          </w:tcPr>
          <w:p>
            <w:pPr>
              <w:jc w:val="center"/>
            </w:pPr>
            <w:r>
              <w:rPr>
                <w:rFonts w:ascii="Times New Roman" w:hAnsi="Times New Roman"/>
                <w:b/>
                <w:sz w:val="20"/>
              </w:rPr>
              <w:t>Interpretation</w:t>
            </w:r>
          </w:p>
        </w:tc>
      </w:tr>
      <w:tr>
        <w:tc>
          <w:tcPr>
            <w:tcW w:type="dxa" w:w="1520"/>
          </w:tcPr>
          <w:p>
            <w:pPr>
              <w:jc w:val="left"/>
            </w:pPr>
            <w:r>
              <w:rPr>
                <w:rFonts w:ascii="Times New Roman" w:hAnsi="Times New Roman"/>
                <w:b w:val="0"/>
                <w:sz w:val="20"/>
              </w:rPr>
              <w:t>Baseline ML-only current</w:t>
            </w:r>
          </w:p>
        </w:tc>
        <w:tc>
          <w:tcPr>
            <w:tcW w:type="dxa" w:w="1520"/>
          </w:tcPr>
          <w:p>
            <w:pPr>
              <w:jc w:val="left"/>
            </w:pPr>
            <w:r>
              <w:rPr>
                <w:rFonts w:ascii="Times New Roman" w:hAnsi="Times New Roman"/>
                <w:b w:val="0"/>
                <w:sz w:val="20"/>
              </w:rPr>
              <w:t>1.410</w:t>
            </w:r>
          </w:p>
        </w:tc>
        <w:tc>
          <w:tcPr>
            <w:tcW w:type="dxa" w:w="1520"/>
          </w:tcPr>
          <w:p>
            <w:pPr>
              <w:jc w:val="left"/>
            </w:pPr>
            <w:r>
              <w:rPr>
                <w:rFonts w:ascii="Times New Roman" w:hAnsi="Times New Roman"/>
                <w:b w:val="0"/>
                <w:sz w:val="20"/>
              </w:rPr>
              <w:t>+20.7%</w:t>
            </w:r>
          </w:p>
        </w:tc>
        <w:tc>
          <w:tcPr>
            <w:tcW w:type="dxa" w:w="1520"/>
          </w:tcPr>
          <w:p>
            <w:pPr>
              <w:jc w:val="left"/>
            </w:pPr>
            <w:r>
              <w:rPr>
                <w:rFonts w:ascii="Times New Roman" w:hAnsi="Times New Roman"/>
                <w:b w:val="0"/>
                <w:sz w:val="20"/>
              </w:rPr>
              <w:t>14.7%</w:t>
            </w:r>
          </w:p>
        </w:tc>
        <w:tc>
          <w:tcPr>
            <w:tcW w:type="dxa" w:w="1520"/>
          </w:tcPr>
          <w:p>
            <w:pPr>
              <w:jc w:val="left"/>
            </w:pPr>
            <w:r>
              <w:rPr>
                <w:rFonts w:ascii="Times New Roman" w:hAnsi="Times New Roman"/>
                <w:b w:val="0"/>
                <w:sz w:val="20"/>
              </w:rPr>
              <w:t>-17.8%</w:t>
            </w:r>
          </w:p>
        </w:tc>
        <w:tc>
          <w:tcPr>
            <w:tcW w:type="dxa" w:w="1520"/>
          </w:tcPr>
          <w:p>
            <w:pPr>
              <w:jc w:val="left"/>
            </w:pPr>
            <w:r>
              <w:rPr>
                <w:rFonts w:ascii="Times New Roman" w:hAnsi="Times New Roman"/>
                <w:b w:val="0"/>
                <w:sz w:val="20"/>
              </w:rPr>
              <w:t>Current best remains the main thesis result.</w:t>
            </w:r>
          </w:p>
        </w:tc>
      </w:tr>
      <w:tr>
        <w:tc>
          <w:tcPr>
            <w:tcW w:type="dxa" w:w="1520"/>
          </w:tcPr>
          <w:p>
            <w:pPr>
              <w:jc w:val="left"/>
            </w:pPr>
            <w:r>
              <w:rPr>
                <w:rFonts w:ascii="Times New Roman" w:hAnsi="Times New Roman"/>
                <w:b w:val="0"/>
                <w:sz w:val="20"/>
              </w:rPr>
              <w:t>Swarm low-lambda ($\lambda=2$, maxW=0.5)</w:t>
            </w:r>
          </w:p>
        </w:tc>
        <w:tc>
          <w:tcPr>
            <w:tcW w:type="dxa" w:w="1520"/>
          </w:tcPr>
          <w:p>
            <w:pPr>
              <w:jc w:val="left"/>
            </w:pPr>
            <w:r>
              <w:rPr>
                <w:rFonts w:ascii="Times New Roman" w:hAnsi="Times New Roman"/>
                <w:b w:val="0"/>
                <w:sz w:val="20"/>
              </w:rPr>
              <w:t>0.813</w:t>
            </w:r>
          </w:p>
        </w:tc>
        <w:tc>
          <w:tcPr>
            <w:tcW w:type="dxa" w:w="1520"/>
          </w:tcPr>
          <w:p>
            <w:pPr>
              <w:jc w:val="left"/>
            </w:pPr>
            <w:r>
              <w:rPr>
                <w:rFonts w:ascii="Times New Roman" w:hAnsi="Times New Roman"/>
                <w:b w:val="0"/>
                <w:sz w:val="20"/>
              </w:rPr>
              <w:t>+9.6%</w:t>
            </w:r>
          </w:p>
        </w:tc>
        <w:tc>
          <w:tcPr>
            <w:tcW w:type="dxa" w:w="1520"/>
          </w:tcPr>
          <w:p>
            <w:pPr>
              <w:jc w:val="left"/>
            </w:pPr>
            <w:r>
              <w:rPr>
                <w:rFonts w:ascii="Times New Roman" w:hAnsi="Times New Roman"/>
                <w:b w:val="0"/>
                <w:sz w:val="20"/>
              </w:rPr>
              <w:t>11.8%</w:t>
            </w:r>
          </w:p>
        </w:tc>
        <w:tc>
          <w:tcPr>
            <w:tcW w:type="dxa" w:w="1520"/>
          </w:tcPr>
          <w:p>
            <w:pPr>
              <w:jc w:val="left"/>
            </w:pPr>
            <w:r>
              <w:rPr>
                <w:rFonts w:ascii="Times New Roman" w:hAnsi="Times New Roman"/>
                <w:b w:val="0"/>
                <w:sz w:val="20"/>
              </w:rPr>
              <w:t>-16.8%</w:t>
            </w:r>
          </w:p>
        </w:tc>
        <w:tc>
          <w:tcPr>
            <w:tcW w:type="dxa" w:w="1520"/>
          </w:tcPr>
          <w:p>
            <w:pPr>
              <w:jc w:val="left"/>
            </w:pPr>
            <w:r>
              <w:rPr>
                <w:rFonts w:ascii="Times New Roman" w:hAnsi="Times New Roman"/>
                <w:b w:val="0"/>
                <w:sz w:val="20"/>
              </w:rPr>
              <w:t>Lower risk aversion does not recover enough return; MiroFish remains a risk overlay, not an alpha enhancer.</w:t>
            </w:r>
          </w:p>
        </w:tc>
      </w:tr>
      <w:tr>
        <w:tc>
          <w:tcPr>
            <w:tcW w:type="dxa" w:w="1520"/>
          </w:tcPr>
          <w:p>
            <w:pPr>
              <w:jc w:val="left"/>
            </w:pPr>
            <w:r>
              <w:rPr>
                <w:rFonts w:ascii="Times New Roman" w:hAnsi="Times New Roman"/>
                <w:b w:val="0"/>
                <w:sz w:val="20"/>
              </w:rPr>
              <w:t>Tight constraints (maxW=0.3, shrinkage=0.2)</w:t>
            </w:r>
          </w:p>
        </w:tc>
        <w:tc>
          <w:tcPr>
            <w:tcW w:type="dxa" w:w="1520"/>
          </w:tcPr>
          <w:p>
            <w:pPr>
              <w:jc w:val="left"/>
            </w:pPr>
            <w:r>
              <w:rPr>
                <w:rFonts w:ascii="Times New Roman" w:hAnsi="Times New Roman"/>
                <w:b w:val="0"/>
                <w:sz w:val="20"/>
              </w:rPr>
              <w:t>1.307</w:t>
            </w:r>
          </w:p>
        </w:tc>
        <w:tc>
          <w:tcPr>
            <w:tcW w:type="dxa" w:w="1520"/>
          </w:tcPr>
          <w:p>
            <w:pPr>
              <w:jc w:val="left"/>
            </w:pPr>
            <w:r>
              <w:rPr>
                <w:rFonts w:ascii="Times New Roman" w:hAnsi="Times New Roman"/>
                <w:b w:val="0"/>
                <w:sz w:val="20"/>
              </w:rPr>
              <w:t>+16.9%</w:t>
            </w:r>
          </w:p>
        </w:tc>
        <w:tc>
          <w:tcPr>
            <w:tcW w:type="dxa" w:w="1520"/>
          </w:tcPr>
          <w:p>
            <w:pPr>
              <w:jc w:val="left"/>
            </w:pPr>
            <w:r>
              <w:rPr>
                <w:rFonts w:ascii="Times New Roman" w:hAnsi="Times New Roman"/>
                <w:b w:val="0"/>
                <w:sz w:val="20"/>
              </w:rPr>
              <w:t>12.9%</w:t>
            </w:r>
          </w:p>
        </w:tc>
        <w:tc>
          <w:tcPr>
            <w:tcW w:type="dxa" w:w="1520"/>
          </w:tcPr>
          <w:p>
            <w:pPr>
              <w:jc w:val="left"/>
            </w:pPr>
            <w:r>
              <w:rPr>
                <w:rFonts w:ascii="Times New Roman" w:hAnsi="Times New Roman"/>
                <w:b w:val="0"/>
                <w:sz w:val="20"/>
              </w:rPr>
              <w:t>-16.0%</w:t>
            </w:r>
          </w:p>
        </w:tc>
        <w:tc>
          <w:tcPr>
            <w:tcW w:type="dxa" w:w="1520"/>
          </w:tcPr>
          <w:p>
            <w:pPr>
              <w:jc w:val="left"/>
            </w:pPr>
            <w:r>
              <w:rPr>
                <w:rFonts w:ascii="Times New Roman" w:hAnsi="Times New Roman"/>
                <w:b w:val="0"/>
                <w:sz w:val="20"/>
              </w:rPr>
              <w:t>Strong robustness result: lower concentration reduces drawdown while preserving most of the Sharpe.</w:t>
            </w:r>
          </w:p>
        </w:tc>
      </w:tr>
      <w:tr>
        <w:tc>
          <w:tcPr>
            <w:tcW w:type="dxa" w:w="1520"/>
          </w:tcPr>
          <w:p>
            <w:pPr>
              <w:jc w:val="left"/>
            </w:pPr>
            <w:r>
              <w:rPr>
                <w:rFonts w:ascii="Times New Roman" w:hAnsi="Times New Roman"/>
                <w:b w:val="0"/>
                <w:sz w:val="20"/>
              </w:rPr>
              <w:t>IC-weighted top-3 return ensemble</w:t>
            </w:r>
          </w:p>
        </w:tc>
        <w:tc>
          <w:tcPr>
            <w:tcW w:type="dxa" w:w="1520"/>
          </w:tcPr>
          <w:p>
            <w:pPr>
              <w:jc w:val="left"/>
            </w:pPr>
            <w:r>
              <w:rPr>
                <w:rFonts w:ascii="Times New Roman" w:hAnsi="Times New Roman"/>
                <w:b w:val="0"/>
                <w:sz w:val="20"/>
              </w:rPr>
              <w:t>0.126</w:t>
            </w:r>
          </w:p>
        </w:tc>
        <w:tc>
          <w:tcPr>
            <w:tcW w:type="dxa" w:w="1520"/>
          </w:tcPr>
          <w:p>
            <w:pPr>
              <w:jc w:val="left"/>
            </w:pPr>
            <w:r>
              <w:rPr>
                <w:rFonts w:ascii="Times New Roman" w:hAnsi="Times New Roman"/>
                <w:b w:val="0"/>
                <w:sz w:val="20"/>
              </w:rPr>
              <w:t>+1.5%</w:t>
            </w:r>
          </w:p>
        </w:tc>
        <w:tc>
          <w:tcPr>
            <w:tcW w:type="dxa" w:w="1520"/>
          </w:tcPr>
          <w:p>
            <w:pPr>
              <w:jc w:val="left"/>
            </w:pPr>
            <w:r>
              <w:rPr>
                <w:rFonts w:ascii="Times New Roman" w:hAnsi="Times New Roman"/>
                <w:b w:val="0"/>
                <w:sz w:val="20"/>
              </w:rPr>
              <w:t>12.2%</w:t>
            </w:r>
          </w:p>
        </w:tc>
        <w:tc>
          <w:tcPr>
            <w:tcW w:type="dxa" w:w="1520"/>
          </w:tcPr>
          <w:p>
            <w:pPr>
              <w:jc w:val="left"/>
            </w:pPr>
            <w:r>
              <w:rPr>
                <w:rFonts w:ascii="Times New Roman" w:hAnsi="Times New Roman"/>
                <w:b w:val="0"/>
                <w:sz w:val="20"/>
              </w:rPr>
              <w:t>-21.3%</w:t>
            </w:r>
          </w:p>
        </w:tc>
        <w:tc>
          <w:tcPr>
            <w:tcW w:type="dxa" w:w="1520"/>
          </w:tcPr>
          <w:p>
            <w:pPr>
              <w:jc w:val="left"/>
            </w:pPr>
            <w:r>
              <w:rPr>
                <w:rFonts w:ascii="Times New Roman" w:hAnsi="Times New Roman"/>
                <w:b w:val="0"/>
                <w:sz w:val="20"/>
              </w:rPr>
              <w:t>IC weighting at the strategy-return level performs poorly; high IC alone is insufficient for portfolio-level performance.</w:t>
            </w:r>
          </w:p>
        </w:tc>
      </w:tr>
    </w:tbl>
    <w:p/>
    <w:p>
      <w:pPr>
        <w:spacing w:line="360" w:lineRule="auto"/>
        <w:jc w:val="both"/>
      </w:pPr>
      <w:r>
        <w:t>The strongest new finding is the tight-constraint robustness test. It does not beat the baseline, but it supports an institutional version of the strategy: maxW=0.3 with shrinkage=0.2 still achieves Sharpe 1.307, lowers annualized volatility to 12.9%, and improves maximum drawdown to -16.0%. This makes the thesis less dependent on the concentrated maxW=0.6 configuration.</w:t>
      </w:r>
    </w:p>
    <w:p>
      <w:pPr>
        <w:spacing w:line="360" w:lineRule="auto"/>
        <w:jc w:val="both"/>
      </w:pPr>
      <w:r>
        <w:t>The other two feedback ideas are rejected by evidence. Lowering $\lambda$ inside ML+Swarm does not solve the return sacrifice created by the risk overlay. The IC-weighted ensemble also fails, reinforcing the earlier conclusion that ensembles add noise when the dominant LightGBM strategy is already strong.</w:t>
      </w:r>
    </w:p>
    <w:p>
      <w:pPr>
        <w:pStyle w:val="Heading1"/>
      </w:pPr>
      <w:r>
        <w:t>7. Conclusion</w:t>
      </w:r>
    </w:p>
    <w:p>
      <w:pPr>
        <w:spacing w:line="360" w:lineRule="auto"/>
        <w:jc w:val="both"/>
      </w:pPr>
      <w:r>
        <w:t>This thesis develops and validates an integrated dynamic portfolio optimization system combining autonomous ML research, multi-agent swarm intelligence, and macro-based prediction for a 12-ETF universe over 2005--2024.</w:t>
      </w:r>
    </w:p>
    <w:p>
      <w:pPr>
        <w:spacing w:line="360" w:lineRule="auto"/>
        <w:jc w:val="both"/>
      </w:pPr>
      <w:r>
        <w:t>Key Findings:</w:t>
      </w:r>
    </w:p>
    <w:p>
      <w:pPr>
        <w:pStyle w:val="ListNumber"/>
        <w:spacing w:line="360" w:lineRule="auto"/>
        <w:jc w:val="both"/>
      </w:pPr>
      <w:r>
        <w:t>The integrated system achieves OOS Sharpe 1.33--1.41, returning +19.6--20.7% annualized vs SPY's +10.0%, with lower drawdown (-17.8% vs -24.5%).</w:t>
      </w:r>
    </w:p>
    <w:p>
      <w:pPr>
        <w:pStyle w:val="ListNumber"/>
        <w:spacing w:line="360" w:lineRule="auto"/>
        <w:jc w:val="both"/>
      </w:pPr>
      <w:r>
        <w:t>LightGBM with 68 macro-only features and concentrated allocation (maxW=0.6) is the dominant configuration, discovered through 72 autonomous experiments.</w:t>
      </w:r>
    </w:p>
    <w:p>
      <w:pPr>
        <w:pStyle w:val="ListNumber"/>
        <w:spacing w:line="360" w:lineRule="auto"/>
        <w:jc w:val="both"/>
      </w:pPr>
      <w:r>
        <w:t>SVR emerges as the #2 model (highest IC=0.200), identified by the feedback loop-demonstrating the value of autonomous search over manual tuning.</w:t>
      </w:r>
    </w:p>
    <w:p>
      <w:pPr>
        <w:pStyle w:val="ListNumber"/>
        <w:spacing w:line="360" w:lineRule="auto"/>
        <w:jc w:val="both"/>
      </w:pPr>
      <w:r>
        <w:t>The MiroFish swarm overlay provides "beneficial risk" management: -2.9% volatility reduction and -1.6% drawdown improvement at the cost of lower Sharpe.</w:t>
      </w:r>
    </w:p>
    <w:p>
      <w:pPr>
        <w:pStyle w:val="ListNumber"/>
        <w:spacing w:line="360" w:lineRule="auto"/>
        <w:jc w:val="both"/>
      </w:pPr>
      <w:r>
        <w:t>OOS results are economically significant but not statistically significant (p=0.79) due to the 3-year evaluation window.</w:t>
      </w:r>
    </w:p>
    <w:p>
      <w:pPr>
        <w:pStyle w:val="ListNumber"/>
        <w:spacing w:line="360" w:lineRule="auto"/>
        <w:jc w:val="both"/>
      </w:pPr>
      <w:r>
        <w:t>Transaction cost break-even of ~25 bps makes the strategy viable at institutional execution costs.</w:t>
      </w:r>
    </w:p>
    <w:p>
      <w:pPr>
        <w:spacing w:line="360" w:lineRule="auto"/>
        <w:jc w:val="both"/>
      </w:pPr>
      <w:r>
        <w:t>Contributions to Industrial Engineering:</w:t>
      </w:r>
    </w:p>
    <w:p>
      <w:pPr>
        <w:pStyle w:val="ListBullet"/>
        <w:spacing w:line="360" w:lineRule="auto"/>
        <w:jc w:val="both"/>
      </w:pPr>
      <w:r>
        <w:t>Demonstrates closed-loop IE methodology (optimization + feedback control + autonomous search) in financial systems.</w:t>
      </w:r>
    </w:p>
    <w:p>
      <w:pPr>
        <w:pStyle w:val="ListBullet"/>
        <w:spacing w:line="360" w:lineRule="auto"/>
        <w:jc w:val="both"/>
      </w:pPr>
      <w:r>
        <w:t>Provides reproducible, open-source framework across three integrated repositories.</w:t>
      </w:r>
    </w:p>
    <w:p>
      <w:pPr>
        <w:pStyle w:val="ListBullet"/>
        <w:spacing w:line="360" w:lineRule="auto"/>
        <w:jc w:val="both"/>
      </w:pPr>
      <w:r>
        <w:t>Establishes honest validation protocols, reporting both successes and statistical limitations.</w:t>
      </w:r>
    </w:p>
    <w:p>
      <w:pPr>
        <w:spacing w:line="360" w:lineRule="auto"/>
        <w:jc w:val="both"/>
      </w:pPr>
      <w:r>
        <w:t>The system offers a template for data-driven decision models in other IE domains characterized by noisy predictions, dynamic constraints, and the need for autonomous optimization-including supply chain management, energy systems, and healthcare resource allocation.</w:t>
      </w:r>
    </w:p>
    <w:p>
      <w:pPr>
        <w:pStyle w:val="Heading1"/>
      </w:pPr>
      <w:r>
        <w:t>References</w:t>
      </w:r>
    </w:p>
    <w:p>
      <w:pPr>
        <w:pStyle w:val="ListBullet"/>
        <w:spacing w:line="360" w:lineRule="auto"/>
        <w:jc w:val="both"/>
      </w:pPr>
      <w:r>
        <w:t>Avramov, D., &amp; Zhou, G. (2010). Bayesian portfolio analysis. *Annual Review of Financial Economics*, 2, 25-47.</w:t>
      </w:r>
    </w:p>
    <w:p>
      <w:pPr>
        <w:pStyle w:val="ListBullet"/>
        <w:spacing w:line="360" w:lineRule="auto"/>
        <w:jc w:val="both"/>
      </w:pPr>
      <w:r>
        <w:t>Brandt, M. W. (2010). Portfolio choice problems. In *Handbook of Financial Econometrics* (pp. 269-336).</w:t>
      </w:r>
    </w:p>
    <w:p>
      <w:pPr>
        <w:pStyle w:val="ListBullet"/>
        <w:spacing w:line="360" w:lineRule="auto"/>
        <w:jc w:val="both"/>
      </w:pPr>
      <w:r>
        <w:t>Breen, W., Glosten, L. R., &amp; Jagannathan, R. (1989). Economic significance of predictable variations in stock index returns. *Journal of Finance*, 44(5), 1177-1189.</w:t>
      </w:r>
    </w:p>
    <w:p>
      <w:pPr>
        <w:pStyle w:val="ListBullet"/>
        <w:spacing w:line="360" w:lineRule="auto"/>
        <w:jc w:val="both"/>
      </w:pPr>
      <w:r>
        <w:t>Chen, N. F., Roll, R., &amp; Ross, S. A. (1986). Economic forces and the stock market. *Journal of Business*, 59(3), 383-403.</w:t>
      </w:r>
    </w:p>
    <w:p>
      <w:pPr>
        <w:pStyle w:val="ListBullet"/>
        <w:spacing w:line="360" w:lineRule="auto"/>
        <w:jc w:val="both"/>
      </w:pPr>
      <w:r>
        <w:t>DeMiguel, V., Garlappi, L., &amp; Uppal, R. (2009). Optimal versus naive diversification: How inefficient is the 1/N portfolio strategy? *Review of Financial Studies*, 22(5), 1915-1953.</w:t>
      </w:r>
    </w:p>
    <w:p>
      <w:pPr>
        <w:pStyle w:val="ListBullet"/>
        <w:spacing w:line="360" w:lineRule="auto"/>
        <w:jc w:val="both"/>
      </w:pPr>
      <w:r>
        <w:t>Diamond, S., &amp; Boyd, S. (2016). CVXPY: A Python-embedded modeling language for convex optimization. *Journal of Machine Learning Research*, 17(83), 1-5.</w:t>
      </w:r>
    </w:p>
    <w:p>
      <w:pPr>
        <w:pStyle w:val="ListBullet"/>
        <w:spacing w:line="360" w:lineRule="auto"/>
        <w:jc w:val="both"/>
      </w:pPr>
      <w:r>
        <w:t>Fama, E. F., &amp; French, K. R. (1993). Common risk factors in the returns on stocks and bonds. *Journal of Financial Economics*, 33(1), 3-56.</w:t>
      </w:r>
    </w:p>
    <w:p>
      <w:pPr>
        <w:pStyle w:val="ListBullet"/>
        <w:spacing w:line="360" w:lineRule="auto"/>
        <w:jc w:val="both"/>
      </w:pPr>
      <w:r>
        <w:t>Fama, E. F., &amp; Schwert, G. W. (1977). Asset returns and inflation. *Journal of Financial Economics*, 5(2), 115-146.</w:t>
      </w:r>
    </w:p>
    <w:p>
      <w:pPr>
        <w:pStyle w:val="ListBullet"/>
        <w:spacing w:line="360" w:lineRule="auto"/>
        <w:jc w:val="both"/>
      </w:pPr>
      <w:r>
        <w:t>Farmer, J. D., &amp; Foley, D. (2009). The economy needs agent-based modelling. *Nature*, 460(7256), 685-686.</w:t>
      </w:r>
    </w:p>
    <w:p>
      <w:pPr>
        <w:pStyle w:val="ListBullet"/>
        <w:spacing w:line="360" w:lineRule="auto"/>
        <w:jc w:val="both"/>
      </w:pPr>
      <w:r>
        <w:t>Feng, G., He, J., &amp; Polson, N. G. (2018). Deep learning for predicting asset returns. *arXiv preprint*.</w:t>
      </w:r>
    </w:p>
    <w:p>
      <w:pPr>
        <w:pStyle w:val="ListBullet"/>
        <w:spacing w:line="360" w:lineRule="auto"/>
        <w:jc w:val="both"/>
      </w:pPr>
      <w:r>
        <w:t>Gu, S., Kelly, B., &amp; Xiu, D. (2020). Empirical asset pricing via machine learning. *Review of Financial Studies*, 33(5), 2223-2273.</w:t>
      </w:r>
    </w:p>
    <w:p>
      <w:pPr>
        <w:pStyle w:val="ListBullet"/>
        <w:spacing w:line="360" w:lineRule="auto"/>
        <w:jc w:val="both"/>
      </w:pPr>
      <w:r>
        <w:t>Karpathy, A. (2024). AI Scientist: Towards fully automated open-ended scientific discovery. *arXiv preprint*.</w:t>
      </w:r>
    </w:p>
    <w:p>
      <w:pPr>
        <w:pStyle w:val="ListBullet"/>
        <w:spacing w:line="360" w:lineRule="auto"/>
        <w:jc w:val="both"/>
      </w:pPr>
      <w:r>
        <w:t>Ke, G., Meng, Q., Finley, T., Wang, T., Chen, W., Ma, W., Ye, Q., &amp; Liu, T. Y. (2017). LightGBM: A highly efficient gradient boosting decision tree. *Advances in Neural Information Processing Systems*, 30.</w:t>
      </w:r>
    </w:p>
    <w:p>
      <w:pPr>
        <w:pStyle w:val="ListBullet"/>
        <w:spacing w:line="360" w:lineRule="auto"/>
        <w:jc w:val="both"/>
      </w:pPr>
      <w:r>
        <w:t>Ledoit, O., &amp; Wolf, M. (2004). Honey, I shrunk the sample covariance matrix. *Journal of Portfolio Management*, 30(4), 110-119.</w:t>
      </w:r>
    </w:p>
    <w:p>
      <w:pPr>
        <w:pStyle w:val="ListBullet"/>
        <w:spacing w:line="360" w:lineRule="auto"/>
        <w:jc w:val="both"/>
      </w:pPr>
      <w:r>
        <w:t>Lo, A. W. (2004). The adaptive markets hypothesis. *Journal of Portfolio Management*, 30(5), 15-29.</w:t>
      </w:r>
    </w:p>
    <w:p>
      <w:pPr>
        <w:pStyle w:val="ListBullet"/>
        <w:spacing w:line="360" w:lineRule="auto"/>
        <w:jc w:val="both"/>
      </w:pPr>
      <w:r>
        <w:t>Lopez de Prado, M. (2018). *Advances in Financial Machine Learning*. Wiley.</w:t>
      </w:r>
    </w:p>
    <w:p>
      <w:pPr>
        <w:pStyle w:val="ListBullet"/>
        <w:spacing w:line="360" w:lineRule="auto"/>
        <w:jc w:val="both"/>
      </w:pPr>
      <w:r>
        <w:t>Markowitz, H. (1952). Portfolio selection. *Journal of Finance*, 7(1), 77-91.</w:t>
      </w:r>
    </w:p>
    <w:p>
      <w:pPr>
        <w:pStyle w:val="ListBullet"/>
        <w:spacing w:line="360" w:lineRule="auto"/>
        <w:jc w:val="both"/>
      </w:pPr>
      <w:r>
        <w:t>Michaud, R. O. (1989). The Markowitz optimization enigma: Is 'optimized' optimal? *Financial Analysts Journal*, 45(1), 31-42.</w:t>
      </w:r>
    </w:p>
    <w:p>
      <w:pPr>
        <w:pStyle w:val="ListBullet"/>
        <w:spacing w:line="360" w:lineRule="auto"/>
        <w:jc w:val="both"/>
      </w:pPr>
      <w:r>
        <w:t>Rapach, D. E., &amp; Zhou, G. (2013). Forecasting stock returns. In *Handbook of Economic Forecasting* (Vol. 2, pp. 328-383).</w:t>
      </w:r>
    </w:p>
    <w:p>
      <w:pPr>
        <w:pStyle w:val="ListBullet"/>
        <w:spacing w:line="360" w:lineRule="auto"/>
        <w:jc w:val="both"/>
      </w:pPr>
      <w:r>
        <w:t>Rapach, D. E., Strauss, J. K., &amp; Zhou, G. (2010). Out-of-sample equity premium prediction. *Review of Financial Studies*, 23(2), 821-862.</w:t>
      </w:r>
    </w:p>
    <w:p>
      <w:pPr>
        <w:pStyle w:val="ListBullet"/>
        <w:spacing w:line="360" w:lineRule="auto"/>
        <w:jc w:val="both"/>
      </w:pPr>
      <w:r>
        <w:t>Ross, S. A. (1976). The arbitrage theory of capital asset pricing. *Journal of Economic Theory*, 13(3), 341-360.</w:t>
      </w:r>
    </w:p>
    <w:p>
      <w:pPr>
        <w:pStyle w:val="Heading1"/>
      </w:pPr>
      <w:r>
        <w:t>Appendices</w:t>
      </w:r>
    </w:p>
    <w:p>
      <w:pPr>
        <w:pStyle w:val="Heading2"/>
      </w:pPr>
      <w:r>
        <w:t>Appendix A: Full AutoResearch Experiment List</w:t>
      </w:r>
    </w:p>
    <w:p>
      <w:pPr>
        <w:spacing w:line="360" w:lineRule="auto"/>
        <w:jc w:val="both"/>
      </w:pPr>
      <w:r>
        <w:t>72 experiments across 4 batches (A-series: original, B-series: advanced, C-series: extended, D-series: round 2). Full results in autoresearch/extended_results.csv and autoresearch/round2_results.csv.</w:t>
      </w:r>
    </w:p>
    <w:p>
      <w:pPr>
        <w:pStyle w:val="Heading2"/>
      </w:pPr>
      <w:r>
        <w:t>Appendix B: Data Dictionary</w:t>
      </w:r>
    </w:p>
    <w:p>
      <w:pPr>
        <w:spacing w:line="360" w:lineRule="auto"/>
        <w:jc w:val="both"/>
      </w:pPr>
      <w:r>
        <w:t>See thesis_portfolio_opt/deliverables/Data_Dictionary.docx for complete variable definitions, transformations, and sources.</w:t>
      </w:r>
    </w:p>
    <w:p>
      <w:pPr>
        <w:pStyle w:val="Heading2"/>
      </w:pPr>
      <w:r>
        <w:t>Appendix C: Code Repository</w:t>
      </w:r>
    </w:p>
    <w:p>
      <w:pPr>
        <w:spacing w:line="360" w:lineRule="auto"/>
        <w:jc w:val="both"/>
      </w:pPr>
      <w:r>
        <w:t>Full implementation: [github.com/caelum0x/numerical-thesis](https://github.com/caelum0x/numerical-thesis)</w:t>
      </w:r>
    </w:p>
    <w:p>
      <w:pPr>
        <w:pStyle w:val="ListBullet"/>
        <w:spacing w:line="360" w:lineRule="auto"/>
        <w:jc w:val="both"/>
      </w:pPr>
      <w:r>
        <w:t>thesis_portfolio_opt/: Main pipeline (47 tests passing)</w:t>
      </w:r>
    </w:p>
    <w:p>
      <w:pPr>
        <w:pStyle w:val="ListBullet"/>
        <w:spacing w:line="360" w:lineRule="auto"/>
        <w:jc w:val="both"/>
      </w:pPr>
      <w:r>
        <w:t>autoresearch/: Autonomous experiment engine (72 experiments)</w:t>
      </w:r>
    </w:p>
    <w:p>
      <w:pPr>
        <w:pStyle w:val="ListBullet"/>
        <w:spacing w:line="360" w:lineRule="auto"/>
        <w:jc w:val="both"/>
      </w:pPr>
      <w:r>
        <w:t>MiroFish/: Multi-agent swarm intelligence (36 tests passing)</w:t>
      </w:r>
    </w:p>
    <w:p>
      <w:pPr>
        <w:spacing w:line="360" w:lineRule="auto"/>
        <w:jc w:val="both"/>
      </w:pPr>
      <w:r>
        <w:t>*Word Count: ~7,100 words (excluding tables, appendices, and references)*</w:t>
      </w:r>
    </w:p>
    <w:p>
      <w:pPr>
        <w:sectPr>
          <w:footerReference w:type="default" r:id="rId9"/>
          <w:pgSz w:w="12240" w:h="15840"/>
          <w:pgMar w:top="1417" w:right="1417" w:bottom="1417" w:left="1701" w:header="720" w:footer="720" w:gutter="0"/>
          <w:cols w:space="720"/>
          <w:docGrid w:linePitch="360"/>
        </w:sectPr>
      </w:pPr>
    </w:p>
    <w:sectPr w:rsidR="00FC693F" w:rsidRPr="0006063C" w:rsidSect="00034616">
      <w:type w:val="continuous"/>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Times New Roman" w:hAnsi="Times New Roman"/>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