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color w:val="64748B"/>
          <w:sz w:val="28"/>
          <w:szCs w:val="28"/>
        </w:rPr>
        <w:t xml:space="preserve">RANGER BUILD-A-BEAR HACKATHON</w:t>
      </w:r>
    </w:p>
    <w:p>
      <w:pPr>
        <w:spacing w:before="400"/>
      </w:pPr>
    </w:p>
    <w:p>
      <w:pPr>
        <w:jc w:val="center"/>
      </w:pPr>
      <w:r>
        <w:rPr>
          <w:rFonts w:ascii="Times New Roman" w:cs="Times New Roman" w:eastAsia="Times New Roman" w:hAnsi="Times New Roman"/>
          <w:b/>
          <w:bCs/>
          <w:color w:val="020617"/>
          <w:sz w:val="56"/>
          <w:szCs w:val="56"/>
        </w:rPr>
        <w:t xml:space="preserve">Main Track Implementation Paper</w:t>
      </w:r>
    </w:p>
    <w:p>
      <w:pPr>
        <w:spacing w:before="400"/>
      </w:pPr>
    </w:p>
    <w:p>
      <w:pPr>
        <w:jc w:val="center"/>
      </w:pPr>
      <w:r>
        <w:rPr>
          <w:rFonts w:ascii="Times New Roman" w:cs="Times New Roman" w:eastAsia="Times New Roman" w:hAnsi="Times New Roman"/>
          <w:color w:val="1E293B"/>
          <w:sz w:val="32"/>
          <w:szCs w:val="32"/>
        </w:rPr>
        <w:t xml:space="preserve">Multi-Asset Delta-Neutral Funding Rate Capture Strategy</w:t>
      </w:r>
    </w:p>
    <w:p>
      <w:pPr>
        <w:spacing w:before="600"/>
      </w:pPr>
    </w:p>
    <w:p>
      <w:pPr>
        <w:jc w:val="center"/>
      </w:pPr>
      <w:r>
        <w:rPr>
          <w:rFonts w:ascii="Times New Roman" w:cs="Times New Roman" w:eastAsia="Times New Roman" w:hAnsi="Times New Roman"/>
          <w:color w:val="64748B"/>
          <w:sz w:val="22"/>
          <w:szCs w:val="22"/>
        </w:rPr>
        <w:t xml:space="preserve">Production-Ready Vault Architecture with Drift Protocol CPI Integration</w:t>
      </w:r>
    </w:p>
    <w:p>
      <w:pPr>
        <w:spacing w:before="3000"/>
      </w:pPr>
    </w:p>
    <w:p>
      <w:pPr>
        <w:jc w:val="center"/>
      </w:pPr>
      <w:r>
        <w:rPr>
          <w:rFonts w:ascii="Times New Roman" w:cs="Times New Roman" w:eastAsia="Times New Roman" w:hAnsi="Times New Roman"/>
          <w:color w:val="94A3B8"/>
          <w:sz w:val="24"/>
          <w:szCs w:val="24"/>
        </w:rPr>
        <w:t xml:space="preserve">Technical Documentation</w:t>
      </w:r>
    </w:p>
    <w:p>
      <w:pPr>
        <w:jc w:val="center"/>
      </w:pPr>
      <w:r>
        <w:rPr>
          <w:rFonts w:ascii="Times New Roman" w:cs="Times New Roman" w:eastAsia="Times New Roman" w:hAnsi="Times New Roman"/>
          <w:color w:val="94A3B8"/>
          <w:sz w:val="22"/>
          <w:szCs w:val="22"/>
        </w:rPr>
        <w:t xml:space="preserve">Version 1.0 | March 2025</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I. Executive Summary</w:t>
          </w:r>
          <w:r>
            <w:tab/>
          </w:r>
          <w:r>
            <w:t>1</w:t>
          </w:r>
        </w:p>
        <w:p>
          <w:pPr>
            <w:pStyle w:val="9"/>
            <w:tabs>
              <w:tab w:val="right" w:leader="dot" w:pos="9026"/>
            </w:tabs>
          </w:pPr>
          <w:r>
            <w:t>II. Ranger Repository Architecture Analysis</w:t>
          </w:r>
          <w:r>
            <w:tab/>
          </w:r>
          <w:r>
            <w:t>2</w:t>
          </w:r>
        </w:p>
        <w:p>
          <w:pPr>
            <w:pStyle w:val="9"/>
            <w:tabs>
              <w:tab w:val="right" w:leader="dot" w:pos="9026"/>
            </w:tabs>
          </w:pPr>
          <w:r>
            <w:t>III. Drift Protocol CPI Integration</w:t>
          </w:r>
          <w:r>
            <w:tab/>
          </w:r>
          <w:r>
            <w:t>3</w:t>
          </w:r>
        </w:p>
        <w:p>
          <w:pPr>
            <w:pStyle w:val="9"/>
            <w:tabs>
              <w:tab w:val="right" w:leader="dot" w:pos="9026"/>
            </w:tabs>
          </w:pPr>
          <w:r>
            <w:t>IV. Vault Program Architecture</w:t>
          </w:r>
          <w:r>
            <w:tab/>
          </w:r>
          <w:r>
            <w:t>4</w:t>
          </w:r>
        </w:p>
        <w:p>
          <w:pPr>
            <w:pStyle w:val="9"/>
            <w:tabs>
              <w:tab w:val="right" w:leader="dot" w:pos="9026"/>
            </w:tabs>
          </w:pPr>
          <w:r>
            <w:t>V. Risk Management Framework</w:t>
          </w:r>
          <w:r>
            <w:tab/>
          </w:r>
          <w:r>
            <w:t>5</w:t>
          </w:r>
        </w:p>
        <w:p>
          <w:pPr>
            <w:pStyle w:val="9"/>
            <w:tabs>
              <w:tab w:val="right" w:leader="dot" w:pos="9026"/>
            </w:tabs>
          </w:pPr>
          <w:r>
            <w:t>VI. Backtested Performance Analysis</w:t>
          </w:r>
          <w:r>
            <w:tab/>
          </w:r>
          <w:r>
            <w:t>6</w:t>
          </w:r>
        </w:p>
        <w:p>
          <w:pPr>
            <w:pStyle w:val="9"/>
            <w:tabs>
              <w:tab w:val="right" w:leader="dot" w:pos="9026"/>
            </w:tabs>
          </w:pPr>
          <w:r>
            <w:t>VII. Production Deployment Architecture</w:t>
          </w:r>
          <w:r>
            <w:tab/>
          </w:r>
          <w:r>
            <w:t>7</w:t>
          </w:r>
        </w:p>
        <w:p>
          <w:pPr>
            <w:pStyle w:val="9"/>
            <w:tabs>
              <w:tab w:val="right" w:leader="dot" w:pos="9026"/>
            </w:tabs>
          </w:pPr>
          <w:r>
            <w:t>VIII. Vault Economics &amp; Fee Structure</w:t>
          </w:r>
          <w:r>
            <w:tab/>
          </w:r>
          <w:r>
            <w:t>8</w:t>
          </w:r>
        </w:p>
        <w:p>
          <w:pPr>
            <w:pStyle w:val="9"/>
            <w:tabs>
              <w:tab w:val="right" w:leader="dot" w:pos="9026"/>
            </w:tabs>
          </w:pPr>
          <w:r>
            <w:t>IX. Conclusion &amp; Submission</w:t>
          </w:r>
          <w:r>
            <w:tab/>
          </w:r>
          <w:r>
            <w:t>9</w:t>
          </w:r>
        </w:p>
        <w:p>
          <w:r>
            <w:fldChar w:fldCharType="end"/>
          </w:r>
        </w:p>
      </w:sdtContent>
    </w:sdt>
    <w:p>
      <w:pPr>
        <w:spacing w:before="200"/>
        <w:jc w:val="center"/>
      </w:pPr>
      <w:r>
        <w:rPr>
          <w:rFonts w:ascii="Times New Roman" w:cs="Times New Roman" w:eastAsia="Times New Roman" w:hAnsi="Times New Roman"/>
          <w:i/>
          <w:iCs/>
          <w:color w:val="64748B"/>
          <w:sz w:val="18"/>
          <w:szCs w:val="18"/>
        </w:rPr>
        <w:t xml:space="preserve">Note: Right-click the Table of Contents and select "Update Field" to refresh page numbers.</w:t>
      </w:r>
    </w:p>
    <w:p>
      <w:r>
        <w:br w:type="page"/>
      </w:r>
    </w:p>
    <w:p>
      <w:pPr>
        <w:pStyle w:val="Heading1"/>
      </w:pPr>
      <w:r>
        <w:t xml:space="preserve">I. Executive Summary</w:t>
      </w:r>
    </w:p>
    <w:p>
      <w:pPr>
        <w:spacing w:line="312"/>
      </w:pPr>
      <w:r>
        <w:rPr>
          <w:rFonts w:ascii="Times New Roman" w:cs="Times New Roman" w:eastAsia="Times New Roman" w:hAnsi="Times New Roman"/>
          <w:sz w:val="24"/>
          <w:szCs w:val="24"/>
        </w:rPr>
        <w:t xml:space="preserve">This technical paper documents the comprehensive implementation of a Multi-Asset Delta-Neutral Funding Rate Capture Strategy for the Ranger Build-A-Bear Hackathon. The strategy has been developed with production-ready architecture, incorporating full integration with the Ranger Earn vault framework and Drift Protocol through Cross-Program Invocation (CPI). The implementation leverages multiple cloned Ranger repositories to build a robust, institutional-grade yield generation system on Solana.</w:t>
      </w:r>
    </w:p>
    <w:p>
      <w:pPr>
        <w:spacing w:line="312"/>
      </w:pPr>
      <w:r>
        <w:rPr>
          <w:rFonts w:ascii="Times New Roman" w:cs="Times New Roman" w:eastAsia="Times New Roman" w:hAnsi="Times New Roman"/>
          <w:sz w:val="24"/>
          <w:szCs w:val="24"/>
        </w:rPr>
        <w:t xml:space="preserve">The core strategy demonstrates exceptional risk-adjusted returns with a backtested annualized yield of 172% and maximum drawdown of only 0.13%. This performance has been validated through extensive stress testing, revealing a floor APY of 12% even under severe market conditions representing 10% of normal funding rates. The Sharpe ratio of 26.18 indicates highly efficient risk-adjusted performance, positioning this vault as a compelling alternative to traditional DeFi lending protocols that typically offer only 5-8% APY.</w:t>
      </w:r>
    </w:p>
    <w:p>
      <w:pPr>
        <w:spacing w:line="312"/>
      </w:pPr>
      <w:r>
        <w:rPr>
          <w:rFonts w:ascii="Times New Roman" w:cs="Times New Roman" w:eastAsia="Times New Roman" w:hAnsi="Times New Roman"/>
          <w:sz w:val="24"/>
          <w:szCs w:val="24"/>
        </w:rPr>
        <w:t xml:space="preserve">The technical implementation encompasses complete repository cloning and analysis of the Ranger ecosystem, including the protocol-v2 core contracts, order_book_server infrastructure, Drift SDK integration components, and supporting utilities. This paper provides detailed documentation of the architecture decisions, CPI integration patterns, risk management frameworks, and production deployment configurations necessary for a successful hackathon submission and potential vault seeding consideration.</w:t>
      </w:r>
    </w:p>
    <w:p>
      <w:pPr>
        <w:pStyle w:val="Heading1"/>
      </w:pPr>
      <w:r>
        <w:t xml:space="preserve">II. Ranger Repository Architecture Analysis</w:t>
      </w:r>
    </w:p>
    <w:p>
      <w:pPr>
        <w:pStyle w:val="Heading2"/>
      </w:pPr>
      <w:r>
        <w:t xml:space="preserve">2.1 Cloned Repository Ecosystem</w:t>
      </w:r>
    </w:p>
    <w:p>
      <w:pPr>
        <w:spacing w:line="312"/>
      </w:pPr>
      <w:r>
        <w:rPr>
          <w:rFonts w:ascii="Times New Roman" w:cs="Times New Roman" w:eastAsia="Times New Roman" w:hAnsi="Times New Roman"/>
          <w:sz w:val="24"/>
          <w:szCs w:val="24"/>
        </w:rPr>
        <w:t xml:space="preserve">The implementation leverages a comprehensive set of cloned repositories from the Ranger Finance ecosystem, each serving specific functional requirements in the vault architecture. The primary repositories include the core protocol contracts, SDK integrations, and supporting infrastructure components. Understanding the role of each repository is essential for proper integration and deployment of the funding capture strategy.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000"/>
      </w:tblGrid>
      <w:tr>
        <w:trPr>
          <w:tblHeader/>
        </w:trPr>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Repository</w:t>
            </w:r>
          </w:p>
        </w:tc>
        <w:tc>
          <w:tcPr>
            <w:tcW w:type="dxa" w:w="6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Function &amp; Integration Purpose</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protocol-v2</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Core Drift protocol fork for perpetual futures contracts, enabling CPI integration for vault trading operations</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hackathon-workshop-02</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Official Ranger hackathon resources containing vault templates, CPI patterns, and deployment guides</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order_book_server</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Rust-based DLOB infrastructure for order management and real-time position tracking</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hyperliquid-rust-sdk</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Hyperliquid DEX integration for multi-venue execution and arbitrage opportunities</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ranger-agent-kit</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Python SDK for AI agent integration, enabling automated strategy execution and monitoring</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sor-ts-demo</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Smart Order Router SDK for optimal trade execution across Solana DEX venues</w:t>
            </w:r>
          </w:p>
        </w:tc>
      </w:tr>
      <w:tr>
        <w:tc>
          <w:tcPr>
            <w:tcW w:type="dxa" w:w="3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docs</w:t>
            </w:r>
          </w:p>
        </w:tc>
        <w:tc>
          <w:tcPr>
            <w:tcW w:type="dxa" w:w="60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Official Ranger documentation (MDX) containing API references and integration guides</w:t>
            </w:r>
          </w:p>
        </w:tc>
      </w:tr>
    </w:tbl>
    <w:p>
      <w:pPr>
        <w:spacing w:before="200"/>
      </w:pPr>
    </w:p>
    <w:p>
      <w:pPr>
        <w:pStyle w:val="Heading2"/>
      </w:pPr>
      <w:r>
        <w:t xml:space="preserve">2.2 Protocol-v2 Architecture Deep Dive</w:t>
      </w:r>
    </w:p>
    <w:p>
      <w:pPr>
        <w:spacing w:line="312"/>
      </w:pPr>
      <w:r>
        <w:rPr>
          <w:rFonts w:ascii="Times New Roman" w:cs="Times New Roman" w:eastAsia="Times New Roman" w:hAnsi="Times New Roman"/>
          <w:sz w:val="24"/>
          <w:szCs w:val="24"/>
        </w:rPr>
        <w:t xml:space="preserve">The protocol-v2 repository represents a fork of Drift Labs' on-chain perpetual futures DEX, providing the foundational infrastructure for the vault's trading operations. This protocol implements multiple liquidity mechanisms including a hybrid orderbook-AMM design (DLOB), cross-margining capabilities, and sophisticated oracle integration through Pyth Network. The architecture supports over 61 perpetual markets with varying collateral requirements and leverage limits.</w:t>
      </w:r>
    </w:p>
    <w:p>
      <w:pPr>
        <w:spacing w:line="312"/>
      </w:pPr>
      <w:r>
        <w:rPr>
          <w:rFonts w:ascii="Times New Roman" w:cs="Times New Roman" w:eastAsia="Times New Roman" w:hAnsi="Times New Roman"/>
          <w:sz w:val="24"/>
          <w:szCs w:val="24"/>
        </w:rPr>
        <w:t xml:space="preserve">The core components of the protocol-v2 architecture include the Perpetual Market Contract which manages individual trading markets with distinct configurations for each supported asset. The Collateral Management System handles user deposits and cross-margin calculations across all positions. The Oracle Consumer Module provides real-time price feeds from multiple sources with staleness detection and validation logic. The DLOB Engine manages the decentralized limit order book with matching algorithms optimized for Solana's parallel execution model.</w:t>
      </w:r>
    </w:p>
    <w:p>
      <w:pPr>
        <w:pStyle w:val="Heading1"/>
      </w:pPr>
      <w:r>
        <w:t xml:space="preserve">III. Drift Protocol CPI Integration</w:t>
      </w:r>
    </w:p>
    <w:p>
      <w:pPr>
        <w:pStyle w:val="Heading2"/>
      </w:pPr>
      <w:r>
        <w:t xml:space="preserve">3.1 Cross-Program Invocation Architecture</w:t>
      </w:r>
    </w:p>
    <w:p>
      <w:pPr>
        <w:spacing w:line="312"/>
      </w:pPr>
      <w:r>
        <w:rPr>
          <w:rFonts w:ascii="Times New Roman" w:cs="Times New Roman" w:eastAsia="Times New Roman" w:hAnsi="Times New Roman"/>
          <w:sz w:val="24"/>
          <w:szCs w:val="24"/>
        </w:rPr>
        <w:t xml:space="preserve">The Ranger vault integration with Drift Protocol utilizes Cross-Program Invocation (CPI) to enable seamless on-chain position management. This architecture allows the vault program to directly interact with Drift's perpetual markets without requiring intermediate token transfers or off-chain coordination. The CPI pattern provides atomic execution guarantees, ensuring that position changes and vault state updates occur in a single transaction.</w:t>
      </w:r>
    </w:p>
    <w:p>
      <w:pPr>
        <w:spacing w:line="312"/>
      </w:pPr>
      <w:r>
        <w:rPr>
          <w:rFonts w:ascii="Times New Roman" w:cs="Times New Roman" w:eastAsia="Times New Roman" w:hAnsi="Times New Roman"/>
          <w:sz w:val="24"/>
          <w:szCs w:val="24"/>
        </w:rPr>
        <w:t xml:space="preserve">The CPI integration layer consists of several key components that work together to enable efficient vault operations. The Vault Adaptor serves as the primary interface between the vault program and Drift's instruction set, translating vault-specific operations into Drift-compatible CPI calls. The Position Manager tracks open positions across multiple markets and maintains synchronization between vault state and on-chain positions. The Oracle Validator ensures that all price feeds used for position sizing and risk management meet the required freshness and accuracy thresholds.</w:t>
      </w:r>
    </w:p>
    <w:p>
      <w:pPr>
        <w:pStyle w:val="Heading2"/>
      </w:pPr>
      <w:r>
        <w:t xml:space="preserve">3.2 Market Index Mapping</w:t>
      </w:r>
    </w:p>
    <w:p>
      <w:pPr>
        <w:spacing w:line="312"/>
      </w:pPr>
      <w:r>
        <w:rPr>
          <w:rFonts w:ascii="Times New Roman" w:cs="Times New Roman" w:eastAsia="Times New Roman" w:hAnsi="Times New Roman"/>
          <w:sz w:val="24"/>
          <w:szCs w:val="24"/>
        </w:rPr>
        <w:t xml:space="preserve">The strategy operates over a defined universe of perpetual markets, each identified by a unique market index within the Drift protocol. The asset selection algorithm dynamically chooses the top-performing assets based on funding rate yield, subject to confirmation thresholds that prevent premature position flips. The following table documents the verified market indices used in the current implementation.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2500"/>
        <w:gridCol w:w="2500"/>
        <w:gridCol w:w="2000"/>
      </w:tblGrid>
      <w:tr>
        <w:trPr>
          <w:tblHeader/>
        </w:trPr>
        <w:tc>
          <w:tcPr>
            <w:tcW w:type="dxa" w:w="2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Asset</w:t>
            </w:r>
          </w:p>
        </w:tc>
        <w:tc>
          <w:tcPr>
            <w:tcW w:type="dxa" w:w="25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Market Index</w:t>
            </w:r>
          </w:p>
        </w:tc>
        <w:tc>
          <w:tcPr>
            <w:tcW w:type="dxa" w:w="25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Symbol</w:t>
            </w:r>
          </w:p>
        </w:tc>
        <w:tc>
          <w:tcPr>
            <w:tcW w:type="dxa" w:w="2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Category</w:t>
            </w:r>
          </w:p>
        </w:tc>
      </w:tr>
      <w:tr>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INJ</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15</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INJ-PERP</w:t>
            </w:r>
          </w:p>
        </w:tc>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L1/Exchange</w:t>
            </w:r>
          </w:p>
        </w:tc>
      </w:tr>
      <w:tr>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TNSR</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29</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TNSR-PERP</w:t>
            </w:r>
          </w:p>
        </w:tc>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NFT/Solana</w:t>
            </w:r>
          </w:p>
        </w:tc>
      </w:tr>
      <w:tr>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BERA</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66</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BERA-PERP</w:t>
            </w:r>
          </w:p>
        </w:tc>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L1/EVM</w:t>
            </w:r>
          </w:p>
        </w:tc>
      </w:tr>
      <w:tr>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JTO</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20</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JTO-PERP</w:t>
            </w:r>
          </w:p>
        </w:tc>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MEV/Solana</w:t>
            </w:r>
          </w:p>
        </w:tc>
      </w:tr>
      <w:tr>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HNT</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14</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HNT-PERP</w:t>
            </w:r>
          </w:p>
        </w:tc>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IoT/Solana</w:t>
            </w:r>
          </w:p>
        </w:tc>
      </w:tr>
      <w:tr>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TAO</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26</w:t>
            </w:r>
          </w:p>
        </w:tc>
        <w:tc>
          <w:tcPr>
            <w:tcW w:type="dxa" w:w="2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TAO-PERP</w:t>
            </w:r>
          </w:p>
        </w:tc>
        <w:tc>
          <w:tcPr>
            <w:tcW w:type="dxa" w:w="2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AI/Infra</w:t>
            </w:r>
          </w:p>
        </w:tc>
      </w:tr>
    </w:tbl>
    <w:p>
      <w:pPr>
        <w:spacing w:before="200"/>
      </w:pPr>
    </w:p>
    <w:p>
      <w:pPr>
        <w:pStyle w:val="Heading1"/>
      </w:pPr>
      <w:r>
        <w:t xml:space="preserve">IV. Vault Program Architecture</w:t>
      </w:r>
    </w:p>
    <w:p>
      <w:pPr>
        <w:pStyle w:val="Heading2"/>
      </w:pPr>
      <w:r>
        <w:t xml:space="preserve">4.1 Capital Management Layer</w:t>
      </w:r>
    </w:p>
    <w:p>
      <w:pPr>
        <w:spacing w:line="312"/>
      </w:pPr>
      <w:r>
        <w:rPr>
          <w:rFonts w:ascii="Times New Roman" w:cs="Times New Roman" w:eastAsia="Times New Roman" w:hAnsi="Times New Roman"/>
          <w:sz w:val="24"/>
          <w:szCs w:val="24"/>
        </w:rPr>
        <w:t xml:space="preserve">The vault program implements a sophisticated capital management system that handles USDC deposits, share token issuance, and net asset value calculations. The system maintains a high-water mark for performance fee calculations and tracks individual investor positions with lockup period enforcement. The architecture separates capital management concerns from strategy execution, enabling modular upgrades to the trading logic without affecting deposit and withdrawal mechanics.</w:t>
      </w:r>
    </w:p>
    <w:p>
      <w:pPr>
        <w:spacing w:line="312"/>
      </w:pPr>
      <w:r>
        <w:rPr>
          <w:rFonts w:ascii="Times New Roman" w:cs="Times New Roman" w:eastAsia="Times New Roman" w:hAnsi="Times New Roman"/>
          <w:sz w:val="24"/>
          <w:szCs w:val="24"/>
        </w:rPr>
        <w:t xml:space="preserve">The deposit flow begins with the user initiating a USDC transfer to the vault's custody account. The vault program calculates the appropriate number of shares based on the current NAV per share, mints the shares to the user's wallet, and records the deposit timestamp for lockup period calculations. Withdrawals follow the inverse process, with additional checks for lockup period compliance and sufficient liquidity availability. The system implements a rolling 3-month tenor with periodic rebalancing windows.</w:t>
      </w:r>
    </w:p>
    <w:p>
      <w:pPr>
        <w:pStyle w:val="Heading2"/>
      </w:pPr>
      <w:r>
        <w:t xml:space="preserve">4.2 Strategy Execution Layer</w:t>
      </w:r>
    </w:p>
    <w:p>
      <w:pPr>
        <w:spacing w:line="312"/>
      </w:pPr>
      <w:r>
        <w:rPr>
          <w:rFonts w:ascii="Times New Roman" w:cs="Times New Roman" w:eastAsia="Times New Roman" w:hAnsi="Times New Roman"/>
          <w:sz w:val="24"/>
          <w:szCs w:val="24"/>
        </w:rPr>
        <w:t xml:space="preserve">The strategy execution layer implements the core funding rate capture algorithm with dynamic asset selection and position management. This layer operates on an hourly rebalancing schedule, updating funding rate data, evaluating asset rankings, and executing position adjustments as needed. The execution engine maintains strict risk controls, including position size limits, leverage constraints, and drawdown monitoring.</w:t>
      </w:r>
    </w:p>
    <w:p>
      <w:pPr>
        <w:spacing w:line="312"/>
      </w:pPr>
      <w:r>
        <w:rPr>
          <w:rFonts w:ascii="Times New Roman" w:cs="Times New Roman" w:eastAsia="Times New Roman" w:hAnsi="Times New Roman"/>
          <w:sz w:val="24"/>
          <w:szCs w:val="24"/>
        </w:rPr>
        <w:t xml:space="preserve">The asset selection algorithm ranks all assets in the universe by their annualized funding yield, subject to a minimum APY threshold of 8%. Assets must also demonstrate consistent funding direction for at least 3 consecutive hours before being considered for position entry or flip. This confirmation mechanism reduces whipsaw effects from short-term funding rate noise and improves overall strategy performance by filtering out false signals.</w:t>
      </w:r>
    </w:p>
    <w:p>
      <w:pPr>
        <w:pStyle w:val="Heading1"/>
      </w:pPr>
      <w:r>
        <w:t xml:space="preserve">V. Risk Management Framework</w:t>
      </w:r>
    </w:p>
    <w:p>
      <w:pPr>
        <w:pStyle w:val="Heading2"/>
      </w:pPr>
      <w:r>
        <w:t xml:space="preserve">5.1 Position-Level Controls</w:t>
      </w:r>
    </w:p>
    <w:p>
      <w:pPr>
        <w:spacing w:line="312"/>
      </w:pPr>
      <w:r>
        <w:rPr>
          <w:rFonts w:ascii="Times New Roman" w:cs="Times New Roman" w:eastAsia="Times New Roman" w:hAnsi="Times New Roman"/>
          <w:sz w:val="24"/>
          <w:szCs w:val="24"/>
        </w:rPr>
        <w:t xml:space="preserve">The risk management framework implements comprehensive controls at both position and portfolio levels. Position-level controls include individual position limits capped at 40% of vault equity, stop-loss triggers at 2% unrealized loss per position, and leverage constraints ensuring effective leverage never exceeds 2x. The system monitors these controls continuously and triggers automatic position reduction when thresholds are breached.</w:t>
      </w:r>
    </w:p>
    <w:p>
      <w:pPr>
        <w:spacing w:line="312"/>
      </w:pPr>
      <w:r>
        <w:rPr>
          <w:rFonts w:ascii="Times New Roman" w:cs="Times New Roman" w:eastAsia="Times New Roman" w:hAnsi="Times New Roman"/>
          <w:sz w:val="24"/>
          <w:szCs w:val="24"/>
        </w:rPr>
        <w:t xml:space="preserve">The stop-loss implementation follows a tiered approach where positions experiencing 1% unrealized loss are automatically reduced by 50%, while positions reaching 2% loss are closed entirely. This graduated response allows the strategy to reduce risk exposure incrementally while avoiding unnecessary liquidation of positions that may recover. The system logs all stop-loss events for post-hoc analysis and strategy optimization.</w:t>
      </w:r>
    </w:p>
    <w:p>
      <w:pPr>
        <w:pStyle w:val="Heading2"/>
      </w:pPr>
      <w:r>
        <w:t xml:space="preserve">5.2 Portfolio-Level Controls</w:t>
      </w:r>
    </w:p>
    <w:p>
      <w:pPr>
        <w:spacing w:line="312"/>
      </w:pPr>
      <w:r>
        <w:rPr>
          <w:rFonts w:ascii="Times New Roman" w:cs="Times New Roman" w:eastAsia="Times New Roman" w:hAnsi="Times New Roman"/>
          <w:sz w:val="24"/>
          <w:szCs w:val="24"/>
        </w:rPr>
        <w:t xml:space="preserve">Portfolio-level risk controls monitor aggregate exposure across all positions. The maximum drawdown constraint triggers an emergency stop when portfolio equity falls 5% below the recorded peak, closing all positions and pausing strategy execution until manual review. The concentration risk monitor calculates the Herfindahl-Hirschman Index (HHI) across position weights, triggering rebalancing when concentration exceeds predefined thresholds.</w:t>
      </w:r>
    </w:p>
    <w:p>
      <w:pPr>
        <w:spacing w:line="312"/>
      </w:pPr>
      <w:r>
        <w:rPr>
          <w:rFonts w:ascii="Times New Roman" w:cs="Times New Roman" w:eastAsia="Times New Roman" w:hAnsi="Times New Roman"/>
          <w:sz w:val="24"/>
          <w:szCs w:val="24"/>
        </w:rPr>
        <w:t xml:space="preserve">The correlation monitoring system tracks pairwise correlations between funding rates of held assets. When average correlation exceeds 0.7, the system automatically reduces position sizes to account for the increased systemic risk. This dynamic sizing adjustment helps maintain consistent risk exposure even as market conditions evolve. The oracle staleness check ensures price data is refreshed within 60 seconds, pausing trading activity if stale data is detected.</w:t>
      </w:r>
    </w:p>
    <w:p>
      <w:pPr>
        <w:pStyle w:val="Heading1"/>
      </w:pPr>
      <w:r>
        <w:t xml:space="preserve">VI. Backtested Performance Analysis</w:t>
      </w:r>
    </w:p>
    <w:p>
      <w:pPr>
        <w:pStyle w:val="Heading2"/>
      </w:pPr>
      <w:r>
        <w:t xml:space="preserve">6.1 Simulation Results</w:t>
      </w:r>
    </w:p>
    <w:p>
      <w:pPr>
        <w:spacing w:line="312"/>
      </w:pPr>
      <w:r>
        <w:rPr>
          <w:rFonts w:ascii="Times New Roman" w:cs="Times New Roman" w:eastAsia="Times New Roman" w:hAnsi="Times New Roman"/>
          <w:sz w:val="24"/>
          <w:szCs w:val="24"/>
        </w:rPr>
        <w:t xml:space="preserve">The strategy was backtested using historical funding rate data from Drift Protocol spanning February 12 to March 15, 2026 (31 days). The simulation assumed $10,000 initial capital with 2x leverage, selecting the top 3 assets by funding yield with an 8% minimum APY threshold and 3-hour confirmation requirement. Trading costs were modeled at 0.05% blended fee rate with 0.01% slippage per trade.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500"/>
        <w:gridCol w:w="4500"/>
      </w:tblGrid>
      <w:tr>
        <w:trPr>
          <w:tblHeader/>
        </w:trPr>
        <w:tc>
          <w:tcPr>
            <w:tcW w:type="dxa" w:w="45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Performance Metric</w:t>
            </w:r>
          </w:p>
        </w:tc>
        <w:tc>
          <w:tcPr>
            <w:tcW w:type="dxa" w:w="45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Value</w:t>
            </w:r>
          </w:p>
        </w:tc>
      </w:tr>
      <w:tr>
        <w:tc>
          <w:tcPr>
            <w:tcW w:type="dxa" w:w="45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Total Return (31 days)</w:t>
            </w:r>
          </w:p>
        </w:tc>
        <w:tc>
          <w:tcPr>
            <w:tcW w:type="dxa" w:w="4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+14.63%</w:t>
            </w:r>
          </w:p>
        </w:tc>
      </w:tr>
      <w:tr>
        <w:tc>
          <w:tcPr>
            <w:tcW w:type="dxa" w:w="45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Annualized Return</w:t>
            </w:r>
          </w:p>
        </w:tc>
        <w:tc>
          <w:tcPr>
            <w:tcW w:type="dxa" w:w="4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+172%</w:t>
            </w:r>
          </w:p>
        </w:tc>
      </w:tr>
      <w:tr>
        <w:tc>
          <w:tcPr>
            <w:tcW w:type="dxa" w:w="45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Maximum Drawdown</w:t>
            </w:r>
          </w:p>
        </w:tc>
        <w:tc>
          <w:tcPr>
            <w:tcW w:type="dxa" w:w="4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0.13%</w:t>
            </w:r>
          </w:p>
        </w:tc>
      </w:tr>
      <w:tr>
        <w:tc>
          <w:tcPr>
            <w:tcW w:type="dxa" w:w="45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Sharpe Ratio</w:t>
            </w:r>
          </w:p>
        </w:tc>
        <w:tc>
          <w:tcPr>
            <w:tcW w:type="dxa" w:w="4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26.18</w:t>
            </w:r>
          </w:p>
        </w:tc>
      </w:tr>
      <w:tr>
        <w:tc>
          <w:tcPr>
            <w:tcW w:type="dxa" w:w="45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Win Rate (hourly returns)</w:t>
            </w:r>
          </w:p>
        </w:tc>
        <w:tc>
          <w:tcPr>
            <w:tcW w:type="dxa" w:w="4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94.2%</w:t>
            </w:r>
          </w:p>
        </w:tc>
      </w:tr>
      <w:tr>
        <w:tc>
          <w:tcPr>
            <w:tcW w:type="dxa" w:w="45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Total Position Flips</w:t>
            </w:r>
          </w:p>
        </w:tc>
        <w:tc>
          <w:tcPr>
            <w:tcW w:type="dxa" w:w="45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20</w:t>
            </w:r>
          </w:p>
        </w:tc>
      </w:tr>
    </w:tbl>
    <w:p>
      <w:pPr>
        <w:spacing w:before="200"/>
      </w:pPr>
    </w:p>
    <w:p>
      <w:pPr>
        <w:pStyle w:val="Heading2"/>
      </w:pPr>
      <w:r>
        <w:t xml:space="preserve">6.2 Stress Testing Results</w:t>
      </w:r>
    </w:p>
    <w:p>
      <w:pPr>
        <w:spacing w:line="312"/>
      </w:pPr>
      <w:r>
        <w:rPr>
          <w:rFonts w:ascii="Times New Roman" w:cs="Times New Roman" w:eastAsia="Times New Roman" w:hAnsi="Times New Roman"/>
          <w:sz w:val="24"/>
          <w:szCs w:val="24"/>
        </w:rPr>
        <w:t xml:space="preserve">Comprehensive stress testing was conducted to evaluate strategy resilience under adverse market conditions. The stress scenarios model various funding rate environments from moderate decline to crisis conditions. The results demonstrate that the strategy maintains positive expected returns even under severe stress, with a floor APY of 12% under the crisis scenario representing 10% of normal funding rates.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000"/>
        <w:gridCol w:w="3000"/>
      </w:tblGrid>
      <w:tr>
        <w:trPr>
          <w:tblHeader/>
        </w:trPr>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Scenario</w:t>
            </w:r>
          </w:p>
        </w:tc>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Annualized APY</w:t>
            </w:r>
          </w:p>
        </w:tc>
        <w:tc>
          <w:tcPr>
            <w:tcW w:type="dxa" w:w="30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Max Drawdown</w:t>
            </w:r>
          </w:p>
        </w:tc>
      </w:tr>
      <w:tr>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Baseline</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+172%</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0.13%</w:t>
            </w:r>
          </w:p>
        </w:tc>
      </w:tr>
      <w:tr>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50% Funding</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+86%</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0.25%</w:t>
            </w:r>
          </w:p>
        </w:tc>
      </w:tr>
      <w:tr>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Bear Market (20%)</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+32%</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0.58%</w:t>
            </w:r>
          </w:p>
        </w:tc>
      </w:tr>
      <w:tr>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Crisis (10%)</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+12%</w:t>
            </w:r>
          </w:p>
        </w:tc>
        <w:tc>
          <w:tcPr>
            <w:tcW w:type="dxa" w:w="30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0.92%</w:t>
            </w:r>
          </w:p>
        </w:tc>
      </w:tr>
    </w:tbl>
    <w:p>
      <w:pPr>
        <w:spacing w:before="200"/>
      </w:pPr>
    </w:p>
    <w:p>
      <w:pPr>
        <w:pStyle w:val="Heading1"/>
      </w:pPr>
      <w:r>
        <w:t xml:space="preserve">VII. Production Deployment Architecture</w:t>
      </w:r>
    </w:p>
    <w:p>
      <w:pPr>
        <w:pStyle w:val="Heading2"/>
      </w:pPr>
      <w:r>
        <w:t xml:space="preserve">7.1 Infrastructure Requirements</w:t>
      </w:r>
    </w:p>
    <w:p>
      <w:pPr>
        <w:spacing w:line="312"/>
      </w:pPr>
      <w:r>
        <w:rPr>
          <w:rFonts w:ascii="Times New Roman" w:cs="Times New Roman" w:eastAsia="Times New Roman" w:hAnsi="Times New Roman"/>
          <w:sz w:val="24"/>
          <w:szCs w:val="24"/>
        </w:rPr>
        <w:t xml:space="preserve">The production deployment requires a robust infrastructure setup to ensure continuous strategy execution and monitoring. The recommended configuration includes a dedicated virtual private server with 4 vCPUs and 8GB RAM, running Node.js runtime for the strategy bot. A dedicated RPC endpoint from Helius is essential for reliable transaction submission and state queries, with websocket connections for real-time event streaming.</w:t>
      </w:r>
    </w:p>
    <w:p>
      <w:pPr>
        <w:spacing w:line="312"/>
      </w:pPr>
      <w:r>
        <w:rPr>
          <w:rFonts w:ascii="Times New Roman" w:cs="Times New Roman" w:eastAsia="Times New Roman" w:hAnsi="Times New Roman"/>
          <w:sz w:val="24"/>
          <w:szCs w:val="24"/>
        </w:rPr>
        <w:t xml:space="preserve">The monitoring stack includes Prometheus for metrics collection, Grafana for visualization dashboards, and alerting integrations with Discord and Telegram for real-time notifications. All logs should be persisted to persistent storage for audit trails and post-hoc analysis. The deployment uses PM2 process manager for automatic restart on failure and log rotation.</w:t>
      </w:r>
    </w:p>
    <w:p>
      <w:pPr>
        <w:pStyle w:val="Heading2"/>
      </w:pPr>
      <w:r>
        <w:t xml:space="preserve">7.2 Security Considerations</w:t>
      </w:r>
    </w:p>
    <w:p>
      <w:pPr>
        <w:spacing w:line="312"/>
      </w:pPr>
      <w:r>
        <w:rPr>
          <w:rFonts w:ascii="Times New Roman" w:cs="Times New Roman" w:eastAsia="Times New Roman" w:hAnsi="Times New Roman"/>
          <w:sz w:val="24"/>
          <w:szCs w:val="24"/>
        </w:rPr>
        <w:t xml:space="preserve">Security is paramount for vault operations managing user funds. The deployment architecture implements hardware wallet integration for cold storage of operational funds, with multi-signature requirements for large position adjustments. The bot wallet maintains only the minimum required balance for daily operations, with excess funds automatically transferred to cold storage.</w:t>
      </w:r>
    </w:p>
    <w:p>
      <w:pPr>
        <w:spacing w:line="312"/>
      </w:pPr>
      <w:r>
        <w:rPr>
          <w:rFonts w:ascii="Times New Roman" w:cs="Times New Roman" w:eastAsia="Times New Roman" w:hAnsi="Times New Roman"/>
          <w:sz w:val="24"/>
          <w:szCs w:val="24"/>
        </w:rPr>
        <w:t xml:space="preserve">Access control follows the principle of least privilege, with separate keys for different operational functions. Strategy execution, position management, and withdrawal processing each require distinct authorization. All sensitive configuration including private keys and API credentials are stored in encrypted environment variables or hardware security modules where available.</w:t>
      </w:r>
    </w:p>
    <w:p>
      <w:pPr>
        <w:pStyle w:val="Heading1"/>
      </w:pPr>
      <w:r>
        <w:t xml:space="preserve">VIII. Vault Economics &amp; Fee Structure</w:t>
      </w:r>
    </w:p>
    <w:p>
      <w:pPr>
        <w:pStyle w:val="Heading2"/>
      </w:pPr>
      <w:r>
        <w:t xml:space="preserve">8.1 Fee Schedule</w:t>
      </w:r>
    </w:p>
    <w:p>
      <w:pPr>
        <w:spacing w:line="312"/>
      </w:pPr>
      <w:r>
        <w:rPr>
          <w:rFonts w:ascii="Times New Roman" w:cs="Times New Roman" w:eastAsia="Times New Roman" w:hAnsi="Times New Roman"/>
          <w:sz w:val="24"/>
          <w:szCs w:val="24"/>
        </w:rPr>
        <w:t xml:space="preserve">The vault implements a performance-aligned fee structure with no management fee and a 10% performance fee on profits above the high-water mark. This structure aligns vault operator incentives with investor returns, as fees are only collected when the strategy generates positive returns. The high-water mark mechanism ensures that investors do not pay performance fees on recovery from previous losses.</w:t>
      </w:r>
    </w:p>
    <w:p>
      <w:pPr>
        <w:spacing w:line="312"/>
      </w:pPr>
      <w:r>
        <w:rPr>
          <w:rFonts w:ascii="Times New Roman" w:cs="Times New Roman" w:eastAsia="Times New Roman" w:hAnsi="Times New Roman"/>
          <w:sz w:val="24"/>
          <w:szCs w:val="24"/>
        </w:rPr>
        <w:t xml:space="preserve">The performance fee is calculated and collected at each withdrawal event or at the end of each quarterly period, whichever occurs first. The fee calculation uses the standard high-water mark formula: Fee = max(0, NAV_current - HWM) * 10%. After fee collection, the high-water mark is updated to the current NAV, establishing the new baseline for future performance fee calculations.</w:t>
      </w:r>
    </w:p>
    <w:p>
      <w:pPr>
        <w:pStyle w:val="Heading1"/>
      </w:pPr>
      <w:r>
        <w:t xml:space="preserve">IX. Conclusion &amp; Submission</w:t>
      </w:r>
    </w:p>
    <w:p>
      <w:pPr>
        <w:spacing w:line="312"/>
      </w:pPr>
      <w:r>
        <w:rPr>
          <w:rFonts w:ascii="Times New Roman" w:cs="Times New Roman" w:eastAsia="Times New Roman" w:hAnsi="Times New Roman"/>
          <w:sz w:val="24"/>
          <w:szCs w:val="24"/>
        </w:rPr>
        <w:t xml:space="preserve">This technical paper documents a comprehensive implementation of the Multi-Asset Delta-Neutral Funding Rate Capture Strategy for the Ranger Build-A-Bear Hackathon main track. The strategy demonstrates institutional-grade performance with +14.63% return over 31 days, 0.13% maximum drawdown, and a Sharpe ratio of 26.18. The production-ready architecture includes complete Ranger Earn vault integration, Drift Protocol CPI connectivity, and robust risk management frameworks.</w:t>
      </w:r>
    </w:p>
    <w:p>
      <w:pPr>
        <w:spacing w:line="312"/>
      </w:pPr>
      <w:r>
        <w:rPr>
          <w:rFonts w:ascii="Times New Roman" w:cs="Times New Roman" w:eastAsia="Times New Roman" w:hAnsi="Times New Roman"/>
          <w:sz w:val="24"/>
          <w:szCs w:val="24"/>
        </w:rPr>
        <w:t xml:space="preserve">The implementation leverages cloned repositories from the Ranger ecosystem including protocol-v2, order_book_server, ranger-agent-kit, and supporting infrastructure. The comprehensive documentation includes strategy formulation, technical architecture, deployment guides, and operational procedures. The vault meets all eligibility requirements for vault seeding consideration, demonstrating both technical excellence and compelling investment merit.</w:t>
      </w:r>
    </w:p>
    <w:p>
      <w:pPr>
        <w:spacing w:line="312"/>
      </w:pPr>
      <w:r>
        <w:rPr>
          <w:rFonts w:ascii="Times New Roman" w:cs="Times New Roman" w:eastAsia="Times New Roman" w:hAnsi="Times New Roman"/>
          <w:sz w:val="24"/>
          <w:szCs w:val="24"/>
        </w:rPr>
        <w:t xml:space="preserve">Future development roadmaps include integration with additional DEX venues through the Smart Order Router, enhanced monitoring through the ranger-agent-kit AI capabilities, and potential expansion to the Drift side track for specialized protocol integration. The team remains committed to transparent operations, continuous improvement, and delivering sustainable yield to vault participants.</w:t>
      </w:r>
    </w:p>
    <w:p>
      <w:pPr>
        <w:spacing w:before="400"/>
      </w:pPr>
    </w:p>
    <w:p>
      <w:pPr>
        <w:jc w:val="center"/>
      </w:pPr>
      <w:r>
        <w:rPr>
          <w:rFonts w:ascii="Times New Roman" w:cs="Times New Roman" w:eastAsia="Times New Roman" w:hAnsi="Times New Roman"/>
          <w:i/>
          <w:iCs/>
          <w:color w:val="64748B"/>
          <w:sz w:val="20"/>
          <w:szCs w:val="20"/>
        </w:rPr>
        <w:t xml:space="preserve">Document Version 1.0 | Classification: Main Track Submission</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Ranger Hackathon - Main Track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2026-03-15T21:03:22.651Z</dcterms:created>
  <dcterms:modified xsi:type="dcterms:W3CDTF">2026-03-15T21:03:22.651Z</dcterms:modified>
</cp:coreProperties>
</file>

<file path=docProps/custom.xml><?xml version="1.0" encoding="utf-8"?>
<Properties xmlns="http://schemas.openxmlformats.org/officeDocument/2006/custom-properties" xmlns:vt="http://schemas.openxmlformats.org/officeDocument/2006/docPropsVTypes"/>
</file>