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190500</wp:posOffset>
            </wp:positionV>
            <wp:extent cx="3514725" cy="14573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21" l="0" r="0" t="103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rPr>
          <w:rFonts w:ascii="Nunito Medium" w:cs="Nunito Medium" w:eastAsia="Nunito Medium" w:hAnsi="Nunito Medium"/>
          <w:sz w:val="84"/>
          <w:szCs w:val="84"/>
        </w:rPr>
      </w:pPr>
      <w:bookmarkStart w:colFirst="0" w:colLast="0" w:name="_lxnr2h17i7p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rPr>
          <w:rFonts w:ascii="Nunito Medium" w:cs="Nunito Medium" w:eastAsia="Nunito Medium" w:hAnsi="Nunito Medium"/>
          <w:sz w:val="84"/>
          <w:szCs w:val="84"/>
        </w:rPr>
      </w:pPr>
      <w:bookmarkStart w:colFirst="0" w:colLast="0" w:name="_3eeu8uce1rnw" w:id="1"/>
      <w:bookmarkEnd w:id="1"/>
      <w:r w:rsidDel="00000000" w:rsidR="00000000" w:rsidRPr="00000000">
        <w:rPr>
          <w:rFonts w:ascii="Nunito Medium" w:cs="Nunito Medium" w:eastAsia="Nunito Medium" w:hAnsi="Nunito Medium"/>
          <w:sz w:val="84"/>
          <w:szCs w:val="84"/>
          <w:rtl w:val="0"/>
        </w:rPr>
        <w:t xml:space="preserve">Tipsy Bean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-1162049</wp:posOffset>
            </wp:positionH>
            <wp:positionV relativeFrom="paragraph">
              <wp:posOffset>1809750</wp:posOffset>
            </wp:positionV>
            <wp:extent cx="8138031" cy="52768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031" cy="527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Title"/>
        <w:spacing w:line="240" w:lineRule="auto"/>
        <w:rPr>
          <w:rFonts w:ascii="Nunito Medium" w:cs="Nunito Medium" w:eastAsia="Nunito Medium" w:hAnsi="Nunito Medium"/>
          <w:sz w:val="84"/>
          <w:szCs w:val="84"/>
        </w:rPr>
      </w:pPr>
      <w:bookmarkStart w:colFirst="0" w:colLast="0" w:name="_kqnl5v4yg1i0" w:id="2"/>
      <w:bookmarkEnd w:id="2"/>
      <w:r w:rsidDel="00000000" w:rsidR="00000000" w:rsidRPr="00000000">
        <w:rPr>
          <w:rFonts w:ascii="Nunito Medium" w:cs="Nunito Medium" w:eastAsia="Nunito Medium" w:hAnsi="Nunito Medium"/>
          <w:sz w:val="84"/>
          <w:szCs w:val="84"/>
          <w:rtl w:val="0"/>
        </w:rPr>
        <w:t xml:space="preserve">Style Guide </w:t>
      </w:r>
    </w:p>
    <w:p w:rsidR="00000000" w:rsidDel="00000000" w:rsidP="00000000" w:rsidRDefault="00000000" w:rsidRPr="00000000" w14:paraId="0000000A">
      <w:pPr>
        <w:pStyle w:val="Title"/>
        <w:spacing w:line="240" w:lineRule="auto"/>
        <w:rPr>
          <w:rFonts w:ascii="Nunito Medium" w:cs="Nunito Medium" w:eastAsia="Nunito Medium" w:hAnsi="Nunito Medium"/>
          <w:sz w:val="84"/>
          <w:szCs w:val="84"/>
        </w:rPr>
      </w:pPr>
      <w:bookmarkStart w:colFirst="0" w:colLast="0" w:name="_navv7m4b7yr9" w:id="3"/>
      <w:bookmarkEnd w:id="3"/>
      <w:r w:rsidDel="00000000" w:rsidR="00000000" w:rsidRPr="00000000">
        <w:rPr>
          <w:rFonts w:ascii="Nunito Medium" w:cs="Nunito Medium" w:eastAsia="Nunito Medium" w:hAnsi="Nunito Medium"/>
          <w:sz w:val="84"/>
          <w:szCs w:val="84"/>
          <w:rtl w:val="0"/>
        </w:rPr>
        <w:t xml:space="preserve">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Prepared and Presented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Kristien Jaia Santos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Eric Jay Virtucio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El Jean Rementas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Charley Vergara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Term 1 Academic Year 25-26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center"/>
        <w:rPr>
          <w:b w:val="1"/>
          <w:color w:val="434343"/>
        </w:rPr>
      </w:pPr>
      <w:bookmarkStart w:colFirst="0" w:colLast="0" w:name="_knscgki6s6cv" w:id="4"/>
      <w:bookmarkEnd w:id="4"/>
      <w:r w:rsidDel="00000000" w:rsidR="00000000" w:rsidRPr="00000000">
        <w:rPr>
          <w:b w:val="1"/>
          <w:color w:val="434343"/>
          <w:rtl w:val="0"/>
        </w:rPr>
        <w:t xml:space="preserve">Intellectual Property Notice</w:t>
      </w:r>
    </w:p>
    <w:p w:rsidR="00000000" w:rsidDel="00000000" w:rsidP="00000000" w:rsidRDefault="00000000" w:rsidRPr="00000000" w14:paraId="0000001F">
      <w:pPr>
        <w:jc w:val="center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This template is an exclusive property of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Mapua-Malayan Digital College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and is protected under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Republic Act No. 8293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, also known as the</w:t>
      </w:r>
      <w:r w:rsidDel="00000000" w:rsidR="00000000" w:rsidRPr="00000000">
        <w:rPr>
          <w:rFonts w:ascii="Nunito" w:cs="Nunito" w:eastAsia="Nunito" w:hAnsi="Nunito"/>
          <w:i w:val="1"/>
          <w:color w:val="434343"/>
          <w:sz w:val="24"/>
          <w:szCs w:val="24"/>
          <w:rtl w:val="0"/>
        </w:rPr>
        <w:t xml:space="preserve"> Intellectual Property Code of the Philippines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(IP Code). It is provided solely for educational purposes within this course. Students may use this template to complete their tasks but may not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 modify, distribute, sell, upload, 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 claim ownership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of the template itself. Such actions constitute copyright infringement under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Sections 172, 177, and 216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of the IP Code and may result in legal consequences. Unauthorized use beyond this course may result in legal or academic consequences.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72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Additionally, students must comply with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Mapua-Malayan Digital College Student Handbook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particularly with the following provisions: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Offenses Related to MMDC IT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Section 6.2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– Unauthorized copying of files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Section 6.8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– Extraction of protected, copyrighted, and/or confidential information by electronic means using MMDC IT infrastructure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Offenses Related to MMDC Admin, IT, and Operations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Section 4.5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– Unauthorized collection or extraction of money, checks, or other instruments of monetary equivalent in connection with matters pertaining to MMDC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Violations of these policies may result 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disciplinary actions ranging from suspension to dismissal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in accordance with the Student Handbook.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For permissions or inquiries, please contact MMDC-ISD at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isd@mmdc.mcl.edu.ph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4320" w:hanging="360"/>
        <w:jc w:val="left"/>
        <w:rPr>
          <w:rFonts w:ascii="Nunito" w:cs="Nunito" w:eastAsia="Nunito" w:hAnsi="Nunito"/>
        </w:rPr>
      </w:pPr>
      <w:bookmarkStart w:colFirst="0" w:colLast="0" w:name="_f5qz5ecau1ob" w:id="5"/>
      <w:bookmarkEnd w:id="5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 xml:space="preserve">   </w:t>
        <w:tab/>
        <w:tab/>
        <w:tab/>
        <w:tab/>
        <w:tab/>
        <w:tab/>
        <w:tab/>
        <w:t xml:space="preserve">   </w:t>
        <w:tab/>
        <w:tab/>
        <w:tab/>
        <w:t xml:space="preserve">   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Section</w:t>
        <w:tab/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1</w:t>
        <w:tab/>
        <w:t xml:space="preserve"> </w:t>
        <w:tab/>
      </w:r>
      <w:hyperlink w:anchor="_j6uteeql91xl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Branding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2</w:t>
        <w:tab/>
        <w:t xml:space="preserve"> </w:t>
        <w:tab/>
      </w:r>
      <w:hyperlink w:anchor="_u22932t98hi1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3</w:t>
        <w:tab/>
        <w:tab/>
      </w:r>
      <w:hyperlink w:anchor="_mhu54frywtqh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Common CSS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j6uteeql91xl" w:id="6"/>
      <w:bookmarkEnd w:id="6"/>
      <w:r w:rsidDel="00000000" w:rsidR="00000000" w:rsidRPr="00000000">
        <w:rPr>
          <w:rtl w:val="0"/>
        </w:rPr>
        <w:t xml:space="preserve">Branding Kit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304800</wp:posOffset>
            </wp:positionV>
            <wp:extent cx="5601789" cy="792689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789" cy="7926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xpvdsvkev69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u22932t98hi1" w:id="8"/>
      <w:bookmarkEnd w:id="8"/>
      <w:r w:rsidDel="00000000" w:rsidR="00000000" w:rsidRPr="00000000">
        <w:rPr>
          <w:rtl w:val="0"/>
        </w:rPr>
        <w:t xml:space="preserve">Style Guide: Elegant / Luxury</w:t>
      </w:r>
    </w:p>
    <w:p w:rsidR="00000000" w:rsidDel="00000000" w:rsidP="00000000" w:rsidRDefault="00000000" w:rsidRPr="00000000" w14:paraId="0000004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guide documents the core aesthetic and technical decisions for the Tipsy Bean website, ensuring a cohesive and elegant user experience.</w:t>
      </w:r>
    </w:p>
    <w:p w:rsidR="00000000" w:rsidDel="00000000" w:rsidP="00000000" w:rsidRDefault="00000000" w:rsidRPr="00000000" w14:paraId="0000004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3th8p4aq4wyl" w:id="9"/>
      <w:bookmarkEnd w:id="9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4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color scheme is designed to convey luxury, warmth, and sophistication, utilizing a rich mix of whites, browns, and a distinct gold accent.</w:t>
      </w:r>
    </w:p>
    <w:p w:rsidR="00000000" w:rsidDel="00000000" w:rsidP="00000000" w:rsidRDefault="00000000" w:rsidRPr="00000000" w14:paraId="0000004A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520"/>
        <w:gridCol w:w="3060"/>
        <w:gridCol w:w="3060"/>
        <w:tblGridChange w:id="0">
          <w:tblGrid>
            <w:gridCol w:w="2880"/>
            <w:gridCol w:w="2520"/>
            <w:gridCol w:w="306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Color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Hex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Usage / Context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CSS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Primary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Backgrounds, Primary Text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on dark elements (e.g., Navbar, Footer). Provides a clean, bright foundation.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--color-white: #FFFFFF;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Light Taupe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#D2B48C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Accent Color, Light Borders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Used for subtle luxury and contrast against darker browns. Seen in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latte-title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and section borders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#f5e9da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is a lighter shade derived from this).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--color-taupe-light: #d2b48c;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Gold / Accent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#C59401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Primary Accent, Hover States, Key Highlights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The main luxury color, used for interactive elements and call-to-action focuses.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--color-gold-accent: #C59401;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Dark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#6F4E37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Primary Text, Headings, Section Titles, Borders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A warm, rich brown used for high-impact text and solid elements, evoking coffee and wood.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--color-brown-dark: #6f4e37;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#99725F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Secondary Text, Subtle Accents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A softer brown for supporting elements. (Not explicitly used as a main text color, but part of the approved palette.)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--color-brown-medium: #99725F;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Navbar &amp; Footer Background, Base Body Background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Used as a rich backdrop to make the other colors pop.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--color-black: #000000;</w:t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rhjyvqyscxos" w:id="10"/>
      <w:bookmarkEnd w:id="10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6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combination of classic serif and modern sans-serif fonts is used to balance elegance with readability.</w:t>
      </w:r>
    </w:p>
    <w:p w:rsidR="00000000" w:rsidDel="00000000" w:rsidP="00000000" w:rsidRDefault="00000000" w:rsidRPr="00000000" w14:paraId="0000006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190"/>
        <w:gridCol w:w="2430"/>
        <w:gridCol w:w="4860"/>
        <w:tblGridChange w:id="0">
          <w:tblGrid>
            <w:gridCol w:w="2040"/>
            <w:gridCol w:w="2190"/>
            <w:gridCol w:w="243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 Family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Weight / Style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Purpose /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Playfair Display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700 (Bold)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Exclusive use for the site's logo/main title.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Small caps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add a distinguished, high-end feel.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Playfair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700 (Bold)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All major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Section Titles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.menu-title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.about-title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.order-title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). A classic serif for authoritative, elegant titles.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Body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Raleway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200, 500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All main content text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.footer-text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.about-description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.order-description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). A clean, legible sans-serif for high readability in large blocks of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Button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 Sans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500 (Medium)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Text within interactive elements (buttons). A clear, universal sans-serif for call-to-action text.</w:t>
            </w:r>
          </w:p>
        </w:tc>
      </w:tr>
    </w:tbl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</w:pPr>
      <w:bookmarkStart w:colFirst="0" w:colLast="0" w:name="_mhu54frywtqh" w:id="11"/>
      <w:bookmarkEnd w:id="11"/>
      <w:r w:rsidDel="00000000" w:rsidR="00000000" w:rsidRPr="00000000">
        <w:rPr>
          <w:rtl w:val="0"/>
        </w:rPr>
        <w:t xml:space="preserve">Common CSS Class Conventions</w:t>
      </w:r>
    </w:p>
    <w:p w:rsidR="00000000" w:rsidDel="00000000" w:rsidP="00000000" w:rsidRDefault="00000000" w:rsidRPr="00000000" w14:paraId="0000008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conventions describe the established structure and styling for core components and sections across the website.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4fpsapmc6sh5" w:id="12"/>
      <w:bookmarkEnd w:id="12"/>
      <w:r w:rsidDel="00000000" w:rsidR="00000000" w:rsidRPr="00000000">
        <w:rPr>
          <w:rtl w:val="0"/>
        </w:rPr>
        <w:t xml:space="preserve">Layout &amp; Structure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840"/>
        <w:gridCol w:w="3840"/>
        <w:tblGridChange w:id="0">
          <w:tblGrid>
            <w:gridCol w:w="3840"/>
            <w:gridCol w:w="384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Class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Purpose &amp; Structure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Key Styles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.*-section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Defines the full-width container for a page section (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.footer-section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.menu-section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width: 100vw;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display: flex;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justify-content: center;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 for vertical spacing.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.*-content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Defines the inner,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constrained width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container within a section (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.footer-content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.menu-content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max-width: 1100px;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width: 90vw;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display: flex;</w:t>
            </w:r>
            <w:r w:rsidDel="00000000" w:rsidR="00000000" w:rsidRPr="00000000">
              <w:rPr>
                <w:rtl w:val="0"/>
              </w:rPr>
              <w:t xml:space="preserve"> for layout management.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.hero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.hero-container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Full viewport-height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width: 100vw;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height: 100vh;</w:t>
            </w:r>
            <w:r w:rsidDel="00000000" w:rsidR="00000000" w:rsidRPr="00000000">
              <w:rPr>
                <w:rtl w:val="0"/>
              </w:rPr>
              <w:t xml:space="preserve"> (or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calc(100vh - 64px)</w:t>
            </w:r>
            <w:r w:rsidDel="00000000" w:rsidR="00000000" w:rsidRPr="00000000">
              <w:rPr>
                <w:rtl w:val="0"/>
              </w:rPr>
              <w:t xml:space="preserve"> for main content).</w:t>
            </w:r>
          </w:p>
        </w:tc>
      </w:tr>
    </w:tbl>
    <w:p w:rsidR="00000000" w:rsidDel="00000000" w:rsidP="00000000" w:rsidRDefault="00000000" w:rsidRPr="00000000" w14:paraId="0000009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2o5vc68isj7r" w:id="13"/>
      <w:bookmarkEnd w:id="13"/>
      <w:r w:rsidDel="00000000" w:rsidR="00000000" w:rsidRPr="00000000">
        <w:rPr>
          <w:rtl w:val="0"/>
        </w:rPr>
        <w:t xml:space="preserve">Typography &amp; Text Elements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840"/>
        <w:gridCol w:w="3840"/>
        <w:tblGridChange w:id="0">
          <w:tblGrid>
            <w:gridCol w:w="3840"/>
            <w:gridCol w:w="3840"/>
            <w:gridCol w:w="384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Class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Purpose &amp; Styles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Key Font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.navbar-title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Main logo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Playfair Display SC,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font-size: 2.5rem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.hero-title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Largest, most impactful heading.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Playfair Display,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font-size: 3.5rem</w:t>
            </w:r>
            <w:r w:rsidDel="00000000" w:rsidR="00000000" w:rsidRPr="00000000">
              <w:rPr>
                <w:rtl w:val="0"/>
              </w:rPr>
              <w:t xml:space="preserve"> (desktop).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.latte-title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Highlighted text within headings.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--color-taupe-light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#d2b48c</w:t>
            </w:r>
            <w:r w:rsidDel="00000000" w:rsidR="00000000" w:rsidRPr="00000000">
              <w:rPr>
                <w:rtl w:val="0"/>
              </w:rPr>
              <w:t xml:space="preserve">) for contrast.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.menu-title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Section titles.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Playfair Display,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font-size: 2.5rem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--color-brown-dark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#6f4e37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.*-description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Body/paragraph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Raleway,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font-size: 1.15rem</w:t>
            </w:r>
            <w:r w:rsidDel="00000000" w:rsidR="00000000" w:rsidRPr="00000000">
              <w:rPr>
                <w:rtl w:val="0"/>
              </w:rPr>
              <w:t xml:space="preserve">, line-height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firstLine="1440"/>
        <w:rPr/>
      </w:pPr>
      <w:bookmarkStart w:colFirst="0" w:colLast="0" w:name="_8hw2i23dfc1w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lfic6u57691r" w:id="15"/>
      <w:bookmarkEnd w:id="15"/>
      <w:r w:rsidDel="00000000" w:rsidR="00000000" w:rsidRPr="00000000">
        <w:rPr>
          <w:rtl w:val="0"/>
        </w:rPr>
        <w:t xml:space="preserve">Interactive &amp; Decorative Elements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840"/>
        <w:gridCol w:w="3840"/>
        <w:tblGridChange w:id="0">
          <w:tblGrid>
            <w:gridCol w:w="3840"/>
            <w:gridCol w:w="384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Class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Purpose &amp; Styles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Key Styles / Colors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.order-btn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Call-to-action buttons (Delivery).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Sans 3,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border-radius: 2rem</w:t>
            </w:r>
            <w:r w:rsidDel="00000000" w:rsidR="00000000" w:rsidRPr="00000000">
              <w:rPr>
                <w:rtl w:val="0"/>
              </w:rPr>
              <w:t xml:space="preserve">, uses linear gradients for vibrant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.google-map-btn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Primary call-to-action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Sans 3,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border-radius: 2rem</w:t>
            </w:r>
            <w:r w:rsidDel="00000000" w:rsidR="00000000" w:rsidRPr="00000000">
              <w:rPr>
                <w:rtl w:val="0"/>
              </w:rPr>
              <w:t xml:space="preserve">, uses linear gradient with Dark Brown and Light Taupe tones.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.*:hover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General interactive element hover state.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transform: translateY(-2px) scale(1.04);</w:t>
            </w:r>
            <w:r w:rsidDel="00000000" w:rsidR="00000000" w:rsidRPr="00000000">
              <w:rPr>
                <w:rtl w:val="0"/>
              </w:rPr>
              <w:t xml:space="preserve"> and an increased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 for a subtle "lift" effect.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.navbar-link:hover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Navigation hover.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color changes to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--color-gold-accent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#C59401</w:t>
            </w:r>
            <w:r w:rsidDel="00000000" w:rsidR="00000000" w:rsidRPr="00000000">
              <w:rPr>
                <w:rtl w:val="0"/>
              </w:rPr>
              <w:t xml:space="preserve">), and a bottom-border underline animation is used (desktop only).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.menu-card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Product/Item containers.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background: #f8f5f2</w:t>
            </w:r>
            <w:r w:rsidDel="00000000" w:rsidR="00000000" w:rsidRPr="00000000">
              <w:rPr>
                <w:rtl w:val="0"/>
              </w:rPr>
              <w:t xml:space="preserve"> (off-white),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 for depth, and subtle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  <w:t xml:space="preserve"> on hover.</w:t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right"/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spacing w:line="240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spacing w:line="24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widowControl w:val="0"/>
      <w:spacing w:line="240" w:lineRule="auto"/>
      <w:ind w:left="216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unito" w:cs="Nunito" w:eastAsia="Nunito" w:hAnsi="Nunito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Nunito" w:cs="Nunito" w:eastAsia="Nunito" w:hAnsi="Nuni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Nunito" w:cs="Nunito" w:eastAsia="Nunito" w:hAnsi="Nuni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rFonts w:ascii="Nunito" w:cs="Nunito" w:eastAsia="Nunito" w:hAnsi="Nunito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isd@mmdc.mcl.edu.p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