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9033" w14:textId="26E33B3D" w:rsidR="00260D66" w:rsidRDefault="00260D66" w:rsidP="00260D66">
      <w:pPr>
        <w:shd w:val="clear" w:color="auto" w:fill="FFFFFF"/>
        <w:spacing w:after="240"/>
        <w:rPr>
          <w:rFonts w:ascii="Segoe UI" w:eastAsia="Times New Roman" w:hAnsi="Segoe UI" w:cs="Segoe UI"/>
          <w:color w:val="1F2328"/>
          <w:kern w:val="0"/>
          <w14:ligatures w14:val="none"/>
        </w:rPr>
      </w:pPr>
      <w:r w:rsidRPr="00260D66">
        <w:rPr>
          <w:rFonts w:ascii="Segoe UI" w:eastAsia="Times New Roman" w:hAnsi="Segoe UI" w:cs="Segoe UI"/>
          <w:color w:val="1F2328"/>
          <w:kern w:val="0"/>
          <w14:ligatures w14:val="none"/>
        </w:rPr>
        <w:t xml:space="preserve">We are performing an </w:t>
      </w:r>
      <w:r w:rsidR="002D045D">
        <w:rPr>
          <w:rFonts w:ascii="Segoe UI" w:eastAsia="Times New Roman" w:hAnsi="Segoe UI" w:cs="Segoe UI"/>
          <w:color w:val="1F2328"/>
          <w:kern w:val="0"/>
          <w14:ligatures w14:val="none"/>
        </w:rPr>
        <w:t xml:space="preserve">exploratory data </w:t>
      </w:r>
      <w:r w:rsidRPr="00260D66">
        <w:rPr>
          <w:rFonts w:ascii="Segoe UI" w:eastAsia="Times New Roman" w:hAnsi="Segoe UI" w:cs="Segoe UI"/>
          <w:color w:val="1F2328"/>
          <w:kern w:val="0"/>
          <w14:ligatures w14:val="none"/>
        </w:rPr>
        <w:t xml:space="preserve">analysis </w:t>
      </w:r>
      <w:r w:rsidR="002D045D">
        <w:rPr>
          <w:rFonts w:ascii="Segoe UI" w:eastAsia="Times New Roman" w:hAnsi="Segoe UI" w:cs="Segoe UI"/>
          <w:color w:val="1F2328"/>
          <w:kern w:val="0"/>
          <w14:ligatures w14:val="none"/>
        </w:rPr>
        <w:t xml:space="preserve">(EDA) </w:t>
      </w:r>
      <w:r w:rsidRPr="00260D66">
        <w:rPr>
          <w:rFonts w:ascii="Segoe UI" w:eastAsia="Times New Roman" w:hAnsi="Segoe UI" w:cs="Segoe UI"/>
          <w:color w:val="1F2328"/>
          <w:kern w:val="0"/>
          <w14:ligatures w14:val="none"/>
        </w:rPr>
        <w:t>of electric vehicles</w:t>
      </w:r>
      <w:r>
        <w:rPr>
          <w:rFonts w:ascii="Segoe UI" w:eastAsia="Times New Roman" w:hAnsi="Segoe UI" w:cs="Segoe UI"/>
          <w:color w:val="1F2328"/>
          <w:kern w:val="0"/>
          <w14:ligatures w14:val="none"/>
        </w:rPr>
        <w:t xml:space="preserve"> (EVs)</w:t>
      </w:r>
      <w:r w:rsidRPr="00260D66">
        <w:rPr>
          <w:rFonts w:ascii="Segoe UI" w:eastAsia="Times New Roman" w:hAnsi="Segoe UI" w:cs="Segoe UI"/>
          <w:color w:val="1F2328"/>
          <w:kern w:val="0"/>
          <w14:ligatures w14:val="none"/>
        </w:rPr>
        <w:t xml:space="preserve">, specifically of what factors </w:t>
      </w:r>
      <w:r>
        <w:rPr>
          <w:rFonts w:ascii="Segoe UI" w:eastAsia="Times New Roman" w:hAnsi="Segoe UI" w:cs="Segoe UI"/>
          <w:color w:val="1F2328"/>
          <w:kern w:val="0"/>
          <w14:ligatures w14:val="none"/>
        </w:rPr>
        <w:t xml:space="preserve">(e.g. income) </w:t>
      </w:r>
      <w:r w:rsidRPr="00260D66">
        <w:rPr>
          <w:rFonts w:ascii="Segoe UI" w:eastAsia="Times New Roman" w:hAnsi="Segoe UI" w:cs="Segoe UI"/>
          <w:color w:val="1F2328"/>
          <w:kern w:val="0"/>
          <w14:ligatures w14:val="none"/>
        </w:rPr>
        <w:t xml:space="preserve">are associated with electric vehicle </w:t>
      </w:r>
      <w:r>
        <w:rPr>
          <w:rFonts w:ascii="Segoe UI" w:eastAsia="Times New Roman" w:hAnsi="Segoe UI" w:cs="Segoe UI"/>
          <w:color w:val="1F2328"/>
          <w:kern w:val="0"/>
          <w14:ligatures w14:val="none"/>
        </w:rPr>
        <w:t>purchase</w:t>
      </w:r>
      <w:r w:rsidRPr="00260D66">
        <w:rPr>
          <w:rFonts w:ascii="Segoe UI" w:eastAsia="Times New Roman" w:hAnsi="Segoe UI" w:cs="Segoe UI"/>
          <w:color w:val="1F2328"/>
          <w:kern w:val="0"/>
          <w14:ligatures w14:val="none"/>
        </w:rPr>
        <w:t>, how existing infrastructure</w:t>
      </w:r>
      <w:r>
        <w:rPr>
          <w:rFonts w:ascii="Segoe UI" w:eastAsia="Times New Roman" w:hAnsi="Segoe UI" w:cs="Segoe UI"/>
          <w:color w:val="1F2328"/>
          <w:kern w:val="0"/>
          <w14:ligatures w14:val="none"/>
        </w:rPr>
        <w:t xml:space="preserve"> in an area</w:t>
      </w:r>
      <w:r w:rsidRPr="00260D66">
        <w:rPr>
          <w:rFonts w:ascii="Segoe UI" w:eastAsia="Times New Roman" w:hAnsi="Segoe UI" w:cs="Segoe UI"/>
          <w:color w:val="1F2328"/>
          <w:kern w:val="0"/>
          <w14:ligatures w14:val="none"/>
        </w:rPr>
        <w:t xml:space="preserve"> </w:t>
      </w:r>
      <w:r>
        <w:rPr>
          <w:rFonts w:ascii="Segoe UI" w:eastAsia="Times New Roman" w:hAnsi="Segoe UI" w:cs="Segoe UI"/>
          <w:color w:val="1F2328"/>
          <w:kern w:val="0"/>
          <w14:ligatures w14:val="none"/>
        </w:rPr>
        <w:t xml:space="preserve">(e.g. charging stations) </w:t>
      </w:r>
      <w:r w:rsidR="002D045D">
        <w:rPr>
          <w:rFonts w:ascii="Segoe UI" w:eastAsia="Times New Roman" w:hAnsi="Segoe UI" w:cs="Segoe UI"/>
          <w:color w:val="1F2328"/>
          <w:kern w:val="0"/>
          <w14:ligatures w14:val="none"/>
        </w:rPr>
        <w:t>provides insight into</w:t>
      </w:r>
      <w:r>
        <w:rPr>
          <w:rFonts w:ascii="Segoe UI" w:eastAsia="Times New Roman" w:hAnsi="Segoe UI" w:cs="Segoe UI"/>
          <w:color w:val="1F2328"/>
          <w:kern w:val="0"/>
          <w14:ligatures w14:val="none"/>
        </w:rPr>
        <w:t xml:space="preserve"> EV ownership in that are</w:t>
      </w:r>
      <w:r w:rsidR="002D045D">
        <w:rPr>
          <w:rFonts w:ascii="Segoe UI" w:eastAsia="Times New Roman" w:hAnsi="Segoe UI" w:cs="Segoe UI"/>
          <w:color w:val="1F2328"/>
          <w:kern w:val="0"/>
          <w14:ligatures w14:val="none"/>
        </w:rPr>
        <w:t>a. Other variables we have followed include</w:t>
      </w:r>
      <w:r>
        <w:rPr>
          <w:rFonts w:ascii="Segoe UI" w:eastAsia="Times New Roman" w:hAnsi="Segoe UI" w:cs="Segoe UI"/>
          <w:color w:val="1F2328"/>
          <w:kern w:val="0"/>
          <w14:ligatures w14:val="none"/>
        </w:rPr>
        <w:t xml:space="preserve"> </w:t>
      </w:r>
      <w:r w:rsidR="002D045D">
        <w:rPr>
          <w:rFonts w:ascii="Segoe UI" w:eastAsia="Times New Roman" w:hAnsi="Segoe UI" w:cs="Segoe UI"/>
          <w:color w:val="1F2328"/>
          <w:kern w:val="0"/>
          <w14:ligatures w14:val="none"/>
        </w:rPr>
        <w:t>EV M</w:t>
      </w:r>
      <w:r>
        <w:rPr>
          <w:rFonts w:ascii="Segoe UI" w:eastAsia="Times New Roman" w:hAnsi="Segoe UI" w:cs="Segoe UI"/>
          <w:color w:val="1F2328"/>
          <w:kern w:val="0"/>
          <w14:ligatures w14:val="none"/>
        </w:rPr>
        <w:t xml:space="preserve">ake and </w:t>
      </w:r>
      <w:r w:rsidR="002D045D">
        <w:rPr>
          <w:rFonts w:ascii="Segoe UI" w:eastAsia="Times New Roman" w:hAnsi="Segoe UI" w:cs="Segoe UI"/>
          <w:color w:val="1F2328"/>
          <w:kern w:val="0"/>
          <w14:ligatures w14:val="none"/>
        </w:rPr>
        <w:t>M</w:t>
      </w:r>
      <w:r>
        <w:rPr>
          <w:rFonts w:ascii="Segoe UI" w:eastAsia="Times New Roman" w:hAnsi="Segoe UI" w:cs="Segoe UI"/>
          <w:color w:val="1F2328"/>
          <w:kern w:val="0"/>
          <w14:ligatures w14:val="none"/>
        </w:rPr>
        <w:t>odel,</w:t>
      </w:r>
      <w:r w:rsidR="002D045D">
        <w:rPr>
          <w:rFonts w:ascii="Segoe UI" w:eastAsia="Times New Roman" w:hAnsi="Segoe UI" w:cs="Segoe UI"/>
          <w:color w:val="1F2328"/>
          <w:kern w:val="0"/>
          <w14:ligatures w14:val="none"/>
        </w:rPr>
        <w:t xml:space="preserve"> EV Type (BEV vs. PHEV),</w:t>
      </w:r>
      <w:r>
        <w:rPr>
          <w:rFonts w:ascii="Segoe UI" w:eastAsia="Times New Roman" w:hAnsi="Segoe UI" w:cs="Segoe UI"/>
          <w:color w:val="1F2328"/>
          <w:kern w:val="0"/>
          <w14:ligatures w14:val="none"/>
        </w:rPr>
        <w:t xml:space="preserve"> </w:t>
      </w:r>
      <w:r w:rsidR="002D045D">
        <w:rPr>
          <w:rFonts w:ascii="Segoe UI" w:eastAsia="Times New Roman" w:hAnsi="Segoe UI" w:cs="Segoe UI"/>
          <w:color w:val="1F2328"/>
          <w:kern w:val="0"/>
          <w14:ligatures w14:val="none"/>
        </w:rPr>
        <w:t>EV Price and Year, and overall geographic location</w:t>
      </w:r>
      <w:r>
        <w:rPr>
          <w:rFonts w:ascii="Segoe UI" w:eastAsia="Times New Roman" w:hAnsi="Segoe UI" w:cs="Segoe UI"/>
          <w:color w:val="1F2328"/>
          <w:kern w:val="0"/>
          <w14:ligatures w14:val="none"/>
        </w:rPr>
        <w:t xml:space="preserve"> that may correlate to an increase in EVs. </w:t>
      </w:r>
    </w:p>
    <w:p w14:paraId="43F08DE7" w14:textId="4D27D449" w:rsidR="002D045D" w:rsidRPr="002D045D" w:rsidRDefault="002D045D" w:rsidP="002D045D">
      <w:pPr>
        <w:shd w:val="clear" w:color="auto" w:fill="FFFFFF"/>
        <w:spacing w:after="240"/>
        <w:ind w:left="720"/>
        <w:rPr>
          <w:rFonts w:ascii="Segoe UI" w:eastAsia="Times New Roman" w:hAnsi="Segoe UI" w:cs="Segoe UI"/>
          <w:i/>
          <w:iCs/>
          <w:color w:val="1F2328"/>
          <w:kern w:val="0"/>
          <w14:ligatures w14:val="none"/>
        </w:rPr>
      </w:pPr>
      <w:r w:rsidRPr="00E80CD8">
        <w:rPr>
          <w:rFonts w:ascii="Segoe UI" w:hAnsi="Segoe UI" w:cs="Segoe UI"/>
          <w:i/>
          <w:iCs/>
          <w:color w:val="1F2328"/>
          <w:highlight w:val="yellow"/>
          <w:shd w:val="clear" w:color="auto" w:fill="FFFFFF"/>
        </w:rPr>
        <w:t xml:space="preserve">Other variables we might want to mention summarily? </w:t>
      </w:r>
      <w:r w:rsidRPr="00E80CD8">
        <w:rPr>
          <w:rFonts w:ascii="Segoe UI" w:hAnsi="Segoe UI" w:cs="Segoe UI"/>
          <w:i/>
          <w:iCs/>
          <w:color w:val="1F2328"/>
          <w:highlight w:val="yellow"/>
          <w:shd w:val="clear" w:color="auto" w:fill="FFFFFF"/>
        </w:rPr>
        <w:t xml:space="preserve">model year </w:t>
      </w:r>
      <w:proofErr w:type="gramStart"/>
      <w:r w:rsidRPr="00E80CD8">
        <w:rPr>
          <w:rFonts w:ascii="Segoe UI" w:hAnsi="Segoe UI" w:cs="Segoe UI"/>
          <w:i/>
          <w:iCs/>
          <w:color w:val="1F2328"/>
          <w:highlight w:val="yellow"/>
          <w:shd w:val="clear" w:color="auto" w:fill="FFFFFF"/>
        </w:rPr>
        <w:t>trends</w:t>
      </w:r>
      <w:r w:rsidR="00E426AD" w:rsidRPr="00E80CD8">
        <w:rPr>
          <w:rFonts w:ascii="Segoe UI" w:hAnsi="Segoe UI" w:cs="Segoe UI"/>
          <w:i/>
          <w:iCs/>
          <w:color w:val="1F2328"/>
          <w:highlight w:val="yellow"/>
          <w:shd w:val="clear" w:color="auto" w:fill="FFFFFF"/>
        </w:rPr>
        <w:t>(</w:t>
      </w:r>
      <w:proofErr w:type="gramEnd"/>
      <w:r w:rsidR="00E426AD" w:rsidRPr="00E80CD8">
        <w:rPr>
          <w:rFonts w:ascii="Segoe UI" w:hAnsi="Segoe UI" w:cs="Segoe UI"/>
          <w:i/>
          <w:iCs/>
          <w:color w:val="1F2328"/>
          <w:highlight w:val="yellow"/>
          <w:shd w:val="clear" w:color="auto" w:fill="FFFFFF"/>
        </w:rPr>
        <w:t>mostly new bought)</w:t>
      </w:r>
      <w:r w:rsidRPr="00E80CD8">
        <w:rPr>
          <w:rFonts w:ascii="Segoe UI" w:hAnsi="Segoe UI" w:cs="Segoe UI"/>
          <w:i/>
          <w:iCs/>
          <w:color w:val="1F2328"/>
          <w:highlight w:val="yellow"/>
          <w:shd w:val="clear" w:color="auto" w:fill="FFFFFF"/>
        </w:rPr>
        <w:t>, popular makes, electric ranges, pricing</w:t>
      </w:r>
      <w:r w:rsidR="00273CFE" w:rsidRPr="00E80CD8">
        <w:rPr>
          <w:rFonts w:ascii="Segoe UI" w:hAnsi="Segoe UI" w:cs="Segoe UI"/>
          <w:i/>
          <w:iCs/>
          <w:color w:val="1F2328"/>
          <w:highlight w:val="yellow"/>
          <w:shd w:val="clear" w:color="auto" w:fill="FFFFFF"/>
        </w:rPr>
        <w:t xml:space="preserve"> (in Ben’s visualizations)</w:t>
      </w:r>
      <w:r w:rsidR="00E426AD">
        <w:rPr>
          <w:rFonts w:ascii="Segoe UI" w:hAnsi="Segoe UI" w:cs="Segoe UI"/>
          <w:i/>
          <w:iCs/>
          <w:color w:val="1F2328"/>
          <w:shd w:val="clear" w:color="auto" w:fill="FFFFFF"/>
        </w:rPr>
        <w:t xml:space="preserve"> </w:t>
      </w:r>
    </w:p>
    <w:p w14:paraId="5400F663" w14:textId="033FC844" w:rsidR="00260D66" w:rsidRPr="00260D66" w:rsidRDefault="00260D66" w:rsidP="00260D66">
      <w:pPr>
        <w:shd w:val="clear" w:color="auto" w:fill="FFFFFF"/>
        <w:spacing w:after="240"/>
        <w:rPr>
          <w:rFonts w:ascii="Segoe UI" w:eastAsia="Times New Roman" w:hAnsi="Segoe UI" w:cs="Segoe UI"/>
          <w:color w:val="1F2328"/>
          <w:kern w:val="0"/>
          <w14:ligatures w14:val="none"/>
        </w:rPr>
      </w:pPr>
      <w:r w:rsidRPr="00260D66">
        <w:rPr>
          <w:rFonts w:ascii="Segoe UI" w:eastAsia="Times New Roman" w:hAnsi="Segoe UI" w:cs="Segoe UI"/>
          <w:color w:val="1F2328"/>
          <w:kern w:val="0"/>
          <w14:ligatures w14:val="none"/>
        </w:rPr>
        <w:t xml:space="preserve">Our project is comprised of </w:t>
      </w:r>
      <w:r>
        <w:rPr>
          <w:rFonts w:ascii="Segoe UI" w:eastAsia="Times New Roman" w:hAnsi="Segoe UI" w:cs="Segoe UI"/>
          <w:color w:val="1F2328"/>
          <w:kern w:val="0"/>
          <w14:ligatures w14:val="none"/>
        </w:rPr>
        <w:t xml:space="preserve">these </w:t>
      </w:r>
      <w:r w:rsidRPr="00260D66">
        <w:rPr>
          <w:rFonts w:ascii="Segoe UI" w:eastAsia="Times New Roman" w:hAnsi="Segoe UI" w:cs="Segoe UI"/>
          <w:color w:val="1F2328"/>
          <w:kern w:val="0"/>
          <w14:ligatures w14:val="none"/>
        </w:rPr>
        <w:t>major parts:</w:t>
      </w:r>
    </w:p>
    <w:p w14:paraId="39A483B2" w14:textId="2CF43341" w:rsidR="00260D66" w:rsidRPr="00260D66" w:rsidRDefault="00260D66" w:rsidP="00260D66">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260D66">
        <w:rPr>
          <w:rFonts w:ascii="Segoe UI" w:eastAsia="Times New Roman" w:hAnsi="Segoe UI" w:cs="Segoe UI"/>
          <w:color w:val="1F2328"/>
          <w:kern w:val="0"/>
          <w14:ligatures w14:val="none"/>
        </w:rPr>
        <w:t>Exploratory data analysis of an electric vehicle population in a certain geographic area.</w:t>
      </w:r>
      <w:r>
        <w:rPr>
          <w:rFonts w:ascii="Segoe UI" w:eastAsia="Times New Roman" w:hAnsi="Segoe UI" w:cs="Segoe UI"/>
          <w:color w:val="1F2328"/>
          <w:kern w:val="0"/>
          <w14:ligatures w14:val="none"/>
        </w:rPr>
        <w:t xml:space="preserve"> We have chosen, in part due to the region’s particular affinity to electric technological innovation and alternative energy options, to refine our analysis to Washington state.</w:t>
      </w:r>
    </w:p>
    <w:p w14:paraId="33C22463" w14:textId="5E40A85A" w:rsidR="00260D66" w:rsidRDefault="00260D66" w:rsidP="00260D66">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We have utilized datasets from two sources: a 2023 EV dataset published on Kaggle.com that </w:t>
      </w:r>
      <w:r w:rsidRPr="00260D66">
        <w:rPr>
          <w:rFonts w:ascii="Segoe UI" w:eastAsia="Times New Roman" w:hAnsi="Segoe UI" w:cs="Segoe UI"/>
          <w:color w:val="1F2328"/>
          <w:kern w:val="0"/>
          <w14:ligatures w14:val="none"/>
        </w:rPr>
        <w:t>shows the Battery Electric Vehicles (BEVs) and Plug-in Hybrid Electric Vehicles (PHEVs) that are currently registered through Washington State Department of Licensing (DOL)</w:t>
      </w:r>
      <w:r>
        <w:rPr>
          <w:rFonts w:ascii="Segoe UI" w:eastAsia="Times New Roman" w:hAnsi="Segoe UI" w:cs="Segoe UI"/>
          <w:color w:val="1F2328"/>
          <w:kern w:val="0"/>
          <w14:ligatures w14:val="none"/>
        </w:rPr>
        <w:t xml:space="preserve">; and U.S. Census Bureau data (agsc5) for 2022, the latest available. </w:t>
      </w:r>
      <w:r w:rsidR="00650EF6">
        <w:rPr>
          <w:rFonts w:ascii="Segoe UI" w:eastAsia="Times New Roman" w:hAnsi="Segoe UI" w:cs="Segoe UI"/>
          <w:color w:val="1F2328"/>
          <w:kern w:val="0"/>
          <w14:ligatures w14:val="none"/>
        </w:rPr>
        <w:t>The former gives us a dataset of 8340 unique electric vehicles with which to work.</w:t>
      </w:r>
    </w:p>
    <w:p w14:paraId="3A677CF9" w14:textId="13D06039" w:rsidR="00260D66" w:rsidRPr="00412D5D" w:rsidRDefault="00260D66" w:rsidP="00260D66">
      <w:pPr>
        <w:numPr>
          <w:ilvl w:val="1"/>
          <w:numId w:val="1"/>
        </w:numPr>
        <w:shd w:val="clear" w:color="auto" w:fill="FFFFFF"/>
        <w:spacing w:before="100" w:beforeAutospacing="1" w:after="100" w:afterAutospacing="1"/>
        <w:rPr>
          <w:rFonts w:ascii="Segoe UI" w:eastAsia="Times New Roman" w:hAnsi="Segoe UI" w:cs="Segoe UI"/>
          <w:color w:val="1F2328"/>
          <w:kern w:val="0"/>
          <w:highlight w:val="yellow"/>
          <w14:ligatures w14:val="none"/>
        </w:rPr>
      </w:pPr>
      <w:r w:rsidRPr="00412D5D">
        <w:rPr>
          <w:rFonts w:ascii="Segoe UI" w:eastAsia="Times New Roman" w:hAnsi="Segoe UI" w:cs="Segoe UI"/>
          <w:color w:val="1F2328"/>
          <w:kern w:val="0"/>
          <w:highlight w:val="yellow"/>
          <w14:ligatures w14:val="none"/>
        </w:rPr>
        <w:t>Details of each dataset to highlight</w:t>
      </w:r>
      <w:r w:rsidR="00412D5D">
        <w:rPr>
          <w:rFonts w:ascii="Segoe UI" w:eastAsia="Times New Roman" w:hAnsi="Segoe UI" w:cs="Segoe UI"/>
          <w:color w:val="1F2328"/>
          <w:kern w:val="0"/>
          <w:highlight w:val="yellow"/>
          <w14:ligatures w14:val="none"/>
        </w:rPr>
        <w:t xml:space="preserve"> in brief explanation</w:t>
      </w:r>
      <w:r w:rsidRPr="00412D5D">
        <w:rPr>
          <w:rFonts w:ascii="Segoe UI" w:eastAsia="Times New Roman" w:hAnsi="Segoe UI" w:cs="Segoe UI"/>
          <w:color w:val="1F2328"/>
          <w:kern w:val="0"/>
          <w:highlight w:val="yellow"/>
          <w14:ligatures w14:val="none"/>
        </w:rPr>
        <w:t xml:space="preserve">: </w:t>
      </w:r>
    </w:p>
    <w:p w14:paraId="61424BB7" w14:textId="47ABA73A" w:rsidR="00260D66" w:rsidRPr="00260D66" w:rsidRDefault="00260D66" w:rsidP="00260D66">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In merging these two datasets, we created a thorough </w:t>
      </w:r>
      <w:proofErr w:type="spellStart"/>
      <w:r>
        <w:rPr>
          <w:rFonts w:ascii="Segoe UI" w:eastAsia="Times New Roman" w:hAnsi="Segoe UI" w:cs="Segoe UI"/>
          <w:color w:val="1F2328"/>
          <w:kern w:val="0"/>
          <w14:ligatures w14:val="none"/>
        </w:rPr>
        <w:t>dataframe</w:t>
      </w:r>
      <w:proofErr w:type="spellEnd"/>
      <w:r>
        <w:rPr>
          <w:rFonts w:ascii="Segoe UI" w:eastAsia="Times New Roman" w:hAnsi="Segoe UI" w:cs="Segoe UI"/>
          <w:color w:val="1F2328"/>
          <w:kern w:val="0"/>
          <w14:ligatures w14:val="none"/>
        </w:rPr>
        <w:t xml:space="preserve"> that provides us vehicular and population data necessary to test our hypotheses.</w:t>
      </w:r>
    </w:p>
    <w:p w14:paraId="0889B228" w14:textId="77777777" w:rsidR="00260D66" w:rsidRDefault="00260D66">
      <w:pPr>
        <w:rPr>
          <w:u w:val="single"/>
        </w:rPr>
      </w:pPr>
    </w:p>
    <w:p w14:paraId="607D1966" w14:textId="77777777" w:rsidR="00260D66" w:rsidRDefault="00260D66">
      <w:pPr>
        <w:rPr>
          <w:u w:val="single"/>
        </w:rPr>
      </w:pPr>
    </w:p>
    <w:p w14:paraId="78344C4C" w14:textId="25845351" w:rsidR="008F05D3" w:rsidRDefault="00260D66">
      <w:pPr>
        <w:rPr>
          <w:u w:val="single"/>
        </w:rPr>
      </w:pPr>
      <w:r>
        <w:rPr>
          <w:u w:val="single"/>
        </w:rPr>
        <w:t>The Role of Income</w:t>
      </w:r>
    </w:p>
    <w:p w14:paraId="4FD4A3A1" w14:textId="77777777" w:rsidR="008120A8" w:rsidRDefault="00650EF6">
      <w:r>
        <w:tab/>
        <w:t xml:space="preserve">Firstly, we predicted that income would have a positive correlation with the number of EVs </w:t>
      </w:r>
      <w:proofErr w:type="gramStart"/>
      <w:r>
        <w:t>in a given</w:t>
      </w:r>
      <w:proofErr w:type="gramEnd"/>
      <w:r>
        <w:t xml:space="preserve"> area. To delve into this hypothesis further, we methodologically organized all data by zip codes in Washington and started with the median household income and population of each zip code. </w:t>
      </w:r>
      <w:proofErr w:type="gramStart"/>
      <w:r>
        <w:t>In order to</w:t>
      </w:r>
      <w:proofErr w:type="gramEnd"/>
      <w:r>
        <w:t xml:space="preserve"> circumvent external biases, we arrived at the per capita variables for income and EV ownership, </w:t>
      </w:r>
      <w:r w:rsidR="00AB30A0">
        <w:t xml:space="preserve">converted into percentages, </w:t>
      </w:r>
      <w:r>
        <w:t xml:space="preserve">which we could then plot and analyze. In other words, we tried to level the </w:t>
      </w:r>
      <w:r w:rsidR="00AB30A0">
        <w:t xml:space="preserve">proverbial </w:t>
      </w:r>
      <w:r>
        <w:t>playing field across zip codes as much as possible, as we acknowledge that zip codes in metropolitan areas, like Seattle, near the coast differ in demographics than those in zip codes in more sparsely populated rural areas inland.</w:t>
      </w:r>
    </w:p>
    <w:p w14:paraId="689D815A" w14:textId="6A419ECE" w:rsidR="00650EF6" w:rsidRDefault="00650EF6">
      <w:r>
        <w:t xml:space="preserve"> </w:t>
      </w:r>
      <w:r w:rsidR="008120A8">
        <w:tab/>
      </w:r>
      <w:r w:rsidR="00C65480">
        <w:t xml:space="preserve">With </w:t>
      </w:r>
      <w:proofErr w:type="gramStart"/>
      <w:r w:rsidR="00C65480">
        <w:t>the majority of</w:t>
      </w:r>
      <w:proofErr w:type="gramEnd"/>
      <w:r w:rsidR="00C65480">
        <w:t xml:space="preserve"> our charts breaking data down by zip codes or by county, there is a precipitous drop in EVs outside of these former regions (e.g. King County around Seattle comprises 52% of total EV registrations in the entire Washington state).</w:t>
      </w:r>
      <w:r w:rsidR="00B071C0">
        <w:t xml:space="preserve"> We must admit, though, that fully understanding this dynamic requires external research to fill in the holes our datasets cannot. For example, Redmond, WA (in King County), zip code </w:t>
      </w:r>
      <w:r w:rsidR="00B071C0" w:rsidRPr="00B071C0">
        <w:t>98052</w:t>
      </w:r>
      <w:r w:rsidR="00B071C0">
        <w:t xml:space="preserve">, by sheer volume contains </w:t>
      </w:r>
      <w:r w:rsidR="00B071C0">
        <w:lastRenderedPageBreak/>
        <w:t>the most EVs by an exponential margin. The 2916 unique EVs registered there is numerically the most of all zip codes and translates to 3.77% of Population Percentage/EVs Per Capita, which is in the top three</w:t>
      </w:r>
      <w:r w:rsidR="008120A8">
        <w:t xml:space="preserve"> in the state</w:t>
      </w:r>
      <w:r w:rsidR="00B071C0">
        <w:t xml:space="preserve">. When one researches the </w:t>
      </w:r>
      <w:r w:rsidR="00F5788E">
        <w:t xml:space="preserve">brick-and-mortar </w:t>
      </w:r>
      <w:r w:rsidR="00B071C0">
        <w:t>make-up of Redmond, one easily realizes that it is the corporate headquarters of Microsoft—the workers of which would tend to be more technologically “savvy” and likely to be more amenable to EV ownership.</w:t>
      </w:r>
    </w:p>
    <w:p w14:paraId="784F23F9" w14:textId="77777777" w:rsidR="008120A8" w:rsidRDefault="008120A8"/>
    <w:p w14:paraId="722A4874" w14:textId="6130C865" w:rsidR="008120A8" w:rsidRPr="000E73BF" w:rsidRDefault="008120A8" w:rsidP="000E73BF">
      <w:pPr>
        <w:pStyle w:val="Heading3"/>
        <w:shd w:val="clear" w:color="auto" w:fill="F6F8FA"/>
        <w:spacing w:before="0"/>
        <w:textAlignment w:val="top"/>
        <w:rPr>
          <w:rFonts w:ascii="Segoe UI" w:hAnsi="Segoe UI" w:cs="Segoe UI"/>
          <w:color w:val="1F2328"/>
          <w:sz w:val="21"/>
          <w:szCs w:val="21"/>
        </w:rPr>
      </w:pPr>
      <w:r>
        <w:tab/>
        <w:t xml:space="preserve">To </w:t>
      </w:r>
      <w:r w:rsidR="00226AD4">
        <w:t xml:space="preserve">better assess the prevalence of EVs, we identified the ten zip codes with the highest EVs per capita. </w:t>
      </w:r>
      <w:r w:rsidR="000E73BF">
        <w:t xml:space="preserve">(See </w:t>
      </w:r>
      <w:hyperlink r:id="rId5" w:tooltip="Top 10 Zip Codes EV Per Capita.png" w:history="1">
        <w:r w:rsidR="000E73BF">
          <w:rPr>
            <w:rStyle w:val="Hyperlink"/>
            <w:rFonts w:ascii="Segoe UI" w:hAnsi="Segoe UI" w:cs="Segoe UI"/>
            <w:sz w:val="21"/>
            <w:szCs w:val="21"/>
          </w:rPr>
          <w:t>Top 10 Zip Codes EV Per Capita.png</w:t>
        </w:r>
      </w:hyperlink>
      <w:r w:rsidR="000E73BF">
        <w:rPr>
          <w:rFonts w:ascii="Segoe UI" w:hAnsi="Segoe UI" w:cs="Segoe UI"/>
          <w:color w:val="1F2328"/>
          <w:sz w:val="21"/>
          <w:szCs w:val="21"/>
        </w:rPr>
        <w:t xml:space="preserve">) </w:t>
      </w:r>
      <w:r w:rsidR="00777752">
        <w:t>In short, zip code 98134 leads the state with 18.45% of the population owning EVs, nearly twice that of the second zip code. The general trend showed a rather bifurcated EV per capita count overall, with there being a sizeable gap (of ~6-7%) between the mean top EV per capita zip codes and that of the bottom, all of which reported at less than 0.1% of the population.</w:t>
      </w:r>
      <w:r w:rsidR="000508BA">
        <w:t xml:space="preserve"> Thus, we see just how spread out our EV ownership data is across the state, with the urban areas near the coast far outweighing the rest of the state inland.</w:t>
      </w:r>
    </w:p>
    <w:p w14:paraId="3130CDAA" w14:textId="616BB450" w:rsidR="00FE061A" w:rsidRDefault="00FE061A"/>
    <w:p w14:paraId="2BBEB273" w14:textId="13F1580A" w:rsidR="000E73BF" w:rsidRPr="000E73BF" w:rsidRDefault="000E73BF">
      <w:pPr>
        <w:rPr>
          <w:u w:val="single"/>
        </w:rPr>
      </w:pPr>
      <w:r>
        <w:rPr>
          <w:u w:val="single"/>
        </w:rPr>
        <w:t>The Make of EVs</w:t>
      </w:r>
    </w:p>
    <w:p w14:paraId="43983456" w14:textId="29C570CC" w:rsidR="00CA210A" w:rsidRPr="00AD2921" w:rsidRDefault="00E80CD8" w:rsidP="00AD2921">
      <w:pPr>
        <w:pStyle w:val="Heading3"/>
        <w:shd w:val="clear" w:color="auto" w:fill="F6F8FA"/>
        <w:spacing w:before="0"/>
        <w:textAlignment w:val="top"/>
        <w:rPr>
          <w:rFonts w:ascii="Segoe UI" w:hAnsi="Segoe UI" w:cs="Segoe UI"/>
          <w:color w:val="1F2328"/>
          <w:sz w:val="21"/>
          <w:szCs w:val="21"/>
        </w:rPr>
      </w:pPr>
      <w:r>
        <w:tab/>
        <w:t>Since we set out to analyze the relationship of income and EV ownerships, we organized all EVs in our original dataset by Make. This allowed us to get a better sense of how luxury brands (i.e. Lexus, Mercedes, Land Rover, etc.) are faring in the EV market. We found a negative correlation between Per Capita Median Income and EV Ownership per Population (</w:t>
      </w:r>
      <w:proofErr w:type="spellStart"/>
      <w:r w:rsidRPr="00E80CD8">
        <w:rPr>
          <w:highlight w:val="yellow"/>
        </w:rPr>
        <w:t>r-value</w:t>
      </w:r>
      <w:proofErr w:type="spellEnd"/>
      <w:r w:rsidRPr="00E80CD8">
        <w:rPr>
          <w:highlight w:val="yellow"/>
        </w:rPr>
        <w:t xml:space="preserve"> </w:t>
      </w:r>
      <w:proofErr w:type="gramStart"/>
      <w:r w:rsidRPr="00E80CD8">
        <w:rPr>
          <w:highlight w:val="yellow"/>
        </w:rPr>
        <w:t>= ?</w:t>
      </w:r>
      <w:proofErr w:type="gramEnd"/>
      <w:r w:rsidRPr="00E80CD8">
        <w:rPr>
          <w:highlight w:val="yellow"/>
        </w:rPr>
        <w:t>)</w:t>
      </w:r>
      <w:r>
        <w:t xml:space="preserve">. After filtering the outliers, we </w:t>
      </w:r>
      <w:r w:rsidR="00CA210A">
        <w:t>saw</w:t>
      </w:r>
      <w:r>
        <w:t xml:space="preserve"> that, while higher income certainly allows for more spending power, the prevalence of expensive luxury EVs seems to be in its seed stage. In other words, because the higher Per Capita Income in an area does not denote that there will be more EVs in that area</w:t>
      </w:r>
      <w:r w:rsidR="00CA210A">
        <w:t>, there remains</w:t>
      </w:r>
      <w:r>
        <w:t xml:space="preserve"> speculation </w:t>
      </w:r>
      <w:r w:rsidR="00CA210A">
        <w:t xml:space="preserve">as to why </w:t>
      </w:r>
      <w:r>
        <w:t>the luxury</w:t>
      </w:r>
      <w:r w:rsidR="00CA210A">
        <w:t>, more costly</w:t>
      </w:r>
      <w:r>
        <w:t xml:space="preserve"> EV market</w:t>
      </w:r>
      <w:r w:rsidR="00CA210A">
        <w:t xml:space="preserve"> is so outnumbered compared to cheaper counterparts. This negative slope in </w:t>
      </w:r>
      <w:r w:rsidR="00AD2921">
        <w:t>“</w:t>
      </w:r>
      <w:r w:rsidR="00AD2921">
        <w:rPr>
          <w:rFonts w:ascii="Segoe UI" w:hAnsi="Segoe UI" w:cs="Segoe UI"/>
          <w:color w:val="1F2328"/>
          <w:sz w:val="21"/>
          <w:szCs w:val="21"/>
        </w:rPr>
        <w:fldChar w:fldCharType="begin"/>
      </w:r>
      <w:r w:rsidR="00AD2921">
        <w:rPr>
          <w:rFonts w:ascii="Segoe UI" w:hAnsi="Segoe UI" w:cs="Segoe UI"/>
          <w:color w:val="1F2328"/>
          <w:sz w:val="21"/>
          <w:szCs w:val="21"/>
        </w:rPr>
        <w:instrText>HYPERLINK "https://github.com/caelwillis/group-4-proj-1/blob/main/Graphs/EV-make-pc-Income-line.png" \o "EV-make-pc-Income-line.png"</w:instrText>
      </w:r>
      <w:r w:rsidR="00AD2921">
        <w:rPr>
          <w:rFonts w:ascii="Segoe UI" w:hAnsi="Segoe UI" w:cs="Segoe UI"/>
          <w:color w:val="1F2328"/>
          <w:sz w:val="21"/>
          <w:szCs w:val="21"/>
        </w:rPr>
      </w:r>
      <w:r w:rsidR="00AD2921">
        <w:rPr>
          <w:rFonts w:ascii="Segoe UI" w:hAnsi="Segoe UI" w:cs="Segoe UI"/>
          <w:color w:val="1F2328"/>
          <w:sz w:val="21"/>
          <w:szCs w:val="21"/>
        </w:rPr>
        <w:fldChar w:fldCharType="separate"/>
      </w:r>
      <w:r w:rsidR="00AD2921">
        <w:rPr>
          <w:rStyle w:val="Hyperlink"/>
          <w:rFonts w:ascii="Segoe UI" w:hAnsi="Segoe UI" w:cs="Segoe UI"/>
          <w:sz w:val="21"/>
          <w:szCs w:val="21"/>
        </w:rPr>
        <w:t>EV-make-pc-Income-</w:t>
      </w:r>
      <w:proofErr w:type="spellStart"/>
      <w:r w:rsidR="00AD2921">
        <w:rPr>
          <w:rStyle w:val="Hyperlink"/>
          <w:rFonts w:ascii="Segoe UI" w:hAnsi="Segoe UI" w:cs="Segoe UI"/>
          <w:sz w:val="21"/>
          <w:szCs w:val="21"/>
        </w:rPr>
        <w:t>line.png</w:t>
      </w:r>
      <w:r w:rsidR="00AD2921">
        <w:rPr>
          <w:rFonts w:ascii="Segoe UI" w:hAnsi="Segoe UI" w:cs="Segoe UI"/>
          <w:color w:val="1F2328"/>
          <w:sz w:val="21"/>
          <w:szCs w:val="21"/>
        </w:rPr>
        <w:fldChar w:fldCharType="end"/>
      </w:r>
      <w:r w:rsidR="00AD2921">
        <w:rPr>
          <w:rFonts w:ascii="Segoe UI" w:hAnsi="Segoe UI" w:cs="Segoe UI"/>
          <w:color w:val="1F2328"/>
          <w:sz w:val="21"/>
          <w:szCs w:val="21"/>
        </w:rPr>
        <w:t>”</w:t>
      </w:r>
      <w:r w:rsidR="00CA210A">
        <w:t>could</w:t>
      </w:r>
      <w:proofErr w:type="spellEnd"/>
      <w:r w:rsidR="00CA210A">
        <w:t xml:space="preserve"> also be indicative of general disinterest to buy and/or switch to EV vehicles amongst wealthier populations with traditional gas cars.</w:t>
      </w:r>
      <w:r w:rsidR="00ED6724">
        <w:t xml:space="preserve"> At the very least, we can conclude that EVs Per Capita are not indicative of the Per Capita Income</w:t>
      </w:r>
      <w:r w:rsidR="008E1A8E">
        <w:t>; rather, we see similar purchasing rates across socioeconomic areas with EVs of different Makes and prices being accessible to all.</w:t>
      </w:r>
    </w:p>
    <w:p w14:paraId="00EFCC80" w14:textId="7E762DAE" w:rsidR="00E80CD8" w:rsidRPr="00AD2921" w:rsidRDefault="00ED6724" w:rsidP="00AD2921">
      <w:pPr>
        <w:pStyle w:val="Heading3"/>
        <w:shd w:val="clear" w:color="auto" w:fill="F6F8FA"/>
        <w:spacing w:before="0"/>
        <w:ind w:firstLine="720"/>
        <w:textAlignment w:val="top"/>
        <w:rPr>
          <w:rFonts w:ascii="Segoe UI" w:hAnsi="Segoe UI" w:cs="Segoe UI"/>
          <w:color w:val="1F2328"/>
          <w:sz w:val="21"/>
          <w:szCs w:val="21"/>
        </w:rPr>
      </w:pPr>
      <w:r>
        <w:t xml:space="preserve">What we </w:t>
      </w:r>
      <w:r w:rsidR="00AD2921">
        <w:t>also did</w:t>
      </w:r>
      <w:r>
        <w:t xml:space="preserve"> find, as to be expected, was that, when using the Make of EV as the independent variable, its price/brand is strongly positively correlated to the Median Income Per Capita of the buyer. (</w:t>
      </w:r>
      <w:r w:rsidR="00AD2921">
        <w:t>see i</w:t>
      </w:r>
      <w:hyperlink r:id="rId6" w:tooltip="income_make_bar.png" w:history="1">
        <w:r w:rsidR="00AD2921">
          <w:rPr>
            <w:rStyle w:val="Hyperlink"/>
            <w:rFonts w:ascii="Segoe UI" w:hAnsi="Segoe UI" w:cs="Segoe UI"/>
            <w:sz w:val="21"/>
            <w:szCs w:val="21"/>
          </w:rPr>
          <w:t>ncome_make_bar.png</w:t>
        </w:r>
      </w:hyperlink>
      <w:r w:rsidR="00AD2921">
        <w:rPr>
          <w:rFonts w:ascii="Segoe UI" w:hAnsi="Segoe UI" w:cs="Segoe UI"/>
          <w:color w:val="1F2328"/>
          <w:sz w:val="21"/>
          <w:szCs w:val="21"/>
        </w:rPr>
        <w:t>) W</w:t>
      </w:r>
      <w:r w:rsidR="00E80CD8">
        <w:t xml:space="preserve">e used a bar graph to visualize the correlation between Median Per Capita Income and the specific EV Makes. As one might imagine, we found that Porsche, Land Rover, Volvo, and Audi purchases </w:t>
      </w:r>
      <w:r w:rsidR="00AD2921">
        <w:t>were the most numerous among</w:t>
      </w:r>
      <w:r w:rsidR="00E80CD8">
        <w:t xml:space="preserve"> </w:t>
      </w:r>
      <w:r w:rsidR="00AD2921">
        <w:t xml:space="preserve">those with </w:t>
      </w:r>
      <w:r w:rsidR="00E80CD8">
        <w:t>the highest incomes (all $</w:t>
      </w:r>
      <w:r w:rsidR="00AD2921">
        <w:t>6</w:t>
      </w:r>
      <w:r w:rsidR="00E80CD8">
        <w:t xml:space="preserve">0,000+ </w:t>
      </w:r>
      <w:r w:rsidR="00AD2921">
        <w:t>Median Income Per Capita</w:t>
      </w:r>
      <w:r w:rsidR="00E80CD8">
        <w:t xml:space="preserve">). On the other end of the spectrum, Mitsubishi, Cadillac, and Ford were the EV Makes most bought by those with lowest </w:t>
      </w:r>
      <w:r w:rsidR="00AD2921">
        <w:t xml:space="preserve">Median </w:t>
      </w:r>
      <w:r w:rsidR="00E80CD8">
        <w:t>Per Capita Income.</w:t>
      </w:r>
      <w:r w:rsidR="00DD16D7">
        <w:t xml:space="preserve"> We concede that we have not introduced other variables, such as MSRP and Model and Age,</w:t>
      </w:r>
      <w:r w:rsidR="00F80930">
        <w:t xml:space="preserve"> here</w:t>
      </w:r>
      <w:r w:rsidR="00DD16D7">
        <w:t xml:space="preserve"> into </w:t>
      </w:r>
      <w:r w:rsidR="00AD2921">
        <w:t>a multivariable</w:t>
      </w:r>
      <w:r w:rsidR="00DD16D7">
        <w:t xml:space="preserve"> correlation </w:t>
      </w:r>
      <w:r w:rsidR="00F80930">
        <w:t>but</w:t>
      </w:r>
      <w:r w:rsidR="00DD16D7">
        <w:t xml:space="preserve"> we feel that our chart</w:t>
      </w:r>
      <w:r w:rsidR="00AD2921">
        <w:t>s</w:t>
      </w:r>
      <w:r w:rsidR="00DD16D7">
        <w:t xml:space="preserve"> illustrat</w:t>
      </w:r>
      <w:r w:rsidR="00AD2921">
        <w:t>e</w:t>
      </w:r>
      <w:r w:rsidR="00DD16D7">
        <w:t xml:space="preserve"> our </w:t>
      </w:r>
      <w:r w:rsidR="005C228C">
        <w:t xml:space="preserve">overall analytical </w:t>
      </w:r>
      <w:r w:rsidR="00AD2921">
        <w:t>hypotheses</w:t>
      </w:r>
      <w:r w:rsidR="00DD16D7">
        <w:t>.</w:t>
      </w:r>
      <w:r w:rsidR="00E80CD8">
        <w:t xml:space="preserve"> </w:t>
      </w:r>
    </w:p>
    <w:p w14:paraId="3C700803" w14:textId="446773B0" w:rsidR="00650EF6" w:rsidRDefault="00AB30A0">
      <w:r>
        <w:tab/>
      </w:r>
    </w:p>
    <w:p w14:paraId="45951074" w14:textId="2CCB3A19" w:rsidR="00AB30A0" w:rsidRDefault="00AB30A0" w:rsidP="00AB30A0">
      <w:pPr>
        <w:rPr>
          <w:u w:val="single"/>
        </w:rPr>
      </w:pPr>
      <w:r>
        <w:rPr>
          <w:u w:val="single"/>
        </w:rPr>
        <w:t>The Type of EVs</w:t>
      </w:r>
      <w:r>
        <w:rPr>
          <w:u w:val="single"/>
        </w:rPr>
        <w:t xml:space="preserve"> to Support Our Hypothesis</w:t>
      </w:r>
    </w:p>
    <w:p w14:paraId="2056ACEB" w14:textId="4E540325" w:rsidR="000E73BF" w:rsidRDefault="00AB30A0" w:rsidP="000E73BF">
      <w:pPr>
        <w:pStyle w:val="Heading3"/>
        <w:shd w:val="clear" w:color="auto" w:fill="F6F8FA"/>
        <w:spacing w:before="0"/>
        <w:textAlignment w:val="top"/>
        <w:rPr>
          <w:rFonts w:ascii="Segoe UI" w:hAnsi="Segoe UI" w:cs="Segoe UI"/>
          <w:color w:val="1F2328"/>
          <w:sz w:val="21"/>
          <w:szCs w:val="21"/>
        </w:rPr>
      </w:pPr>
      <w:r>
        <w:lastRenderedPageBreak/>
        <w:tab/>
        <w:t>Two types of EVs we have differentiated are Battery Electric Vehicle (BEV) and P</w:t>
      </w:r>
      <w:r w:rsidRPr="00AB30A0">
        <w:t>lug-in Hybrid Electric Vehicle (PHEV)</w:t>
      </w:r>
      <w:r>
        <w:t>. In general, independent of the make, PHEVs are cheaper relatively to their BEV counterparts.</w:t>
      </w:r>
      <w:r w:rsidR="003C4671">
        <w:t xml:space="preserve"> </w:t>
      </w:r>
      <w:r w:rsidR="000E73BF">
        <w:t xml:space="preserve">In our charts measuring this relationship, we see that more PHEVs are purchased by a larger range of Median Incomes Per Capita, with the </w:t>
      </w:r>
      <w:r w:rsidR="000E73BF" w:rsidRPr="000E73BF">
        <w:rPr>
          <w:highlight w:val="yellow"/>
        </w:rPr>
        <w:t>*average</w:t>
      </w:r>
      <w:r w:rsidR="000E73BF">
        <w:t xml:space="preserve"> income being $50,000 per year versus nearly $60,000 for BEVs. (See </w:t>
      </w:r>
      <w:hyperlink r:id="rId7" w:tooltip="PHEV-box.png" w:history="1">
        <w:r w:rsidR="000E73BF">
          <w:rPr>
            <w:rStyle w:val="Hyperlink"/>
            <w:rFonts w:ascii="Segoe UI" w:hAnsi="Segoe UI" w:cs="Segoe UI"/>
            <w:sz w:val="21"/>
            <w:szCs w:val="21"/>
          </w:rPr>
          <w:t>PHEV-box.png</w:t>
        </w:r>
      </w:hyperlink>
      <w:r w:rsidR="000E73BF">
        <w:rPr>
          <w:rFonts w:ascii="Segoe UI" w:hAnsi="Segoe UI" w:cs="Segoe UI"/>
          <w:color w:val="1F2328"/>
          <w:sz w:val="21"/>
          <w:szCs w:val="21"/>
        </w:rPr>
        <w:t xml:space="preserve"> and </w:t>
      </w:r>
      <w:hyperlink r:id="rId8" w:tooltip="BEV-box.png" w:history="1">
        <w:r w:rsidR="000E73BF">
          <w:rPr>
            <w:rStyle w:val="Hyperlink"/>
            <w:rFonts w:ascii="Segoe UI" w:hAnsi="Segoe UI" w:cs="Segoe UI"/>
            <w:sz w:val="21"/>
            <w:szCs w:val="21"/>
          </w:rPr>
          <w:t>BEV-box.png</w:t>
        </w:r>
      </w:hyperlink>
      <w:r w:rsidR="000E73BF">
        <w:rPr>
          <w:rFonts w:ascii="Segoe UI" w:hAnsi="Segoe UI" w:cs="Segoe UI"/>
          <w:color w:val="1F2328"/>
          <w:sz w:val="21"/>
          <w:szCs w:val="21"/>
        </w:rPr>
        <w:t xml:space="preserve">) Also notable in the BEV box chart, we notice an outlier for BEVs at the $80,000 income level. Causes for this could be anything from spontaneous purchases or </w:t>
      </w:r>
      <w:r w:rsidR="000E73BF" w:rsidRPr="000E73BF">
        <w:rPr>
          <w:rFonts w:ascii="Segoe UI" w:hAnsi="Segoe UI" w:cs="Segoe UI"/>
          <w:color w:val="1F2328"/>
          <w:sz w:val="21"/>
          <w:szCs w:val="21"/>
          <w:highlight w:val="yellow"/>
        </w:rPr>
        <w:t>(</w:t>
      </w:r>
      <w:proofErr w:type="gramStart"/>
      <w:r w:rsidR="000E73BF" w:rsidRPr="000E73BF">
        <w:rPr>
          <w:rFonts w:ascii="Segoe UI" w:hAnsi="Segoe UI" w:cs="Segoe UI"/>
          <w:color w:val="1F2328"/>
          <w:sz w:val="21"/>
          <w:szCs w:val="21"/>
          <w:highlight w:val="yellow"/>
        </w:rPr>
        <w:t>…..?</w:t>
      </w:r>
      <w:proofErr w:type="gramEnd"/>
      <w:r w:rsidR="000E73BF" w:rsidRPr="000E73BF">
        <w:rPr>
          <w:rFonts w:ascii="Segoe UI" w:hAnsi="Segoe UI" w:cs="Segoe UI"/>
          <w:color w:val="1F2328"/>
          <w:sz w:val="21"/>
          <w:szCs w:val="21"/>
          <w:highlight w:val="yellow"/>
        </w:rPr>
        <w:t>)</w:t>
      </w:r>
      <w:r w:rsidR="000E73BF">
        <w:rPr>
          <w:rFonts w:ascii="Segoe UI" w:hAnsi="Segoe UI" w:cs="Segoe UI"/>
          <w:color w:val="1F2328"/>
          <w:sz w:val="21"/>
          <w:szCs w:val="21"/>
        </w:rPr>
        <w:t xml:space="preserve">. </w:t>
      </w:r>
    </w:p>
    <w:p w14:paraId="01CF4F6C" w14:textId="38348591" w:rsidR="000E73BF" w:rsidRDefault="000E73BF" w:rsidP="000E73BF">
      <w:pPr>
        <w:pStyle w:val="Heading3"/>
        <w:shd w:val="clear" w:color="auto" w:fill="F6F8FA"/>
        <w:spacing w:before="0"/>
        <w:textAlignment w:val="top"/>
        <w:rPr>
          <w:rFonts w:ascii="Segoe UI" w:hAnsi="Segoe UI" w:cs="Segoe UI"/>
          <w:color w:val="1F2328"/>
          <w:sz w:val="21"/>
          <w:szCs w:val="21"/>
        </w:rPr>
      </w:pPr>
    </w:p>
    <w:p w14:paraId="02A51C65" w14:textId="73C27F3B" w:rsidR="00AB30A0" w:rsidRDefault="000E73BF" w:rsidP="000E73BF">
      <w:pPr>
        <w:ind w:firstLine="720"/>
      </w:pPr>
      <w:r>
        <w:t>We</w:t>
      </w:r>
      <w:r w:rsidR="003C4671">
        <w:t xml:space="preserve"> can</w:t>
      </w:r>
      <w:r>
        <w:t xml:space="preserve"> also</w:t>
      </w:r>
      <w:r w:rsidR="003C4671">
        <w:t xml:space="preserve"> postulate that BEVs usually have longer electric ranges than PHEVs</w:t>
      </w:r>
      <w:r>
        <w:t xml:space="preserve"> </w:t>
      </w:r>
      <w:r w:rsidRPr="000E73BF">
        <w:rPr>
          <w:highlight w:val="yellow"/>
        </w:rPr>
        <w:t xml:space="preserve">(see </w:t>
      </w:r>
      <w:proofErr w:type="spellStart"/>
      <w:r w:rsidRPr="000E73BF">
        <w:rPr>
          <w:highlight w:val="yellow"/>
        </w:rPr>
        <w:t>dataframe</w:t>
      </w:r>
      <w:proofErr w:type="spellEnd"/>
      <w:r w:rsidRPr="000E73BF">
        <w:rPr>
          <w:highlight w:val="yellow"/>
        </w:rPr>
        <w:t xml:space="preserve"> </w:t>
      </w:r>
      <w:r w:rsidR="000D662E">
        <w:rPr>
          <w:highlight w:val="yellow"/>
        </w:rPr>
        <w:t>“</w:t>
      </w:r>
      <w:proofErr w:type="spellStart"/>
      <w:r w:rsidR="000D662E">
        <w:rPr>
          <w:highlight w:val="yellow"/>
        </w:rPr>
        <w:t>clean_merged_df</w:t>
      </w:r>
      <w:proofErr w:type="spellEnd"/>
      <w:r w:rsidR="000D662E" w:rsidRPr="000D662E">
        <w:rPr>
          <w:highlight w:val="yellow"/>
        </w:rPr>
        <w:t xml:space="preserve">” in </w:t>
      </w:r>
      <w:r w:rsidR="000D662E" w:rsidRPr="000D662E">
        <w:rPr>
          <w:highlight w:val="yellow"/>
        </w:rPr>
        <w:t>EV-ownership-</w:t>
      </w:r>
      <w:proofErr w:type="spellStart"/>
      <w:proofErr w:type="gramStart"/>
      <w:r w:rsidR="000D662E" w:rsidRPr="000D662E">
        <w:rPr>
          <w:highlight w:val="yellow"/>
        </w:rPr>
        <w:t>visuals.ipynb</w:t>
      </w:r>
      <w:proofErr w:type="spellEnd"/>
      <w:proofErr w:type="gramEnd"/>
      <w:r w:rsidRPr="000D662E">
        <w:rPr>
          <w:highlight w:val="yellow"/>
        </w:rPr>
        <w:t>).</w:t>
      </w:r>
      <w:r w:rsidR="003C4671">
        <w:t xml:space="preserve"> This disparity also has implications on the need for more densely located EV Charging Stations in areas where PHEVs are considerably more popular than BEVs. Our analysis did not delve into these relationships in detail; however, perhaps </w:t>
      </w:r>
      <w:r>
        <w:t>with</w:t>
      </w:r>
      <w:r w:rsidR="003C4671">
        <w:t xml:space="preserve"> a country-wide EDA with more diverse data</w:t>
      </w:r>
      <w:r w:rsidR="00F3211F">
        <w:t>sets</w:t>
      </w:r>
      <w:r w:rsidR="00CA210A">
        <w:t xml:space="preserve"> and larger distances (e.g. EVs traveling on interstates)</w:t>
      </w:r>
      <w:r w:rsidR="003C4671">
        <w:t xml:space="preserve">, we would be able to </w:t>
      </w:r>
      <w:r w:rsidR="00E80CD8">
        <w:t>show</w:t>
      </w:r>
      <w:r w:rsidR="003C4671">
        <w:t xml:space="preserve"> </w:t>
      </w:r>
      <w:r w:rsidR="00E80CD8">
        <w:t>these</w:t>
      </w:r>
      <w:r w:rsidR="003C4671">
        <w:t xml:space="preserve"> </w:t>
      </w:r>
      <w:r w:rsidR="00F3211F">
        <w:t>relationships with numerical data</w:t>
      </w:r>
      <w:r w:rsidR="00E80CD8">
        <w:t xml:space="preserve"> </w:t>
      </w:r>
      <w:r w:rsidR="00CA210A">
        <w:t>not bound by</w:t>
      </w:r>
      <w:r w:rsidR="00E80CD8">
        <w:t xml:space="preserve"> confounding variables</w:t>
      </w:r>
      <w:r w:rsidR="003C4671">
        <w:t>.</w:t>
      </w:r>
    </w:p>
    <w:p w14:paraId="743D2458" w14:textId="2E9D7FA4" w:rsidR="002D045D" w:rsidRDefault="00CA210A">
      <w:r>
        <w:tab/>
        <w:t xml:space="preserve"> </w:t>
      </w:r>
    </w:p>
    <w:p w14:paraId="16F0A454" w14:textId="77777777" w:rsidR="002D045D" w:rsidRDefault="002D045D"/>
    <w:p w14:paraId="6C675D7C" w14:textId="21B1EC3F" w:rsidR="00650EF6" w:rsidRDefault="00650EF6">
      <w:r>
        <w:rPr>
          <w:u w:val="single"/>
        </w:rPr>
        <w:t>The Role of EV Charging Stations</w:t>
      </w:r>
    </w:p>
    <w:p w14:paraId="250C5564" w14:textId="0BA1129D" w:rsidR="00AB30A0" w:rsidRDefault="00650EF6">
      <w:r>
        <w:tab/>
        <w:t xml:space="preserve">Just as gas stations are essential to the infrastructural capacity of traditional vehicles, charging stations play an important role in providing access to EV ownership. As in the prior section, we hypothesized a positive correlation between EV Charging Stations and the Number of EVs in that area, as well as between EV Charging Stations and area Income. Again, we parsed our data points so that our metrics are all per capita and by zip codes. </w:t>
      </w:r>
      <w:r w:rsidR="00AB30A0">
        <w:t xml:space="preserve">For example, we calculated the EV Charging Stations per capita by presenting the number of them in each </w:t>
      </w:r>
      <w:proofErr w:type="spellStart"/>
      <w:r w:rsidR="00AB30A0">
        <w:t>zipcode</w:t>
      </w:r>
      <w:proofErr w:type="spellEnd"/>
      <w:r w:rsidR="00AB30A0">
        <w:t xml:space="preserve"> as a percentage of that zip code’s population. Thereby, our results would not be skewed by the reality that larger </w:t>
      </w:r>
      <w:r w:rsidR="000E73BF">
        <w:t xml:space="preserve">and more </w:t>
      </w:r>
      <w:r w:rsidR="00AB30A0">
        <w:t>populated areas able to purchase EVs would most likely necessitate more stations.</w:t>
      </w:r>
    </w:p>
    <w:p w14:paraId="1ED37898" w14:textId="6615B2E6" w:rsidR="000D662E" w:rsidRDefault="000E73BF" w:rsidP="000D662E">
      <w:pPr>
        <w:pStyle w:val="Heading3"/>
        <w:shd w:val="clear" w:color="auto" w:fill="F6F8FA"/>
        <w:spacing w:before="0"/>
        <w:textAlignment w:val="top"/>
        <w:rPr>
          <w:rFonts w:ascii="Segoe UI" w:hAnsi="Segoe UI" w:cs="Segoe UI"/>
          <w:color w:val="1F2328"/>
          <w:sz w:val="21"/>
          <w:szCs w:val="21"/>
        </w:rPr>
      </w:pPr>
      <w:r>
        <w:tab/>
        <w:t xml:space="preserve">We noticed a couple of important relationships. </w:t>
      </w:r>
      <w:r w:rsidR="000D662E">
        <w:t xml:space="preserve">Our bar graph </w:t>
      </w:r>
      <w:hyperlink r:id="rId9" w:tooltip="bar_top_charging_stations.png" w:history="1">
        <w:r w:rsidR="000D662E">
          <w:rPr>
            <w:rStyle w:val="Hyperlink"/>
            <w:rFonts w:ascii="Segoe UI" w:hAnsi="Segoe UI" w:cs="Segoe UI"/>
            <w:sz w:val="21"/>
            <w:szCs w:val="21"/>
          </w:rPr>
          <w:t>bar_top_charging_stations.png</w:t>
        </w:r>
      </w:hyperlink>
      <w:r w:rsidR="000D662E">
        <w:rPr>
          <w:rFonts w:ascii="Segoe UI" w:hAnsi="Segoe UI" w:cs="Segoe UI"/>
          <w:color w:val="1F2328"/>
          <w:sz w:val="21"/>
          <w:szCs w:val="21"/>
        </w:rPr>
        <w:t xml:space="preserve"> shows the 10 zip codes with the largest Charging Station Percentage of Population. Most notably, any strong correlation between income and charging stations is absent; thus, the initial presumption that “richer” areas would necessarily have more “modern” infrastructure features, in this case charging stations, falls short. Zip code 98757 has the highest Per Capita Charging Stations and a quick look into this area shows that it is on the edge of Olympic National Park. This leads one to surmise that EV Charging Stations are perhaps better studied in terms of strategic location in conjunction with public funding abilities.</w:t>
      </w:r>
    </w:p>
    <w:p w14:paraId="0346E240" w14:textId="5420F42F" w:rsidR="00C17E12" w:rsidRDefault="00C17E12" w:rsidP="00C17E12">
      <w:pPr>
        <w:pStyle w:val="Heading3"/>
        <w:shd w:val="clear" w:color="auto" w:fill="F6F8FA"/>
        <w:spacing w:before="0"/>
        <w:textAlignment w:val="top"/>
        <w:rPr>
          <w:rFonts w:ascii="Segoe UI" w:hAnsi="Segoe UI" w:cs="Segoe UI"/>
          <w:color w:val="1F2328"/>
          <w:sz w:val="21"/>
          <w:szCs w:val="21"/>
        </w:rPr>
      </w:pPr>
      <w:r>
        <w:tab/>
        <w:t xml:space="preserve">To support this, we graphed the a bar chart showing highest Per Capita Income Zip Codes vs their Per Capita Charging Stations (%) (see </w:t>
      </w:r>
      <w:hyperlink r:id="rId10" w:tooltip="bar_wealthy_charging_stations.png" w:history="1">
        <w:r>
          <w:rPr>
            <w:rStyle w:val="Hyperlink"/>
            <w:rFonts w:ascii="Segoe UI" w:hAnsi="Segoe UI" w:cs="Segoe UI"/>
            <w:sz w:val="21"/>
            <w:szCs w:val="21"/>
          </w:rPr>
          <w:t>bar_wealthy_charging_stations.png</w:t>
        </w:r>
      </w:hyperlink>
      <w:r>
        <w:rPr>
          <w:rFonts w:ascii="Segoe UI" w:hAnsi="Segoe UI" w:cs="Segoe UI"/>
          <w:color w:val="1F2328"/>
          <w:sz w:val="21"/>
          <w:szCs w:val="21"/>
        </w:rPr>
        <w:t xml:space="preserve">). There was no </w:t>
      </w:r>
      <w:proofErr w:type="gramStart"/>
      <w:r>
        <w:rPr>
          <w:rFonts w:ascii="Segoe UI" w:hAnsi="Segoe UI" w:cs="Segoe UI"/>
          <w:color w:val="1F2328"/>
          <w:sz w:val="21"/>
          <w:szCs w:val="21"/>
        </w:rPr>
        <w:t>particular correlation</w:t>
      </w:r>
      <w:proofErr w:type="gramEnd"/>
      <w:r>
        <w:rPr>
          <w:rFonts w:ascii="Segoe UI" w:hAnsi="Segoe UI" w:cs="Segoe UI"/>
          <w:color w:val="1F2328"/>
          <w:sz w:val="21"/>
          <w:szCs w:val="21"/>
        </w:rPr>
        <w:t xml:space="preserve"> noticeable. In fact, when we regressed the two variables, we arrived at a </w:t>
      </w:r>
      <w:r w:rsidR="005523E3">
        <w:rPr>
          <w:rFonts w:ascii="Segoe UI" w:hAnsi="Segoe UI" w:cs="Segoe UI"/>
          <w:color w:val="1F2328"/>
          <w:sz w:val="21"/>
          <w:szCs w:val="21"/>
        </w:rPr>
        <w:t xml:space="preserve">near zero </w:t>
      </w:r>
      <w:proofErr w:type="spellStart"/>
      <w:r w:rsidR="005523E3">
        <w:rPr>
          <w:rFonts w:ascii="Segoe UI" w:hAnsi="Segoe UI" w:cs="Segoe UI"/>
          <w:color w:val="1F2328"/>
          <w:sz w:val="21"/>
          <w:szCs w:val="21"/>
        </w:rPr>
        <w:t>r-value</w:t>
      </w:r>
      <w:proofErr w:type="spellEnd"/>
      <w:r w:rsidR="005523E3">
        <w:rPr>
          <w:rFonts w:ascii="Segoe UI" w:hAnsi="Segoe UI" w:cs="Segoe UI"/>
          <w:color w:val="1F2328"/>
          <w:sz w:val="21"/>
          <w:szCs w:val="21"/>
        </w:rPr>
        <w:t xml:space="preserve"> of 0.12, denoting a very weak positive correlation. </w:t>
      </w:r>
      <w:r w:rsidR="005523E3" w:rsidRPr="005051EE">
        <w:rPr>
          <w:rFonts w:ascii="Segoe UI" w:hAnsi="Segoe UI" w:cs="Segoe UI"/>
          <w:color w:val="1F2328"/>
          <w:sz w:val="21"/>
          <w:szCs w:val="21"/>
          <w:highlight w:val="yellow"/>
        </w:rPr>
        <w:t xml:space="preserve">See </w:t>
      </w:r>
      <w:r w:rsidR="005051EE" w:rsidRPr="005051EE">
        <w:rPr>
          <w:rFonts w:ascii="Segoe UI" w:hAnsi="Segoe UI" w:cs="Segoe UI"/>
          <w:color w:val="1F2328"/>
          <w:sz w:val="21"/>
          <w:szCs w:val="21"/>
          <w:highlight w:val="yellow"/>
        </w:rPr>
        <w:t>SCATTER</w:t>
      </w:r>
    </w:p>
    <w:p w14:paraId="536F1C43" w14:textId="77777777" w:rsidR="00DF6DE6" w:rsidRDefault="00DF6DE6" w:rsidP="00DF6DE6"/>
    <w:p w14:paraId="5467B49F" w14:textId="6ABA301C" w:rsidR="005051EE" w:rsidRDefault="005051EE" w:rsidP="00DF6DE6">
      <w:r w:rsidRPr="005051EE">
        <w:rPr>
          <w:highlight w:val="yellow"/>
        </w:rPr>
        <w:t xml:space="preserve">What other considerations do we want to discuss??? Tell me what I’ve </w:t>
      </w:r>
      <w:proofErr w:type="gramStart"/>
      <w:r w:rsidRPr="005051EE">
        <w:rPr>
          <w:highlight w:val="yellow"/>
        </w:rPr>
        <w:t>missed</w:t>
      </w:r>
      <w:proofErr w:type="gramEnd"/>
      <w:r w:rsidRPr="005051EE">
        <w:rPr>
          <w:highlight w:val="yellow"/>
        </w:rPr>
        <w:t xml:space="preserve"> and I’ll add it and make it sound pretty. Then will write a concise Conclusion.</w:t>
      </w:r>
    </w:p>
    <w:p w14:paraId="09E55916" w14:textId="77777777" w:rsidR="005051EE" w:rsidRDefault="005051EE" w:rsidP="00DF6DE6"/>
    <w:p w14:paraId="45DAC9BF" w14:textId="5EBADADC" w:rsidR="00DF6DE6" w:rsidRPr="00DF6DE6" w:rsidRDefault="00DF6DE6" w:rsidP="00DF6DE6">
      <w:r>
        <w:t>Conclusion:</w:t>
      </w:r>
    </w:p>
    <w:p w14:paraId="4B1A060A" w14:textId="51625FC8" w:rsidR="00C17E12" w:rsidRPr="00C17E12" w:rsidRDefault="00C17E12" w:rsidP="00C17E12"/>
    <w:p w14:paraId="52155248" w14:textId="31C61EE9" w:rsidR="000E73BF" w:rsidRDefault="000E73BF"/>
    <w:p w14:paraId="18F93A06" w14:textId="77777777" w:rsidR="00AB30A0" w:rsidRDefault="00AB30A0"/>
    <w:p w14:paraId="21A547DA" w14:textId="554AE9E6" w:rsidR="00650EF6" w:rsidRDefault="00650EF6"/>
    <w:p w14:paraId="31455BAE" w14:textId="77777777" w:rsidR="00B071C0" w:rsidRPr="00650EF6" w:rsidRDefault="00B071C0"/>
    <w:p w14:paraId="12363B7F" w14:textId="58B73A4B" w:rsidR="00260D66" w:rsidRDefault="00260D66"/>
    <w:p w14:paraId="7BC49B41" w14:textId="77777777" w:rsidR="002D045D" w:rsidRDefault="002D045D"/>
    <w:p w14:paraId="70A23F14" w14:textId="77777777" w:rsidR="002D045D" w:rsidRPr="002D045D" w:rsidRDefault="002D045D" w:rsidP="002D045D">
      <w:pPr>
        <w:spacing w:before="300" w:after="225"/>
        <w:outlineLvl w:val="3"/>
        <w:rPr>
          <w:rFonts w:ascii="Roboto" w:eastAsia="Times New Roman" w:hAnsi="Roboto" w:cs="Times New Roman"/>
          <w:b/>
          <w:bCs/>
          <w:kern w:val="0"/>
          <w:sz w:val="29"/>
          <w:szCs w:val="29"/>
          <w14:ligatures w14:val="none"/>
        </w:rPr>
      </w:pPr>
      <w:r w:rsidRPr="002D045D">
        <w:rPr>
          <w:rFonts w:ascii="Roboto" w:eastAsia="Times New Roman" w:hAnsi="Roboto" w:cs="Times New Roman"/>
          <w:b/>
          <w:bCs/>
          <w:kern w:val="0"/>
          <w:sz w:val="29"/>
          <w:szCs w:val="29"/>
          <w14:ligatures w14:val="none"/>
        </w:rPr>
        <w:t>Analysis and Conclusion (20 points)</w:t>
      </w:r>
    </w:p>
    <w:p w14:paraId="1B5ADF79" w14:textId="77777777" w:rsidR="002D045D" w:rsidRPr="002D045D" w:rsidRDefault="002D045D" w:rsidP="002D045D">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D045D">
        <w:rPr>
          <w:rFonts w:ascii="Roboto" w:eastAsia="Times New Roman" w:hAnsi="Roboto" w:cs="Times New Roman"/>
          <w:color w:val="2B2B2B"/>
          <w:kern w:val="0"/>
          <w:sz w:val="30"/>
          <w:szCs w:val="30"/>
          <w14:ligatures w14:val="none"/>
        </w:rPr>
        <w:t>Write-up summarizes major findings and implications at a professional level (5 points)</w:t>
      </w:r>
    </w:p>
    <w:p w14:paraId="083BEC84" w14:textId="77777777" w:rsidR="002D045D" w:rsidRPr="002D045D" w:rsidRDefault="002D045D" w:rsidP="002D045D">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D045D">
        <w:rPr>
          <w:rFonts w:ascii="Roboto" w:eastAsia="Times New Roman" w:hAnsi="Roboto" w:cs="Times New Roman"/>
          <w:color w:val="2B2B2B"/>
          <w:kern w:val="0"/>
          <w:sz w:val="30"/>
          <w:szCs w:val="30"/>
          <w14:ligatures w14:val="none"/>
        </w:rPr>
        <w:t>Each question in the project proposal is answered with precise descriptions and findings (5 points)</w:t>
      </w:r>
    </w:p>
    <w:p w14:paraId="7DED4955" w14:textId="77777777" w:rsidR="002D045D" w:rsidRPr="002D045D" w:rsidRDefault="002D045D" w:rsidP="002D045D">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D045D">
        <w:rPr>
          <w:rFonts w:ascii="Roboto" w:eastAsia="Times New Roman" w:hAnsi="Roboto" w:cs="Times New Roman"/>
          <w:color w:val="2B2B2B"/>
          <w:kern w:val="0"/>
          <w:sz w:val="30"/>
          <w:szCs w:val="30"/>
          <w14:ligatures w14:val="none"/>
        </w:rPr>
        <w:t>Findings are strongly supported with numbers and visualizations (5 points)</w:t>
      </w:r>
    </w:p>
    <w:p w14:paraId="132349BA" w14:textId="77777777" w:rsidR="002D045D" w:rsidRPr="002D045D" w:rsidRDefault="002D045D" w:rsidP="002D045D">
      <w:pPr>
        <w:numPr>
          <w:ilvl w:val="0"/>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2D045D">
        <w:rPr>
          <w:rFonts w:ascii="Roboto" w:eastAsia="Times New Roman" w:hAnsi="Roboto" w:cs="Times New Roman"/>
          <w:color w:val="2B2B2B"/>
          <w:kern w:val="0"/>
          <w:sz w:val="30"/>
          <w:szCs w:val="30"/>
          <w14:ligatures w14:val="none"/>
        </w:rPr>
        <w:t>Each question response is supported with a well-discerned statistical analysis from lessons (e.g., aggregation, correlation, comparison, summary statistics, sentiment analysis, and time series analysis) (5 points)</w:t>
      </w:r>
    </w:p>
    <w:p w14:paraId="499A5312" w14:textId="77777777" w:rsidR="002D045D" w:rsidRDefault="002D045D"/>
    <w:sectPr w:rsidR="002D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615"/>
    <w:multiLevelType w:val="multilevel"/>
    <w:tmpl w:val="C906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92FB5"/>
    <w:multiLevelType w:val="multilevel"/>
    <w:tmpl w:val="E418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671276">
    <w:abstractNumId w:val="0"/>
  </w:num>
  <w:num w:numId="2" w16cid:durableId="215119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D3"/>
    <w:rsid w:val="000508BA"/>
    <w:rsid w:val="000A1002"/>
    <w:rsid w:val="000D662E"/>
    <w:rsid w:val="000E73BF"/>
    <w:rsid w:val="001007A6"/>
    <w:rsid w:val="001F6BD2"/>
    <w:rsid w:val="00226AD4"/>
    <w:rsid w:val="00260D66"/>
    <w:rsid w:val="00273CFE"/>
    <w:rsid w:val="002D045D"/>
    <w:rsid w:val="003C4671"/>
    <w:rsid w:val="00412D5D"/>
    <w:rsid w:val="005051EE"/>
    <w:rsid w:val="005523E3"/>
    <w:rsid w:val="005C228C"/>
    <w:rsid w:val="00650EF6"/>
    <w:rsid w:val="00777752"/>
    <w:rsid w:val="007F505B"/>
    <w:rsid w:val="008120A8"/>
    <w:rsid w:val="008E1A8E"/>
    <w:rsid w:val="008F05D3"/>
    <w:rsid w:val="00A767CA"/>
    <w:rsid w:val="00AB30A0"/>
    <w:rsid w:val="00AD2921"/>
    <w:rsid w:val="00B071C0"/>
    <w:rsid w:val="00C17E12"/>
    <w:rsid w:val="00C65480"/>
    <w:rsid w:val="00CA210A"/>
    <w:rsid w:val="00D53027"/>
    <w:rsid w:val="00DD16D7"/>
    <w:rsid w:val="00DF6DE6"/>
    <w:rsid w:val="00E426AD"/>
    <w:rsid w:val="00E80CD8"/>
    <w:rsid w:val="00ED6724"/>
    <w:rsid w:val="00F3211F"/>
    <w:rsid w:val="00F5788E"/>
    <w:rsid w:val="00F80930"/>
    <w:rsid w:val="00FE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8BEDC"/>
  <w15:chartTrackingRefBased/>
  <w15:docId w15:val="{8549918A-E5FE-D240-9711-00E6BBFC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D29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D045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D6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2D045D"/>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rsid w:val="00AD292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AD2921"/>
    <w:rPr>
      <w:color w:val="0000FF"/>
      <w:u w:val="single"/>
    </w:rPr>
  </w:style>
  <w:style w:type="character" w:styleId="FollowedHyperlink">
    <w:name w:val="FollowedHyperlink"/>
    <w:basedOn w:val="DefaultParagraphFont"/>
    <w:uiPriority w:val="99"/>
    <w:semiHidden/>
    <w:unhideWhenUsed/>
    <w:rsid w:val="00AD29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768">
      <w:bodyDiv w:val="1"/>
      <w:marLeft w:val="0"/>
      <w:marRight w:val="0"/>
      <w:marTop w:val="0"/>
      <w:marBottom w:val="0"/>
      <w:divBdr>
        <w:top w:val="none" w:sz="0" w:space="0" w:color="auto"/>
        <w:left w:val="none" w:sz="0" w:space="0" w:color="auto"/>
        <w:bottom w:val="none" w:sz="0" w:space="0" w:color="auto"/>
        <w:right w:val="none" w:sz="0" w:space="0" w:color="auto"/>
      </w:divBdr>
      <w:divsChild>
        <w:div w:id="630792564">
          <w:marLeft w:val="0"/>
          <w:marRight w:val="0"/>
          <w:marTop w:val="0"/>
          <w:marBottom w:val="0"/>
          <w:divBdr>
            <w:top w:val="none" w:sz="0" w:space="0" w:color="auto"/>
            <w:left w:val="none" w:sz="0" w:space="0" w:color="auto"/>
            <w:bottom w:val="none" w:sz="0" w:space="0" w:color="auto"/>
            <w:right w:val="none" w:sz="0" w:space="0" w:color="auto"/>
          </w:divBdr>
        </w:div>
      </w:divsChild>
    </w:div>
    <w:div w:id="314645014">
      <w:bodyDiv w:val="1"/>
      <w:marLeft w:val="0"/>
      <w:marRight w:val="0"/>
      <w:marTop w:val="0"/>
      <w:marBottom w:val="0"/>
      <w:divBdr>
        <w:top w:val="none" w:sz="0" w:space="0" w:color="auto"/>
        <w:left w:val="none" w:sz="0" w:space="0" w:color="auto"/>
        <w:bottom w:val="none" w:sz="0" w:space="0" w:color="auto"/>
        <w:right w:val="none" w:sz="0" w:space="0" w:color="auto"/>
      </w:divBdr>
    </w:div>
    <w:div w:id="368268020">
      <w:bodyDiv w:val="1"/>
      <w:marLeft w:val="0"/>
      <w:marRight w:val="0"/>
      <w:marTop w:val="0"/>
      <w:marBottom w:val="0"/>
      <w:divBdr>
        <w:top w:val="none" w:sz="0" w:space="0" w:color="auto"/>
        <w:left w:val="none" w:sz="0" w:space="0" w:color="auto"/>
        <w:bottom w:val="none" w:sz="0" w:space="0" w:color="auto"/>
        <w:right w:val="none" w:sz="0" w:space="0" w:color="auto"/>
      </w:divBdr>
      <w:divsChild>
        <w:div w:id="1022629883">
          <w:marLeft w:val="0"/>
          <w:marRight w:val="0"/>
          <w:marTop w:val="0"/>
          <w:marBottom w:val="0"/>
          <w:divBdr>
            <w:top w:val="none" w:sz="0" w:space="0" w:color="auto"/>
            <w:left w:val="none" w:sz="0" w:space="0" w:color="auto"/>
            <w:bottom w:val="none" w:sz="0" w:space="0" w:color="auto"/>
            <w:right w:val="none" w:sz="0" w:space="0" w:color="auto"/>
          </w:divBdr>
        </w:div>
      </w:divsChild>
    </w:div>
    <w:div w:id="936600461">
      <w:bodyDiv w:val="1"/>
      <w:marLeft w:val="0"/>
      <w:marRight w:val="0"/>
      <w:marTop w:val="0"/>
      <w:marBottom w:val="0"/>
      <w:divBdr>
        <w:top w:val="none" w:sz="0" w:space="0" w:color="auto"/>
        <w:left w:val="none" w:sz="0" w:space="0" w:color="auto"/>
        <w:bottom w:val="none" w:sz="0" w:space="0" w:color="auto"/>
        <w:right w:val="none" w:sz="0" w:space="0" w:color="auto"/>
      </w:divBdr>
      <w:divsChild>
        <w:div w:id="874275191">
          <w:marLeft w:val="0"/>
          <w:marRight w:val="0"/>
          <w:marTop w:val="0"/>
          <w:marBottom w:val="0"/>
          <w:divBdr>
            <w:top w:val="none" w:sz="0" w:space="0" w:color="auto"/>
            <w:left w:val="none" w:sz="0" w:space="0" w:color="auto"/>
            <w:bottom w:val="none" w:sz="0" w:space="0" w:color="auto"/>
            <w:right w:val="none" w:sz="0" w:space="0" w:color="auto"/>
          </w:divBdr>
        </w:div>
      </w:divsChild>
    </w:div>
    <w:div w:id="998461915">
      <w:bodyDiv w:val="1"/>
      <w:marLeft w:val="0"/>
      <w:marRight w:val="0"/>
      <w:marTop w:val="0"/>
      <w:marBottom w:val="0"/>
      <w:divBdr>
        <w:top w:val="none" w:sz="0" w:space="0" w:color="auto"/>
        <w:left w:val="none" w:sz="0" w:space="0" w:color="auto"/>
        <w:bottom w:val="none" w:sz="0" w:space="0" w:color="auto"/>
        <w:right w:val="none" w:sz="0" w:space="0" w:color="auto"/>
      </w:divBdr>
    </w:div>
    <w:div w:id="1024790646">
      <w:bodyDiv w:val="1"/>
      <w:marLeft w:val="0"/>
      <w:marRight w:val="0"/>
      <w:marTop w:val="0"/>
      <w:marBottom w:val="0"/>
      <w:divBdr>
        <w:top w:val="none" w:sz="0" w:space="0" w:color="auto"/>
        <w:left w:val="none" w:sz="0" w:space="0" w:color="auto"/>
        <w:bottom w:val="none" w:sz="0" w:space="0" w:color="auto"/>
        <w:right w:val="none" w:sz="0" w:space="0" w:color="auto"/>
      </w:divBdr>
      <w:divsChild>
        <w:div w:id="1280840437">
          <w:marLeft w:val="0"/>
          <w:marRight w:val="0"/>
          <w:marTop w:val="0"/>
          <w:marBottom w:val="0"/>
          <w:divBdr>
            <w:top w:val="none" w:sz="0" w:space="0" w:color="auto"/>
            <w:left w:val="none" w:sz="0" w:space="0" w:color="auto"/>
            <w:bottom w:val="none" w:sz="0" w:space="0" w:color="auto"/>
            <w:right w:val="none" w:sz="0" w:space="0" w:color="auto"/>
          </w:divBdr>
        </w:div>
      </w:divsChild>
    </w:div>
    <w:div w:id="1164050996">
      <w:bodyDiv w:val="1"/>
      <w:marLeft w:val="0"/>
      <w:marRight w:val="0"/>
      <w:marTop w:val="0"/>
      <w:marBottom w:val="0"/>
      <w:divBdr>
        <w:top w:val="none" w:sz="0" w:space="0" w:color="auto"/>
        <w:left w:val="none" w:sz="0" w:space="0" w:color="auto"/>
        <w:bottom w:val="none" w:sz="0" w:space="0" w:color="auto"/>
        <w:right w:val="none" w:sz="0" w:space="0" w:color="auto"/>
      </w:divBdr>
    </w:div>
    <w:div w:id="1220020782">
      <w:bodyDiv w:val="1"/>
      <w:marLeft w:val="0"/>
      <w:marRight w:val="0"/>
      <w:marTop w:val="0"/>
      <w:marBottom w:val="0"/>
      <w:divBdr>
        <w:top w:val="none" w:sz="0" w:space="0" w:color="auto"/>
        <w:left w:val="none" w:sz="0" w:space="0" w:color="auto"/>
        <w:bottom w:val="none" w:sz="0" w:space="0" w:color="auto"/>
        <w:right w:val="none" w:sz="0" w:space="0" w:color="auto"/>
      </w:divBdr>
      <w:divsChild>
        <w:div w:id="609819899">
          <w:marLeft w:val="0"/>
          <w:marRight w:val="0"/>
          <w:marTop w:val="0"/>
          <w:marBottom w:val="0"/>
          <w:divBdr>
            <w:top w:val="none" w:sz="0" w:space="0" w:color="auto"/>
            <w:left w:val="none" w:sz="0" w:space="0" w:color="auto"/>
            <w:bottom w:val="none" w:sz="0" w:space="0" w:color="auto"/>
            <w:right w:val="none" w:sz="0" w:space="0" w:color="auto"/>
          </w:divBdr>
        </w:div>
      </w:divsChild>
    </w:div>
    <w:div w:id="1300301766">
      <w:bodyDiv w:val="1"/>
      <w:marLeft w:val="0"/>
      <w:marRight w:val="0"/>
      <w:marTop w:val="0"/>
      <w:marBottom w:val="0"/>
      <w:divBdr>
        <w:top w:val="none" w:sz="0" w:space="0" w:color="auto"/>
        <w:left w:val="none" w:sz="0" w:space="0" w:color="auto"/>
        <w:bottom w:val="none" w:sz="0" w:space="0" w:color="auto"/>
        <w:right w:val="none" w:sz="0" w:space="0" w:color="auto"/>
      </w:divBdr>
      <w:divsChild>
        <w:div w:id="2033139862">
          <w:marLeft w:val="0"/>
          <w:marRight w:val="0"/>
          <w:marTop w:val="0"/>
          <w:marBottom w:val="0"/>
          <w:divBdr>
            <w:top w:val="none" w:sz="0" w:space="0" w:color="auto"/>
            <w:left w:val="none" w:sz="0" w:space="0" w:color="auto"/>
            <w:bottom w:val="none" w:sz="0" w:space="0" w:color="auto"/>
            <w:right w:val="none" w:sz="0" w:space="0" w:color="auto"/>
          </w:divBdr>
        </w:div>
      </w:divsChild>
    </w:div>
    <w:div w:id="1619026176">
      <w:bodyDiv w:val="1"/>
      <w:marLeft w:val="0"/>
      <w:marRight w:val="0"/>
      <w:marTop w:val="0"/>
      <w:marBottom w:val="0"/>
      <w:divBdr>
        <w:top w:val="none" w:sz="0" w:space="0" w:color="auto"/>
        <w:left w:val="none" w:sz="0" w:space="0" w:color="auto"/>
        <w:bottom w:val="none" w:sz="0" w:space="0" w:color="auto"/>
        <w:right w:val="none" w:sz="0" w:space="0" w:color="auto"/>
      </w:divBdr>
      <w:divsChild>
        <w:div w:id="84524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elwillis/group-4-proj-1/blob/main/Graphs/BEV-box.png" TargetMode="External"/><Relationship Id="rId3" Type="http://schemas.openxmlformats.org/officeDocument/2006/relationships/settings" Target="settings.xml"/><Relationship Id="rId7" Type="http://schemas.openxmlformats.org/officeDocument/2006/relationships/hyperlink" Target="https://github.com/caelwillis/group-4-proj-1/blob/main/Graphs/PHEV-box.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elwillis/group-4-proj-1/blob/main/Graphs/income_make_bar.png" TargetMode="External"/><Relationship Id="rId11" Type="http://schemas.openxmlformats.org/officeDocument/2006/relationships/fontTable" Target="fontTable.xml"/><Relationship Id="rId5" Type="http://schemas.openxmlformats.org/officeDocument/2006/relationships/hyperlink" Target="https://github.com/caelwillis/group-4-proj-1/blob/main/Graphs/Top%2010%20Zip%20Codes%20EV%20Per%20Capita.png" TargetMode="External"/><Relationship Id="rId10" Type="http://schemas.openxmlformats.org/officeDocument/2006/relationships/hyperlink" Target="https://github.com/caelwillis/group-4-proj-1/blob/dev-michael/Graphs/bar_wealthy_charging_stations.png" TargetMode="External"/><Relationship Id="rId4" Type="http://schemas.openxmlformats.org/officeDocument/2006/relationships/webSettings" Target="webSettings.xml"/><Relationship Id="rId9" Type="http://schemas.openxmlformats.org/officeDocument/2006/relationships/hyperlink" Target="https://github.com/caelwillis/group-4-proj-1/blob/dev-michael/Graphs/bar_top_charging_statio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Fudge</dc:creator>
  <cp:keywords/>
  <dc:description/>
  <cp:lastModifiedBy>Craig Fudge</cp:lastModifiedBy>
  <cp:revision>15</cp:revision>
  <dcterms:created xsi:type="dcterms:W3CDTF">2024-01-18T00:38:00Z</dcterms:created>
  <dcterms:modified xsi:type="dcterms:W3CDTF">2024-01-18T16:40:00Z</dcterms:modified>
</cp:coreProperties>
</file>