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B23" w14:textId="71BAD117" w:rsidR="00644A8C" w:rsidRPr="00644A8C" w:rsidRDefault="00644A8C" w:rsidP="00644A8C">
      <w:pPr>
        <w:pStyle w:val="ListParagraph"/>
        <w:numPr>
          <w:ilvl w:val="0"/>
          <w:numId w:val="2"/>
        </w:numPr>
        <w:spacing w:line="360" w:lineRule="auto"/>
        <w:rPr>
          <w:b/>
          <w:bCs/>
        </w:rPr>
      </w:pPr>
      <w:r w:rsidRPr="00644A8C">
        <w:rPr>
          <w:b/>
          <w:bCs/>
        </w:rPr>
        <w:t>“Is there a strong correlation between the number of EV charging stations in an area, and EV ownership?”</w:t>
      </w:r>
    </w:p>
    <w:p w14:paraId="5F34E969" w14:textId="77777777" w:rsidR="0002763A" w:rsidRDefault="0002763A" w:rsidP="0002763A">
      <w:pPr>
        <w:ind w:left="360"/>
      </w:pPr>
      <w:r>
        <w:t>To determine if there is a correlation between these two factors, our group first obtained a dataset from Transportation.gov listing all public charging EV charging stations in the state of Washington. Next, we ranked the top 10 zip codes according to their population of charging stations, and compared those to the top 10 zip codes by EV ownership.</w:t>
      </w:r>
    </w:p>
    <w:p w14:paraId="5AE0C01B" w14:textId="77777777" w:rsidR="0002763A" w:rsidRDefault="0002763A" w:rsidP="0002763A">
      <w:pPr>
        <w:ind w:left="360"/>
      </w:pPr>
    </w:p>
    <w:p w14:paraId="7793609B" w14:textId="63DCB2B7" w:rsidR="00A2500C" w:rsidRDefault="00CD6F21" w:rsidP="00A04E33">
      <w:pPr>
        <w:ind w:left="360"/>
      </w:pPr>
      <w:r>
        <w:t>Surprisingly</w:t>
      </w:r>
      <w:r w:rsidR="0002763A">
        <w:t xml:space="preserve">, </w:t>
      </w:r>
      <w:r>
        <w:t xml:space="preserve">of our top 10 zip codes with the most EV ownership, </w:t>
      </w:r>
      <w:r w:rsidR="00A04E33">
        <w:t>not many</w:t>
      </w:r>
      <w:r>
        <w:t xml:space="preserve"> also appeared on the list of zip codes with the most charging stations. </w:t>
      </w:r>
      <w:r w:rsidR="00A04E33">
        <w:t xml:space="preserve">Upon graphing this data in a scatterplot and calculating a linear regression we </w:t>
      </w:r>
      <w:r w:rsidR="009E02AB">
        <w:t>get</w:t>
      </w:r>
      <w:r w:rsidR="00A04E33">
        <w:t xml:space="preserve"> </w:t>
      </w:r>
      <w:r w:rsidR="009E02AB">
        <w:t>a</w:t>
      </w:r>
      <w:r w:rsidR="00A04E33">
        <w:t xml:space="preserve"> R-Value </w:t>
      </w:r>
      <w:r w:rsidR="009E02AB">
        <w:t>of</w:t>
      </w:r>
      <w:r w:rsidR="00A04E33">
        <w:t xml:space="preserve"> ~ </w:t>
      </w:r>
      <w:r w:rsidR="00A04E33" w:rsidRPr="00A04E33">
        <w:t>0.4</w:t>
      </w:r>
      <w:r w:rsidR="00A04E33">
        <w:t xml:space="preserve">6. </w:t>
      </w:r>
      <w:r>
        <w:t>This supports that there is not a strong correlation between the charging stations available in an area and one’s likelihood to own an electric vehicle.</w:t>
      </w:r>
    </w:p>
    <w:sectPr w:rsidR="00A2500C" w:rsidSect="00807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44F9B"/>
    <w:multiLevelType w:val="hybridMultilevel"/>
    <w:tmpl w:val="3910A01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E3C06"/>
    <w:multiLevelType w:val="hybridMultilevel"/>
    <w:tmpl w:val="DAB29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2871588">
    <w:abstractNumId w:val="1"/>
  </w:num>
  <w:num w:numId="2" w16cid:durableId="280110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8C"/>
    <w:rsid w:val="0002763A"/>
    <w:rsid w:val="0047170C"/>
    <w:rsid w:val="00644A8C"/>
    <w:rsid w:val="0080745D"/>
    <w:rsid w:val="009E02AB"/>
    <w:rsid w:val="00A0318C"/>
    <w:rsid w:val="00A04E33"/>
    <w:rsid w:val="00A2500C"/>
    <w:rsid w:val="00B81326"/>
    <w:rsid w:val="00CD6F21"/>
    <w:rsid w:val="00F04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2F3F3A"/>
  <w15:chartTrackingRefBased/>
  <w15:docId w15:val="{54AC79CA-80F7-E04F-A307-1EF225F0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Cael Willis</dc:creator>
  <cp:keywords/>
  <dc:description/>
  <cp:lastModifiedBy>Cael Willis</cp:lastModifiedBy>
  <cp:revision>4</cp:revision>
  <dcterms:created xsi:type="dcterms:W3CDTF">2024-01-13T18:31:00Z</dcterms:created>
  <dcterms:modified xsi:type="dcterms:W3CDTF">2024-01-16T16:18:00Z</dcterms:modified>
</cp:coreProperties>
</file>