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20"/>
        <w:pBdr>
          <w:bottom w:val="single" w:sz="6" w:space="4" w:color="D0D7DE"/>
        </w:pBdr>
      </w:pPr>
      <w:r>
        <w:rPr>
          <w:b/>
          <w:color w:val="0F172A"/>
          <w:sz w:val="36"/>
        </w:rPr>
        <w:t>md2docx</w:t>
      </w:r>
    </w:p>
    <w:p>
      <w:pPr>
        <w:spacing w:before="0" w:after="80"/>
      </w:pPr>
      <w:r>
        <w:t>Converte arquivos Markdown (</w:t>
      </w:r>
      <w:r>
        <w:rPr>
          <w:rFonts w:ascii="Consolas" w:hAnsi="Consolas"/>
          <w:color w:val="1E293B"/>
          <w:sz w:val="18"/>
          <w:shd w:val="clear" w:color="auto" w:fill="F1F5F9"/>
        </w:rPr>
        <w:t>.md</w:t>
      </w:r>
      <w:r>
        <w:t xml:space="preserve"> / </w:t>
      </w:r>
      <w:r>
        <w:rPr>
          <w:rFonts w:ascii="Consolas" w:hAnsi="Consolas"/>
          <w:color w:val="1E293B"/>
          <w:sz w:val="18"/>
          <w:shd w:val="clear" w:color="auto" w:fill="F1F5F9"/>
        </w:rPr>
        <w:t>.markdown</w:t>
      </w:r>
      <w:r>
        <w:t>) em documentos Word do Microsoft Office (</w:t>
      </w:r>
      <w:r>
        <w:rPr>
          <w:rFonts w:ascii="Consolas" w:hAnsi="Consolas"/>
          <w:color w:val="1E293B"/>
          <w:sz w:val="18"/>
          <w:shd w:val="clear" w:color="auto" w:fill="F1F5F9"/>
        </w:rPr>
        <w:t>.docx</w:t>
      </w:r>
      <w:r>
        <w:t xml:space="preserve">) com alta fidelidade visual, preservando a experiência de visualização do Markdown. Inclui suporte nativo para conversão automática de diagramas (Mermaid, PlantUML, Graphviz) em arquivos vetoriais </w:t>
      </w:r>
      <w:r>
        <w:rPr>
          <w:b/>
        </w:rPr>
        <w:t>SVG</w:t>
      </w:r>
      <w:r>
        <w:t xml:space="preserve"> salvos no disco e incorporados diretamente no documento Word.</w:t>
      </w:r>
    </w:p>
    <w:p>
      <w:pPr>
        <w:keepNext/>
        <w:spacing w:before="280" w:after="80"/>
        <w:pBdr>
          <w:bottom w:val="single" w:sz="4" w:space="4" w:color="EAECEF"/>
        </w:pBdr>
      </w:pPr>
      <w:r>
        <w:rPr>
          <w:b/>
          <w:color w:val="1E293B"/>
          <w:sz w:val="28"/>
        </w:rPr>
        <w:t>Recursos e Fidelidade Visual</w:t>
      </w:r>
    </w:p>
    <w:p>
      <w:pPr>
        <w:pStyle w:val="ListBullet"/>
        <w:spacing w:before="0" w:after="40"/>
        <w:ind w:left="360"/>
      </w:pPr>
      <w:r>
        <w:t>Compatibilidade Word (.docx):</w:t>
      </w:r>
      <w:r>
        <w:t xml:space="preserve"> Gera arquivos DOCX modernos compatíveis com Word 365, Word 2016-2021, Word Online e LibreOffice.</w:t>
      </w:r>
    </w:p>
    <w:p>
      <w:pPr>
        <w:pStyle w:val="ListBullet"/>
        <w:spacing w:before="0" w:after="40"/>
        <w:ind w:left="360"/>
      </w:pPr>
      <w:r>
        <w:t>Diagramas Vetoriais SVG:</w:t>
      </w:r>
      <w:r>
        <w:t xml:space="preserve"> Quando um diagrama (ex: </w:t>
      </w:r>
      <w:r>
        <w:t>mermaid ...</w:t>
      </w:r>
      <w:r>
        <w:t>) está presente no Markdown:</w:t>
      </w:r>
    </w:p>
    <w:p>
      <w:pPr>
        <w:pStyle w:val="ListBullet"/>
        <w:spacing w:before="0" w:after="40"/>
        <w:ind w:left="360"/>
      </w:pPr>
      <w:r>
        <w:t xml:space="preserve">Gera e salva um arquivo </w:t>
      </w:r>
      <w:r>
        <w:t>.svg</w:t>
      </w:r>
      <w:r>
        <w:t xml:space="preserve"> de alta resolução no disco.</w:t>
      </w:r>
    </w:p>
    <w:p>
      <w:pPr>
        <w:pStyle w:val="ListBullet"/>
        <w:spacing w:before="0" w:after="40"/>
        <w:ind w:left="360"/>
      </w:pPr>
      <w:r>
        <w:t>Incorpora o SVG no documento Word usando extensões nativas DrawingML (</w:t>
      </w:r>
      <w:r>
        <w:t>asvg:svgBlip</w:t>
      </w:r>
      <w:r>
        <w:t>) com fallback rasterizado para máxima compatibilidade.</w:t>
      </w:r>
    </w:p>
    <w:p>
      <w:pPr>
        <w:pStyle w:val="ListBullet"/>
        <w:spacing w:before="0" w:after="40"/>
        <w:ind w:left="360"/>
      </w:pPr>
      <w:r>
        <w:t>Títulos e Estrutura:</w:t>
      </w:r>
      <w:r>
        <w:t xml:space="preserve"> Cabeçalhos </w:t>
      </w:r>
      <w:r>
        <w:t>H1</w:t>
      </w:r>
      <w:r>
        <w:t xml:space="preserve"> a </w:t>
      </w:r>
      <w:r>
        <w:t>H6</w:t>
      </w:r>
      <w:r>
        <w:t xml:space="preserve"> estilizados no padrão moderno com linhas divisórias de destaque (</w:t>
      </w:r>
      <w:r>
        <w:t>H1</w:t>
      </w:r>
      <w:r>
        <w:t xml:space="preserve">, </w:t>
      </w:r>
      <w:r>
        <w:t>H2</w:t>
      </w:r>
      <w:r>
        <w:t>) e prevenção contra linhas órfãs (</w:t>
      </w:r>
      <w:r>
        <w:t>keep_with_next</w:t>
      </w:r>
      <w:r>
        <w:t>).</w:t>
      </w:r>
    </w:p>
    <w:p>
      <w:pPr>
        <w:pStyle w:val="ListBullet"/>
        <w:spacing w:before="0" w:after="40"/>
        <w:ind w:left="360"/>
      </w:pPr>
      <w:r>
        <w:t>Tabelas Estilizadas:</w:t>
      </w:r>
      <w:r>
        <w:t xml:space="preserve"> Cabeçalho com sombreamento diferenciado, repetição em múltiplas páginas (</w:t>
      </w:r>
      <w:r>
        <w:t>tblHeader</w:t>
      </w:r>
      <w:r>
        <w:t>), prevenção de quebra de linhas (</w:t>
      </w:r>
      <w:r>
        <w:t>cantSplit</w:t>
      </w:r>
      <w:r>
        <w:t>), alinhamento de colunas (</w:t>
      </w:r>
      <w:r>
        <w:t>:---</w:t>
      </w:r>
      <w:r>
        <w:t xml:space="preserve">, </w:t>
      </w:r>
      <w:r>
        <w:t>:---:</w:t>
      </w:r>
      <w:r>
        <w:t xml:space="preserve">, </w:t>
      </w:r>
      <w:r>
        <w:t>---:</w:t>
      </w:r>
      <w:r>
        <w:t>) e zebra striping.</w:t>
      </w:r>
    </w:p>
    <w:p>
      <w:pPr>
        <w:pStyle w:val="ListBullet"/>
        <w:spacing w:before="0" w:after="40"/>
        <w:ind w:left="360"/>
      </w:pPr>
      <w:r>
        <w:t>Blocos de Código e Sintaxe:</w:t>
      </w:r>
      <w:r>
        <w:t xml:space="preserve"> Blocos de código em container sombreado com fonte monoespaçada (</w:t>
      </w:r>
      <w:r>
        <w:t>Consolas</w:t>
      </w:r>
      <w:r>
        <w:t>), bordas suaves e preservação de recuos e quebras.</w:t>
      </w:r>
    </w:p>
    <w:p>
      <w:pPr>
        <w:pStyle w:val="ListBullet"/>
        <w:spacing w:before="0" w:after="40"/>
        <w:ind w:left="360"/>
      </w:pPr>
      <w:r>
        <w:t>Código Inline:</w:t>
      </w:r>
      <w:r>
        <w:t xml:space="preserve"> Destaque monoespaçado com fundo cinza suave (</w:t>
      </w:r>
      <w:r>
        <w:t>#F1F5F9</w:t>
      </w:r>
      <w:r>
        <w:t>).</w:t>
      </w:r>
    </w:p>
    <w:p>
      <w:pPr>
        <w:pStyle w:val="ListBullet"/>
        <w:spacing w:before="0" w:after="40"/>
        <w:ind w:left="360"/>
      </w:pPr>
      <w:r>
        <w:t>Fórmulas e Expressões Matemáticas:</w:t>
      </w:r>
      <w:r>
        <w:t xml:space="preserve"> Normalização e renderização limpa de expressões LaTeX e símbolos matemáticos comuns (</w:t>
      </w:r>
      <w:r>
        <w:t>∩</w:t>
      </w:r>
      <w:r>
        <w:t xml:space="preserve">, </w:t>
      </w:r>
      <w:r>
        <w:t>∅</w:t>
      </w:r>
      <w:r>
        <w:t xml:space="preserve">, </w:t>
      </w:r>
      <w:r>
        <w:t>×</w:t>
      </w:r>
      <w:r>
        <w:t xml:space="preserve">, </w:t>
      </w:r>
      <w:r>
        <w:t>→</w:t>
      </w:r>
      <w:r>
        <w:t xml:space="preserve">, </w:t>
      </w:r>
      <w:r>
        <w:t>≤</w:t>
      </w:r>
      <w:r>
        <w:t xml:space="preserve">, </w:t>
      </w:r>
      <w:r>
        <w:t>≥</w:t>
      </w:r>
      <w:r>
        <w:t>, etc.).</w:t>
      </w:r>
    </w:p>
    <w:p>
      <w:pPr>
        <w:pStyle w:val="ListBullet"/>
        <w:spacing w:before="0" w:after="40"/>
        <w:ind w:left="360"/>
      </w:pPr>
      <w:r>
        <w:t>Listas e Tarefas:</w:t>
      </w:r>
      <w:r>
        <w:t xml:space="preserve"> Listas com marcadores e numeradas com níveis de indentação preservados e caixas de seleção interativas (</w:t>
      </w:r>
      <w:r>
        <w:t>☐</w:t>
      </w:r>
      <w:r>
        <w:t xml:space="preserve">, </w:t>
      </w:r>
      <w:r>
        <w:t>☑</w:t>
      </w:r>
      <w:r>
        <w:t>).</w:t>
      </w:r>
    </w:p>
    <w:p>
      <w:pPr>
        <w:pStyle w:val="ListBullet"/>
        <w:spacing w:before="0" w:after="40"/>
        <w:ind w:left="360"/>
      </w:pPr>
      <w:r>
        <w:t>Citações (</w:t>
      </w:r>
      <w:r>
        <w:rPr>
          <w:rFonts w:ascii="Consolas" w:hAnsi="Consolas"/>
          <w:color w:val="1E293B"/>
          <w:sz w:val="18"/>
          <w:shd w:val="clear" w:color="auto" w:fill="F1F5F9"/>
        </w:rPr>
        <w:t>blockquote</w:t>
      </w:r>
      <w:r>
        <w:t>):</w:t>
      </w:r>
      <w:r>
        <w:t xml:space="preserve"> Caixas de destaque com borda lateral colorida e fundo suave.</w:t>
      </w:r>
    </w:p>
    <w:p>
      <w:pPr>
        <w:pStyle w:val="ListBullet"/>
        <w:spacing w:before="0" w:after="40"/>
        <w:ind w:left="360"/>
      </w:pPr>
      <w:r>
        <w:t>Rodapé com Paginação:</w:t>
      </w:r>
      <w:r>
        <w:t xml:space="preserve"> Numeração dinâmica de páginas no rodapé do documento.</w:t>
      </w:r>
    </w:p>
    <w:p>
      <w:pPr>
        <w:pStyle w:val="ListBullet"/>
        <w:spacing w:before="0" w:after="40"/>
        <w:ind w:left="360"/>
      </w:pPr>
      <w:r>
        <w:t>Imagens:</w:t>
      </w:r>
      <w:r>
        <w:t xml:space="preserve"> Resolução e ajuste automático de imagens locais e URLs externas à largura imprimível da página.</w:t>
      </w:r>
    </w:p>
    <w:p>
      <w:pPr>
        <w:keepNext/>
        <w:spacing w:before="280" w:after="80"/>
        <w:pBdr>
          <w:bottom w:val="single" w:sz="4" w:space="4" w:color="EAECEF"/>
        </w:pBdr>
      </w:pPr>
      <w:r>
        <w:rPr>
          <w:b/>
          <w:color w:val="1E293B"/>
          <w:sz w:val="28"/>
        </w:rPr>
        <w:t>Instalação</w:t>
      </w:r>
    </w:p>
    <w:p>
      <w:pPr>
        <w:spacing w:before="0" w:after="80"/>
      </w:pPr>
      <w:r>
        <w:t>Requer Python 3.9+.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# A partir da raiz do projeto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python -m venv .venv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.venv\Scripts\activate        # Windows (cmd/PowerShell)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# source .venv/bin/activate   # Linux/macOS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pip install -e .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t>Isso instala as dependências (</w:t>
      </w:r>
      <w:r>
        <w:rPr>
          <w:rFonts w:ascii="Consolas" w:hAnsi="Consolas"/>
          <w:color w:val="1E293B"/>
          <w:sz w:val="18"/>
          <w:shd w:val="clear" w:color="auto" w:fill="F1F5F9"/>
        </w:rPr>
        <w:t>markdown</w:t>
      </w:r>
      <w:r>
        <w:t xml:space="preserve">, </w:t>
      </w:r>
      <w:r>
        <w:rPr>
          <w:rFonts w:ascii="Consolas" w:hAnsi="Consolas"/>
          <w:color w:val="1E293B"/>
          <w:sz w:val="18"/>
          <w:shd w:val="clear" w:color="auto" w:fill="F1F5F9"/>
        </w:rPr>
        <w:t>python-docx</w:t>
      </w:r>
      <w:r>
        <w:t xml:space="preserve">, </w:t>
      </w:r>
      <w:r>
        <w:rPr>
          <w:rFonts w:ascii="Consolas" w:hAnsi="Consolas"/>
          <w:color w:val="1E293B"/>
          <w:sz w:val="18"/>
          <w:shd w:val="clear" w:color="auto" w:fill="F1F5F9"/>
        </w:rPr>
        <w:t>beautifulsoup4</w:t>
      </w:r>
      <w:r>
        <w:t xml:space="preserve">, </w:t>
      </w:r>
      <w:r>
        <w:rPr>
          <w:rFonts w:ascii="Consolas" w:hAnsi="Consolas"/>
          <w:color w:val="1E293B"/>
          <w:sz w:val="18"/>
          <w:shd w:val="clear" w:color="auto" w:fill="F1F5F9"/>
        </w:rPr>
        <w:t>pillow</w:t>
      </w:r>
      <w:r>
        <w:t xml:space="preserve">, </w:t>
      </w:r>
      <w:r>
        <w:rPr>
          <w:rFonts w:ascii="Consolas" w:hAnsi="Consolas"/>
          <w:color w:val="1E293B"/>
          <w:sz w:val="18"/>
          <w:shd w:val="clear" w:color="auto" w:fill="F1F5F9"/>
        </w:rPr>
        <w:t>pygments</w:t>
      </w:r>
      <w:r>
        <w:t xml:space="preserve">) e disponibiliza o comando </w:t>
      </w:r>
      <w:r>
        <w:rPr>
          <w:rFonts w:ascii="Consolas" w:hAnsi="Consolas"/>
          <w:color w:val="1E293B"/>
          <w:sz w:val="18"/>
          <w:shd w:val="clear" w:color="auto" w:fill="F1F5F9"/>
        </w:rPr>
        <w:t>md2docx</w:t>
      </w:r>
      <w:r>
        <w:t xml:space="preserve"> (e o alias </w:t>
      </w:r>
      <w:r>
        <w:rPr>
          <w:rFonts w:ascii="Consolas" w:hAnsi="Consolas"/>
          <w:color w:val="1E293B"/>
          <w:sz w:val="18"/>
          <w:shd w:val="clear" w:color="auto" w:fill="F1F5F9"/>
        </w:rPr>
        <w:t>md2pdf</w:t>
      </w:r>
      <w:r>
        <w:t>) no terminal.</w:t>
      </w:r>
    </w:p>
    <w:p>
      <w:pPr>
        <w:spacing w:before="0" w:after="80"/>
      </w:pPr>
      <w:r>
        <w:t>Alternativamente, para usar diretamente sem instalar o pacote: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pip install -r requirements.txt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python -m md2docx &lt;argumentos&gt;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  <w:pBdr>
          <w:bottom w:val="single" w:sz="4" w:space="4" w:color="EAECEF"/>
        </w:pBdr>
      </w:pPr>
      <w:r>
        <w:rPr>
          <w:b/>
          <w:color w:val="1E293B"/>
          <w:sz w:val="28"/>
        </w:rPr>
        <w:t>Uso Básico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md2docx [entrada] [opções]</w:t>
            </w:r>
          </w:p>
        </w:tc>
      </w:tr>
    </w:tbl>
    <w:p>
      <w:pPr>
        <w:spacing w:before="0" w:after="80"/>
      </w:pPr>
    </w:p>
    <w:p>
      <w:pPr>
        <w:pStyle w:val="ListBullet"/>
        <w:spacing w:before="0" w:after="40"/>
        <w:ind w:left="360"/>
      </w:pPr>
      <w:r>
        <w:t>entrada</w:t>
      </w:r>
      <w:r>
        <w:t xml:space="preserve">: pasta ou arquivo Markdown específico. </w:t>
      </w:r>
      <w:r>
        <w:t>Padrão: pasta atual (</w:t>
      </w:r>
      <w:r>
        <w:rPr>
          <w:rFonts w:ascii="Consolas" w:hAnsi="Consolas"/>
          <w:color w:val="1E293B"/>
          <w:sz w:val="18"/>
          <w:shd w:val="clear" w:color="auto" w:fill="F1F5F9"/>
        </w:rPr>
        <w:t>.</w:t>
      </w:r>
      <w:r>
        <w:t>)</w:t>
      </w:r>
      <w:r>
        <w:t>.</w:t>
      </w:r>
    </w:p>
    <w:p>
      <w:pPr>
        <w:pStyle w:val="ListBullet"/>
        <w:spacing w:before="0" w:after="40"/>
        <w:ind w:left="360"/>
      </w:pPr>
      <w:r>
        <w:t xml:space="preserve">Se for uma pasta, todos os arquivos </w:t>
      </w:r>
      <w:r>
        <w:t>.md</w:t>
      </w:r>
      <w:r>
        <w:t>/</w:t>
      </w:r>
      <w:r>
        <w:t>.markdown</w:t>
      </w:r>
      <w:r>
        <w:t xml:space="preserve"> que casarem com </w:t>
      </w:r>
      <w:r>
        <w:t>--pattern</w:t>
      </w:r>
      <w:r>
        <w:t xml:space="preserve"> serão convertidos.</w:t>
      </w:r>
    </w:p>
    <w:p>
      <w:pPr>
        <w:pStyle w:val="ListBullet"/>
        <w:spacing w:before="0" w:after="40"/>
        <w:ind w:left="360"/>
      </w:pPr>
      <w:r>
        <w:t>Se for um arquivo específico, apenas ele é convertido.</w:t>
      </w:r>
    </w:p>
    <w:p>
      <w:pPr>
        <w:keepNext/>
        <w:spacing w:before="200" w:after="60"/>
      </w:pPr>
      <w:r>
        <w:rPr>
          <w:b/>
          <w:color w:val="334155"/>
          <w:sz w:val="24"/>
        </w:rPr>
        <w:t>Exemplos</w:t>
      </w:r>
    </w:p>
    <w:p>
      <w:pPr>
        <w:spacing w:before="0" w:after="80"/>
      </w:pPr>
      <w:r>
        <w:t>Converter todos os arquivos Markdown da pasta atual: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md2docx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t>Converter todos os arquivos de uma pasta específica: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md2docx C:\Documentos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t>Converter um único arquivo: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md2docx C:\Documentos\relatorio.md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t>Usar um filtro (wildcard) para selecionar apenas alguns arquivos da pasta: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md2docx C:\Documentos --pattern "relatorio_2026_*.md"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t>Gerar documento Word em orientação horizontal (paisagem):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md2docx C:\Documentos\relatorio.md --orientation horizontal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t>Definir o tamanho da fonte base (padrão: 10pt):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md2docx C:\Documentos\relatorio.md --font-size 11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t>Definir o formato da página (A4, Letter ou Legal):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md2docx C:\Documentos\relatorio.md --page-size letter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t>Aplicar um arquivo CSS com estilos personalizados (cores, fontes e bordas):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md2docx C:\Documentos\relatorio.md --css estilos.css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t>Salvar os arquivos Word e diagramas SVG em uma pasta de destino específica: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md2docx C:\Documentos --output-dir C:\Documentos\Word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t>Sobrescrever o documento caso já exista no destino: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md2docx C:\Documentos\relatorio.md --overwrite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  <w:pBdr>
          <w:bottom w:val="single" w:sz="4" w:space="4" w:color="EAECEF"/>
        </w:pBdr>
      </w:pPr>
      <w:r>
        <w:rPr>
          <w:b/>
          <w:color w:val="1E293B"/>
          <w:sz w:val="28"/>
        </w:rPr>
        <w:t>Opções da Linha de Comando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329"/>
        <w:gridCol w:w="2329"/>
        <w:gridCol w:w="2329"/>
        <w:gridCol w:w="2329"/>
      </w:tblGrid>
      <w:tr>
        <w:trPr>
          <w:cantSplit/>
          <w:tblHeader/>
        </w:trPr>
        <w:tc>
          <w:tcPr>
            <w:tcW w:type="dxa" w:w="2329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</w:rPr>
              <w:t>Opção</w:t>
            </w:r>
          </w:p>
        </w:tc>
        <w:tc>
          <w:tcPr>
            <w:tcW w:type="dxa" w:w="2329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</w:rPr>
              <w:t>Atalho</w:t>
            </w:r>
          </w:p>
        </w:tc>
        <w:tc>
          <w:tcPr>
            <w:tcW w:type="dxa" w:w="2329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</w:rPr>
              <w:t>Padrão</w:t>
            </w:r>
          </w:p>
        </w:tc>
        <w:tc>
          <w:tcPr>
            <w:tcW w:type="dxa" w:w="2329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</w:rPr>
              <w:t>Descrição</w:t>
            </w:r>
          </w:p>
        </w:tc>
      </w:tr>
      <w:tr>
        <w:trPr>
          <w:cantSplit/>
        </w:trPr>
        <w:tc>
          <w:tcPr>
            <w:tcW w:type="dxa" w:w="2329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color w:val="1E293B"/>
                <w:sz w:val="18"/>
                <w:shd w:val="clear" w:color="auto" w:fill="F1F5F9"/>
              </w:rPr>
              <w:t>entrada</w:t>
            </w:r>
          </w:p>
        </w:tc>
        <w:tc>
          <w:tcPr>
            <w:tcW w:type="dxa" w:w="2329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>—</w:t>
            </w:r>
          </w:p>
        </w:tc>
        <w:tc>
          <w:tcPr>
            <w:tcW w:type="dxa" w:w="2329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color w:val="1E293B"/>
                <w:sz w:val="18"/>
                <w:shd w:val="clear" w:color="auto" w:fill="F1F5F9"/>
              </w:rPr>
              <w:t>.</w:t>
            </w:r>
            <w:r>
              <w:t xml:space="preserve"> (pasta atual)</w:t>
            </w:r>
          </w:p>
        </w:tc>
        <w:tc>
          <w:tcPr>
            <w:tcW w:type="dxa" w:w="2329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>Pasta ou arquivo Markdown de entrada.</w:t>
            </w:r>
          </w:p>
        </w:tc>
      </w:tr>
      <w:tr>
        <w:trPr>
          <w:cantSplit/>
        </w:trPr>
        <w:tc>
          <w:tcPr>
            <w:tcW w:type="dxa" w:w="2329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color w:val="1E293B"/>
                <w:sz w:val="18"/>
                <w:shd w:val="clear" w:color="auto" w:fill="F1F5F9"/>
              </w:rPr>
              <w:t>--pattern</w:t>
            </w:r>
          </w:p>
        </w:tc>
        <w:tc>
          <w:tcPr>
            <w:tcW w:type="dxa" w:w="2329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color w:val="1E293B"/>
                <w:sz w:val="18"/>
                <w:shd w:val="clear" w:color="auto" w:fill="F1F5F9"/>
              </w:rPr>
              <w:t>-p</w:t>
            </w:r>
          </w:p>
        </w:tc>
        <w:tc>
          <w:tcPr>
            <w:tcW w:type="dxa" w:w="2329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color w:val="1E293B"/>
                <w:sz w:val="18"/>
                <w:shd w:val="clear" w:color="auto" w:fill="F1F5F9"/>
              </w:rPr>
              <w:t>*.md</w:t>
            </w:r>
          </w:p>
        </w:tc>
        <w:tc>
          <w:tcPr>
            <w:tcW w:type="dxa" w:w="2329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Wildcard para filtrar arquivos quando </w:t>
            </w:r>
            <w:r>
              <w:rPr>
                <w:rFonts w:ascii="Consolas" w:hAnsi="Consolas"/>
                <w:color w:val="1E293B"/>
                <w:sz w:val="18"/>
                <w:shd w:val="clear" w:color="auto" w:fill="F1F5F9"/>
              </w:rPr>
              <w:t>entrada</w:t>
            </w:r>
            <w:r>
              <w:t xml:space="preserve"> é uma pasta.</w:t>
            </w:r>
          </w:p>
        </w:tc>
      </w:tr>
      <w:tr>
        <w:trPr>
          <w:cantSplit/>
        </w:trPr>
        <w:tc>
          <w:tcPr>
            <w:tcW w:type="dxa" w:w="2329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color w:val="1E293B"/>
                <w:sz w:val="18"/>
                <w:shd w:val="clear" w:color="auto" w:fill="F1F5F9"/>
              </w:rPr>
              <w:t>--orientation</w:t>
            </w:r>
          </w:p>
        </w:tc>
        <w:tc>
          <w:tcPr>
            <w:tcW w:type="dxa" w:w="2329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color w:val="1E293B"/>
                <w:sz w:val="18"/>
                <w:shd w:val="clear" w:color="auto" w:fill="F1F5F9"/>
              </w:rPr>
              <w:t>-o</w:t>
            </w:r>
          </w:p>
        </w:tc>
        <w:tc>
          <w:tcPr>
            <w:tcW w:type="dxa" w:w="2329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color w:val="1E293B"/>
                <w:sz w:val="18"/>
                <w:shd w:val="clear" w:color="auto" w:fill="F1F5F9"/>
              </w:rPr>
              <w:t>vertical</w:t>
            </w:r>
          </w:p>
        </w:tc>
        <w:tc>
          <w:tcPr>
            <w:tcW w:type="dxa" w:w="2329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Orientação da página: </w:t>
            </w:r>
            <w:r>
              <w:rPr>
                <w:rFonts w:ascii="Consolas" w:hAnsi="Consolas"/>
                <w:color w:val="1E293B"/>
                <w:sz w:val="18"/>
                <w:shd w:val="clear" w:color="auto" w:fill="F1F5F9"/>
              </w:rPr>
              <w:t>vertical</w:t>
            </w:r>
            <w:r>
              <w:t xml:space="preserve"> (retrato) ou </w:t>
            </w:r>
            <w:r>
              <w:rPr>
                <w:rFonts w:ascii="Consolas" w:hAnsi="Consolas"/>
                <w:color w:val="1E293B"/>
                <w:sz w:val="18"/>
                <w:shd w:val="clear" w:color="auto" w:fill="F1F5F9"/>
              </w:rPr>
              <w:t>horizontal</w:t>
            </w:r>
            <w:r>
              <w:t xml:space="preserve"> (paisagem).</w:t>
            </w:r>
          </w:p>
        </w:tc>
      </w:tr>
      <w:tr>
        <w:trPr>
          <w:cantSplit/>
        </w:trPr>
        <w:tc>
          <w:tcPr>
            <w:tcW w:type="dxa" w:w="2329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color w:val="1E293B"/>
                <w:sz w:val="18"/>
                <w:shd w:val="clear" w:color="auto" w:fill="F1F5F9"/>
              </w:rPr>
              <w:t>--font-size</w:t>
            </w:r>
          </w:p>
        </w:tc>
        <w:tc>
          <w:tcPr>
            <w:tcW w:type="dxa" w:w="2329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color w:val="1E293B"/>
                <w:sz w:val="18"/>
                <w:shd w:val="clear" w:color="auto" w:fill="F1F5F9"/>
              </w:rPr>
              <w:t>-f</w:t>
            </w:r>
          </w:p>
        </w:tc>
        <w:tc>
          <w:tcPr>
            <w:tcW w:type="dxa" w:w="2329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color w:val="1E293B"/>
                <w:sz w:val="18"/>
                <w:shd w:val="clear" w:color="auto" w:fill="F1F5F9"/>
              </w:rPr>
              <w:t>10</w:t>
            </w:r>
          </w:p>
        </w:tc>
        <w:tc>
          <w:tcPr>
            <w:tcW w:type="dxa" w:w="2329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>Tamanho base da fonte, em pontos, usado no corpo do documento.</w:t>
            </w:r>
          </w:p>
        </w:tc>
      </w:tr>
      <w:tr>
        <w:trPr>
          <w:cantSplit/>
        </w:trPr>
        <w:tc>
          <w:tcPr>
            <w:tcW w:type="dxa" w:w="2329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color w:val="1E293B"/>
                <w:sz w:val="18"/>
                <w:shd w:val="clear" w:color="auto" w:fill="F1F5F9"/>
              </w:rPr>
              <w:t>--page-size</w:t>
            </w:r>
          </w:p>
        </w:tc>
        <w:tc>
          <w:tcPr>
            <w:tcW w:type="dxa" w:w="2329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>—</w:t>
            </w:r>
          </w:p>
        </w:tc>
        <w:tc>
          <w:tcPr>
            <w:tcW w:type="dxa" w:w="2329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color w:val="1E293B"/>
                <w:sz w:val="18"/>
                <w:shd w:val="clear" w:color="auto" w:fill="F1F5F9"/>
              </w:rPr>
              <w:t>a4</w:t>
            </w:r>
          </w:p>
        </w:tc>
        <w:tc>
          <w:tcPr>
            <w:tcW w:type="dxa" w:w="2329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Tamanho da página: </w:t>
            </w:r>
            <w:r>
              <w:rPr>
                <w:rFonts w:ascii="Consolas" w:hAnsi="Consolas"/>
                <w:color w:val="1E293B"/>
                <w:sz w:val="18"/>
                <w:shd w:val="clear" w:color="auto" w:fill="F1F5F9"/>
              </w:rPr>
              <w:t>a4</w:t>
            </w:r>
            <w:r>
              <w:t xml:space="preserve">, </w:t>
            </w:r>
            <w:r>
              <w:rPr>
                <w:rFonts w:ascii="Consolas" w:hAnsi="Consolas"/>
                <w:color w:val="1E293B"/>
                <w:sz w:val="18"/>
                <w:shd w:val="clear" w:color="auto" w:fill="F1F5F9"/>
              </w:rPr>
              <w:t>letter</w:t>
            </w:r>
            <w:r>
              <w:t xml:space="preserve"> ou </w:t>
            </w:r>
            <w:r>
              <w:rPr>
                <w:rFonts w:ascii="Consolas" w:hAnsi="Consolas"/>
                <w:color w:val="1E293B"/>
                <w:sz w:val="18"/>
                <w:shd w:val="clear" w:color="auto" w:fill="F1F5F9"/>
              </w:rPr>
              <w:t>legal</w:t>
            </w:r>
            <w:r>
              <w:t>.</w:t>
            </w:r>
          </w:p>
        </w:tc>
      </w:tr>
      <w:tr>
        <w:trPr>
          <w:cantSplit/>
        </w:trPr>
        <w:tc>
          <w:tcPr>
            <w:tcW w:type="dxa" w:w="2329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color w:val="1E293B"/>
                <w:sz w:val="18"/>
                <w:shd w:val="clear" w:color="auto" w:fill="F1F5F9"/>
              </w:rPr>
              <w:t>--css</w:t>
            </w:r>
          </w:p>
        </w:tc>
        <w:tc>
          <w:tcPr>
            <w:tcW w:type="dxa" w:w="2329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color w:val="1E293B"/>
                <w:sz w:val="18"/>
                <w:shd w:val="clear" w:color="auto" w:fill="F1F5F9"/>
              </w:rPr>
              <w:t>-c</w:t>
            </w:r>
          </w:p>
        </w:tc>
        <w:tc>
          <w:tcPr>
            <w:tcW w:type="dxa" w:w="2329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>nenhum</w:t>
            </w:r>
          </w:p>
        </w:tc>
        <w:tc>
          <w:tcPr>
            <w:tcW w:type="dxa" w:w="2329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Caminho para arquivo </w:t>
            </w:r>
            <w:r>
              <w:rPr>
                <w:rFonts w:ascii="Consolas" w:hAnsi="Consolas"/>
                <w:color w:val="1E293B"/>
                <w:sz w:val="18"/>
                <w:shd w:val="clear" w:color="auto" w:fill="F1F5F9"/>
              </w:rPr>
              <w:t>.css</w:t>
            </w:r>
            <w:r>
              <w:t xml:space="preserve"> com estilos personalizados.</w:t>
            </w:r>
          </w:p>
        </w:tc>
      </w:tr>
      <w:tr>
        <w:trPr>
          <w:cantSplit/>
        </w:trPr>
        <w:tc>
          <w:tcPr>
            <w:tcW w:type="dxa" w:w="2329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color w:val="1E293B"/>
                <w:sz w:val="18"/>
                <w:shd w:val="clear" w:color="auto" w:fill="F1F5F9"/>
              </w:rPr>
              <w:t>--output-dir</w:t>
            </w:r>
          </w:p>
        </w:tc>
        <w:tc>
          <w:tcPr>
            <w:tcW w:type="dxa" w:w="2329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color w:val="1E293B"/>
                <w:sz w:val="18"/>
                <w:shd w:val="clear" w:color="auto" w:fill="F1F5F9"/>
              </w:rPr>
              <w:t>-d</w:t>
            </w:r>
          </w:p>
        </w:tc>
        <w:tc>
          <w:tcPr>
            <w:tcW w:type="dxa" w:w="2329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>pasta do arquivo de origem</w:t>
            </w:r>
          </w:p>
        </w:tc>
        <w:tc>
          <w:tcPr>
            <w:tcW w:type="dxa" w:w="2329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Pasta onde os documentos </w:t>
            </w:r>
            <w:r>
              <w:rPr>
                <w:rFonts w:ascii="Consolas" w:hAnsi="Consolas"/>
                <w:color w:val="1E293B"/>
                <w:sz w:val="18"/>
                <w:shd w:val="clear" w:color="auto" w:fill="F1F5F9"/>
              </w:rPr>
              <w:t>.docx</w:t>
            </w:r>
            <w:r>
              <w:t xml:space="preserve"> e diagramas </w:t>
            </w:r>
            <w:r>
              <w:rPr>
                <w:rFonts w:ascii="Consolas" w:hAnsi="Consolas"/>
                <w:color w:val="1E293B"/>
                <w:sz w:val="18"/>
                <w:shd w:val="clear" w:color="auto" w:fill="F1F5F9"/>
              </w:rPr>
              <w:t>.svg</w:t>
            </w:r>
            <w:r>
              <w:t xml:space="preserve"> serão salvos.</w:t>
            </w:r>
          </w:p>
        </w:tc>
      </w:tr>
      <w:tr>
        <w:trPr>
          <w:cantSplit/>
        </w:trPr>
        <w:tc>
          <w:tcPr>
            <w:tcW w:type="dxa" w:w="2329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color w:val="1E293B"/>
                <w:sz w:val="18"/>
                <w:shd w:val="clear" w:color="auto" w:fill="F1F5F9"/>
              </w:rPr>
              <w:t>--overwrite</w:t>
            </w:r>
          </w:p>
        </w:tc>
        <w:tc>
          <w:tcPr>
            <w:tcW w:type="dxa" w:w="2329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color w:val="1E293B"/>
                <w:sz w:val="18"/>
                <w:shd w:val="clear" w:color="auto" w:fill="F1F5F9"/>
              </w:rPr>
              <w:t>-w</w:t>
            </w:r>
          </w:p>
        </w:tc>
        <w:tc>
          <w:tcPr>
            <w:tcW w:type="dxa" w:w="2329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>desativado</w:t>
            </w:r>
          </w:p>
        </w:tc>
        <w:tc>
          <w:tcPr>
            <w:tcW w:type="dxa" w:w="2329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Sobrescreve o documento existente (padrão: cria </w:t>
            </w:r>
            <w:r>
              <w:rPr>
                <w:rFonts w:ascii="Consolas" w:hAnsi="Consolas"/>
                <w:color w:val="1E293B"/>
                <w:sz w:val="18"/>
                <w:shd w:val="clear" w:color="auto" w:fill="F1F5F9"/>
              </w:rPr>
              <w:t>nome (2).docx</w:t>
            </w:r>
            <w:r>
              <w:t xml:space="preserve">, </w:t>
            </w:r>
            <w:r>
              <w:rPr>
                <w:rFonts w:ascii="Consolas" w:hAnsi="Consolas"/>
                <w:color w:val="1E293B"/>
                <w:sz w:val="18"/>
                <w:shd w:val="clear" w:color="auto" w:fill="F1F5F9"/>
              </w:rPr>
              <w:t>nome (3).docx</w:t>
            </w:r>
            <w:r>
              <w:t>, etc.).</w:t>
            </w:r>
          </w:p>
        </w:tc>
      </w:tr>
      <w:tr>
        <w:trPr>
          <w:cantSplit/>
        </w:trPr>
        <w:tc>
          <w:tcPr>
            <w:tcW w:type="dxa" w:w="2329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color w:val="1E293B"/>
                <w:sz w:val="18"/>
                <w:shd w:val="clear" w:color="auto" w:fill="F1F5F9"/>
              </w:rPr>
              <w:t>--version</w:t>
            </w:r>
          </w:p>
        </w:tc>
        <w:tc>
          <w:tcPr>
            <w:tcW w:type="dxa" w:w="2329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color w:val="1E293B"/>
                <w:sz w:val="18"/>
                <w:shd w:val="clear" w:color="auto" w:fill="F1F5F9"/>
              </w:rPr>
              <w:t>-v</w:t>
            </w:r>
          </w:p>
        </w:tc>
        <w:tc>
          <w:tcPr>
            <w:tcW w:type="dxa" w:w="2329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>—</w:t>
            </w:r>
          </w:p>
        </w:tc>
        <w:tc>
          <w:tcPr>
            <w:tcW w:type="dxa" w:w="2329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>Exibe a versão do programa.</w:t>
            </w:r>
          </w:p>
        </w:tc>
      </w:tr>
      <w:tr>
        <w:trPr>
          <w:cantSplit/>
        </w:trPr>
        <w:tc>
          <w:tcPr>
            <w:tcW w:type="dxa" w:w="2329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color w:val="1E293B"/>
                <w:sz w:val="18"/>
                <w:shd w:val="clear" w:color="auto" w:fill="F1F5F9"/>
              </w:rPr>
              <w:t>--help</w:t>
            </w:r>
          </w:p>
        </w:tc>
        <w:tc>
          <w:tcPr>
            <w:tcW w:type="dxa" w:w="2329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color w:val="1E293B"/>
                <w:sz w:val="18"/>
                <w:shd w:val="clear" w:color="auto" w:fill="F1F5F9"/>
              </w:rPr>
              <w:t>-h</w:t>
            </w:r>
          </w:p>
        </w:tc>
        <w:tc>
          <w:tcPr>
            <w:tcW w:type="dxa" w:w="2329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>—</w:t>
            </w:r>
          </w:p>
        </w:tc>
        <w:tc>
          <w:tcPr>
            <w:tcW w:type="dxa" w:w="2329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>Exibe a mensagem de ajuda com todos os comandos e opções.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  <w:pBdr>
          <w:bottom w:val="single" w:sz="4" w:space="4" w:color="EAECEF"/>
        </w:pBdr>
      </w:pPr>
      <w:r>
        <w:rPr>
          <w:b/>
          <w:color w:val="1E293B"/>
          <w:sz w:val="28"/>
        </w:rPr>
        <w:t>Resolução de Nomes de Saída</w:t>
      </w:r>
    </w:p>
    <w:p>
      <w:pPr>
        <w:spacing w:before="0" w:after="80"/>
      </w:pPr>
      <w:r>
        <w:t xml:space="preserve">Por padrão, o arquivo DOCX gerado recebe o mesmo nome do arquivo de origem com extensão </w:t>
      </w:r>
      <w:r>
        <w:rPr>
          <w:rFonts w:ascii="Consolas" w:hAnsi="Consolas"/>
          <w:color w:val="1E293B"/>
          <w:sz w:val="18"/>
          <w:shd w:val="clear" w:color="auto" w:fill="F1F5F9"/>
        </w:rPr>
        <w:t>.docx</w:t>
      </w:r>
      <w:r>
        <w:t xml:space="preserve">. Se o arquivo já existir no destino, o programa não sobrescreve por padrão: ele cria réplicas seguras </w:t>
      </w:r>
      <w:r>
        <w:rPr>
          <w:rFonts w:ascii="Consolas" w:hAnsi="Consolas"/>
          <w:color w:val="1E293B"/>
          <w:sz w:val="18"/>
          <w:shd w:val="clear" w:color="auto" w:fill="F1F5F9"/>
        </w:rPr>
        <w:t>nome (2).docx</w:t>
      </w:r>
      <w:r>
        <w:t xml:space="preserve">, </w:t>
      </w:r>
      <w:r>
        <w:rPr>
          <w:rFonts w:ascii="Consolas" w:hAnsi="Consolas"/>
          <w:color w:val="1E293B"/>
          <w:sz w:val="18"/>
          <w:shd w:val="clear" w:color="auto" w:fill="F1F5F9"/>
        </w:rPr>
        <w:t>nome (3).docx</w:t>
      </w:r>
      <w:r>
        <w:t>, etc., idêntico ao comportamento do Windows Explorer.</w:t>
      </w:r>
    </w:p>
    <w:p>
      <w:pPr>
        <w:spacing w:before="0" w:after="80"/>
      </w:pPr>
      <w:r>
        <w:t xml:space="preserve">Para sobrescrever diretamente o arquivo existente, passe a flag </w:t>
      </w:r>
      <w:r>
        <w:rPr>
          <w:rFonts w:ascii="Consolas" w:hAnsi="Consolas"/>
          <w:color w:val="1E293B"/>
          <w:sz w:val="18"/>
          <w:shd w:val="clear" w:color="auto" w:fill="F1F5F9"/>
        </w:rPr>
        <w:t>-w</w:t>
      </w:r>
      <w:r>
        <w:t xml:space="preserve"> ou </w:t>
      </w:r>
      <w:r>
        <w:rPr>
          <w:rFonts w:ascii="Consolas" w:hAnsi="Consolas"/>
          <w:color w:val="1E293B"/>
          <w:sz w:val="18"/>
          <w:shd w:val="clear" w:color="auto" w:fill="F1F5F9"/>
        </w:rPr>
        <w:t>--overwrite</w:t>
      </w:r>
      <w:r>
        <w:t>.</w:t>
      </w:r>
    </w:p>
    <w:p>
      <w:pPr>
        <w:keepNext/>
        <w:spacing w:before="280" w:after="80"/>
        <w:pBdr>
          <w:bottom w:val="single" w:sz="4" w:space="4" w:color="EAECEF"/>
        </w:pBdr>
      </w:pPr>
      <w:r>
        <w:rPr>
          <w:b/>
          <w:color w:val="1E293B"/>
          <w:sz w:val="28"/>
        </w:rPr>
        <w:t>Estrutura do Projeto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md2docx/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├── __init__.py     # expõe main(), build_docx() e __version__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├── __main__.py     # ponto de entrada executável: python -m md2docx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├── cli.py          # tratamento de argumentos e execução CLI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└── core.py         # motor de conversão Markdown -&gt; DOCX e geração SVG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tests/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└── test_md2docx.py # suíte completa de testes unitários com pytest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pyproject.toml      # metadados e configuração de empacotamento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requirements.txt    # lista de dependências do projeto</w:t>
            </w:r>
          </w:p>
        </w:tc>
      </w:tr>
    </w:tbl>
    <w:p>
      <w:pPr>
        <w:spacing w:before="0" w:after="80"/>
      </w:pPr>
    </w:p>
    <w:sectPr w:rsidR="00FC693F" w:rsidRPr="0006063C" w:rsidSect="00034616">
      <w:footerReference w:type="default" r:id="rId9"/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94A3B8"/>
        <w:sz w:val="18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 w:before="0"/>
    </w:pPr>
    <w:rPr>
      <w:rFonts w:ascii="Calibri" w:hAnsi="Calibri"/>
      <w:color w:val="24292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