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5A0A1">
      <w:pPr>
        <w:spacing w:after="40"/>
        <w:jc w:val="center"/>
        <w:rPr>
          <w:rFonts w:ascii="Calibri" w:hAnsi="Calibri" w:eastAsia="Calibri" w:cs="Calibri"/>
          <w:b/>
          <w:bCs/>
          <w:color w:val="1F4E79"/>
          <w:sz w:val="36"/>
          <w:szCs w:val="36"/>
        </w:rPr>
      </w:pPr>
    </w:p>
    <w:p w14:paraId="72D644B9">
      <w:pPr>
        <w:spacing w:after="40"/>
        <w:jc w:val="center"/>
        <w:rPr>
          <w:rFonts w:ascii="Calibri" w:hAnsi="Calibri" w:eastAsia="Calibri" w:cs="Calibri"/>
          <w:b/>
          <w:bCs/>
          <w:color w:val="1F4E79"/>
          <w:sz w:val="36"/>
          <w:szCs w:val="36"/>
        </w:rPr>
      </w:pPr>
      <w:r>
        <w:drawing>
          <wp:anchor distT="0" distB="0" distL="114300" distR="114300" simplePos="0" relativeHeight="251659264" behindDoc="1" locked="0" layoutInCell="1" allowOverlap="1">
            <wp:simplePos x="0" y="0"/>
            <wp:positionH relativeFrom="column">
              <wp:posOffset>2800350</wp:posOffset>
            </wp:positionH>
            <wp:positionV relativeFrom="paragraph">
              <wp:posOffset>200660</wp:posOffset>
            </wp:positionV>
            <wp:extent cx="1034415" cy="1031875"/>
            <wp:effectExtent l="0" t="0" r="0" b="4445"/>
            <wp:wrapTight wrapText="bothSides">
              <wp:wrapPolygon>
                <wp:start x="8910" y="1276"/>
                <wp:lineTo x="6365" y="1914"/>
                <wp:lineTo x="1591" y="5104"/>
                <wp:lineTo x="955" y="8613"/>
                <wp:lineTo x="636" y="12123"/>
                <wp:lineTo x="2228" y="17865"/>
                <wp:lineTo x="7319" y="20736"/>
                <wp:lineTo x="9229" y="21374"/>
                <wp:lineTo x="12093" y="21374"/>
                <wp:lineTo x="14002" y="20736"/>
                <wp:lineTo x="19094" y="17546"/>
                <wp:lineTo x="21003" y="11485"/>
                <wp:lineTo x="20049" y="5423"/>
                <wp:lineTo x="15275" y="1914"/>
                <wp:lineTo x="12729" y="1276"/>
                <wp:lineTo x="8910" y="1276"/>
              </wp:wrapPolygon>
            </wp:wrapTight>
            <wp:docPr id="4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9"/>
                    <pic:cNvPicPr>
                      <a:picLocks noChangeAspect="1"/>
                    </pic:cNvPicPr>
                  </pic:nvPicPr>
                  <pic:blipFill>
                    <a:blip r:embed="rId4" cstate="print">
                      <a:clrChange>
                        <a:clrFrom>
                          <a:srgbClr val="E1E1E1"/>
                        </a:clrFrom>
                        <a:clrTo>
                          <a:srgbClr val="E1E1E1">
                            <a:alpha val="0"/>
                          </a:srgbClr>
                        </a:clrTo>
                      </a:clrChange>
                      <a:extLst>
                        <a:ext uri="{28A0092B-C50C-407E-A947-70E740481C1C}">
                          <a14:useLocalDpi xmlns:a14="http://schemas.microsoft.com/office/drawing/2010/main" val="0"/>
                        </a:ext>
                      </a:extLst>
                    </a:blip>
                    <a:stretch>
                      <a:fillRect/>
                    </a:stretch>
                  </pic:blipFill>
                  <pic:spPr>
                    <a:xfrm>
                      <a:off x="0" y="0"/>
                      <a:ext cx="1034167" cy="1031904"/>
                    </a:xfrm>
                    <a:prstGeom prst="rect">
                      <a:avLst/>
                    </a:prstGeom>
                  </pic:spPr>
                </pic:pic>
              </a:graphicData>
            </a:graphic>
          </wp:anchor>
        </w:drawing>
      </w:r>
    </w:p>
    <w:p w14:paraId="65F50C8D">
      <w:pPr>
        <w:jc w:val="center"/>
        <w:rPr>
          <w:sz w:val="48"/>
          <w:szCs w:val="48"/>
        </w:rPr>
      </w:pPr>
    </w:p>
    <w:p w14:paraId="6EC61D25">
      <w:pPr>
        <w:jc w:val="center"/>
        <w:rPr>
          <w:sz w:val="48"/>
          <w:szCs w:val="48"/>
        </w:rPr>
      </w:pPr>
    </w:p>
    <w:p w14:paraId="0D3E2086">
      <w:pPr>
        <w:jc w:val="center"/>
        <w:rPr>
          <w:sz w:val="48"/>
          <w:szCs w:val="48"/>
        </w:rPr>
      </w:pPr>
    </w:p>
    <w:p w14:paraId="1F734713">
      <w:pPr>
        <w:jc w:val="center"/>
        <w:rPr>
          <w:sz w:val="48"/>
          <w:szCs w:val="48"/>
        </w:rPr>
      </w:pPr>
      <w:r>
        <w:rPr>
          <w:sz w:val="48"/>
          <w:szCs w:val="48"/>
        </w:rPr>
        <w:t>Universidad Nacional de Salta</w:t>
      </w:r>
    </w:p>
    <w:p w14:paraId="36C977C2">
      <w:pPr>
        <w:jc w:val="center"/>
        <w:rPr>
          <w:sz w:val="48"/>
          <w:szCs w:val="48"/>
        </w:rPr>
      </w:pPr>
      <w:r>
        <w:rPr>
          <w:sz w:val="48"/>
          <w:szCs w:val="48"/>
        </w:rPr>
        <w:t>Departamento de Informática</w:t>
      </w:r>
    </w:p>
    <w:p w14:paraId="6A042703">
      <w:pPr>
        <w:jc w:val="center"/>
      </w:pPr>
    </w:p>
    <w:p w14:paraId="71BF0EB3">
      <w:pPr>
        <w:jc w:val="center"/>
        <w:rPr>
          <w:b/>
          <w:bCs/>
          <w:sz w:val="48"/>
          <w:szCs w:val="48"/>
        </w:rPr>
      </w:pPr>
      <w:r>
        <w:fldChar w:fldCharType="begin"/>
      </w:r>
      <w:r>
        <w:instrText xml:space="preserve"> HYPERLINK "https://exavirtual.unsa.edu.ar/course/section.php?id=4344" </w:instrText>
      </w:r>
      <w:r>
        <w:fldChar w:fldCharType="separate"/>
      </w:r>
      <w:r>
        <w:rPr>
          <w:b/>
          <w:bCs/>
          <w:sz w:val="48"/>
          <w:szCs w:val="48"/>
        </w:rPr>
        <w:t>Dirección de Proyectos de Tecnología</w:t>
      </w:r>
      <w:r>
        <w:rPr>
          <w:b/>
          <w:bCs/>
          <w:sz w:val="48"/>
          <w:szCs w:val="48"/>
        </w:rPr>
        <w:fldChar w:fldCharType="end"/>
      </w:r>
    </w:p>
    <w:p w14:paraId="3888CB5E">
      <w:pPr>
        <w:jc w:val="center"/>
      </w:pPr>
    </w:p>
    <w:p w14:paraId="49AAB25C">
      <w:pPr>
        <w:jc w:val="center"/>
        <w:rPr>
          <w:rFonts w:hint="default"/>
          <w:b/>
          <w:bCs/>
          <w:sz w:val="28"/>
          <w:szCs w:val="28"/>
          <w:lang w:val="en-US"/>
        </w:rPr>
      </w:pPr>
      <w:r>
        <w:rPr>
          <w:b/>
          <w:bCs/>
          <w:sz w:val="28"/>
          <w:szCs w:val="28"/>
        </w:rPr>
        <w:t xml:space="preserve">Unidad </w:t>
      </w:r>
      <w:r>
        <w:rPr>
          <w:rFonts w:hint="default"/>
          <w:b/>
          <w:bCs/>
          <w:sz w:val="28"/>
          <w:szCs w:val="28"/>
          <w:lang w:val="en-US"/>
        </w:rPr>
        <w:t>6</w:t>
      </w:r>
      <w:r>
        <w:rPr>
          <w:b/>
          <w:bCs/>
          <w:sz w:val="28"/>
          <w:szCs w:val="28"/>
        </w:rPr>
        <w:t>: E</w:t>
      </w:r>
      <w:r>
        <w:rPr>
          <w:rFonts w:hint="default"/>
          <w:b/>
          <w:bCs/>
          <w:sz w:val="28"/>
          <w:szCs w:val="28"/>
          <w:lang w:val="en-US"/>
        </w:rPr>
        <w:t>n qué invertimos</w:t>
      </w:r>
    </w:p>
    <w:p w14:paraId="293CDEA0">
      <w:pPr>
        <w:jc w:val="center"/>
        <w:rPr>
          <w:b/>
          <w:bCs/>
          <w:sz w:val="28"/>
          <w:szCs w:val="28"/>
        </w:rPr>
      </w:pPr>
    </w:p>
    <w:p w14:paraId="34893F2D">
      <w:pPr>
        <w:jc w:val="center"/>
      </w:pPr>
    </w:p>
    <w:p w14:paraId="2BB39452">
      <w:pPr>
        <w:jc w:val="center"/>
        <w:rPr>
          <w:sz w:val="32"/>
          <w:szCs w:val="32"/>
        </w:rPr>
      </w:pPr>
      <w:r>
        <w:rPr>
          <w:sz w:val="32"/>
          <w:szCs w:val="32"/>
        </w:rPr>
        <w:t>Alumno</w:t>
      </w:r>
      <w:r>
        <w:rPr>
          <w:rFonts w:hint="default"/>
          <w:sz w:val="32"/>
          <w:szCs w:val="32"/>
          <w:lang w:val="en-US"/>
        </w:rPr>
        <w:t>s</w:t>
      </w:r>
      <w:r>
        <w:rPr>
          <w:sz w:val="32"/>
          <w:szCs w:val="32"/>
        </w:rPr>
        <w:t xml:space="preserve">:   </w:t>
      </w:r>
      <w:r>
        <w:rPr>
          <w:sz w:val="32"/>
          <w:szCs w:val="32"/>
        </w:rPr>
        <w:tab/>
      </w:r>
      <w:r>
        <w:rPr>
          <w:sz w:val="32"/>
          <w:szCs w:val="32"/>
        </w:rPr>
        <w:t xml:space="preserve"> </w:t>
      </w:r>
    </w:p>
    <w:p w14:paraId="2B22F18F">
      <w:pPr>
        <w:jc w:val="center"/>
        <w:rPr>
          <w:sz w:val="32"/>
          <w:szCs w:val="32"/>
        </w:rPr>
      </w:pPr>
      <w:r>
        <w:rPr>
          <w:sz w:val="32"/>
          <w:szCs w:val="32"/>
        </w:rPr>
        <w:t>Lic. Augusto Guerrero,</w:t>
      </w:r>
    </w:p>
    <w:p w14:paraId="7699D0F7">
      <w:pPr>
        <w:jc w:val="center"/>
        <w:rPr>
          <w:sz w:val="32"/>
          <w:szCs w:val="32"/>
        </w:rPr>
      </w:pPr>
      <w:r>
        <w:rPr>
          <w:sz w:val="32"/>
          <w:szCs w:val="32"/>
        </w:rPr>
        <w:t>Lic. Florencia Ossola,</w:t>
      </w:r>
    </w:p>
    <w:p w14:paraId="05F281A7">
      <w:pPr>
        <w:jc w:val="center"/>
        <w:rPr>
          <w:sz w:val="32"/>
          <w:szCs w:val="32"/>
        </w:rPr>
      </w:pPr>
      <w:r>
        <w:rPr>
          <w:sz w:val="32"/>
          <w:szCs w:val="32"/>
        </w:rPr>
        <w:t>Lic. Natalia Juarez,</w:t>
      </w:r>
    </w:p>
    <w:p w14:paraId="4364A920">
      <w:pPr>
        <w:jc w:val="center"/>
        <w:rPr>
          <w:sz w:val="32"/>
          <w:szCs w:val="32"/>
        </w:rPr>
      </w:pPr>
      <w:r>
        <w:rPr>
          <w:sz w:val="32"/>
          <w:szCs w:val="32"/>
        </w:rPr>
        <w:t>Lic. Daniela Juarez</w:t>
      </w:r>
    </w:p>
    <w:p w14:paraId="07662FCB">
      <w:pPr>
        <w:jc w:val="center"/>
        <w:rPr>
          <w:sz w:val="32"/>
          <w:szCs w:val="32"/>
        </w:rPr>
      </w:pPr>
    </w:p>
    <w:p w14:paraId="708E048D">
      <w:pPr>
        <w:jc w:val="center"/>
        <w:rPr>
          <w:sz w:val="32"/>
          <w:szCs w:val="32"/>
        </w:rPr>
      </w:pPr>
    </w:p>
    <w:p w14:paraId="30A68D9F">
      <w:pPr>
        <w:jc w:val="center"/>
        <w:rPr>
          <w:sz w:val="32"/>
          <w:szCs w:val="32"/>
        </w:rPr>
      </w:pPr>
      <w:r>
        <w:rPr>
          <w:sz w:val="32"/>
          <w:szCs w:val="32"/>
        </w:rPr>
        <w:t>Docente Responsable: Mag. Fernando Oscar Barié</w:t>
      </w:r>
    </w:p>
    <w:p w14:paraId="0093E6E8"/>
    <w:p w14:paraId="3B5858E2">
      <w:pPr>
        <w:spacing w:after="40"/>
        <w:jc w:val="center"/>
        <w:rPr>
          <w:rFonts w:ascii="Calibri" w:hAnsi="Calibri" w:eastAsia="Calibri" w:cs="Calibri"/>
          <w:b/>
          <w:bCs/>
          <w:color w:val="1F4E79"/>
          <w:sz w:val="36"/>
          <w:szCs w:val="36"/>
          <w:u w:val="single"/>
        </w:rPr>
      </w:pPr>
      <w:r>
        <w:rPr>
          <w:rFonts w:ascii="Calibri" w:hAnsi="Calibri" w:eastAsia="Calibri" w:cs="Calibri"/>
          <w:b/>
          <w:bCs/>
          <w:color w:val="1F4E79"/>
          <w:sz w:val="36"/>
          <w:szCs w:val="36"/>
          <w:u w:val="single"/>
        </w:rPr>
        <w:t>Grupo 3</w:t>
      </w:r>
    </w:p>
    <w:p w14:paraId="1B210B3B">
      <w:pPr>
        <w:jc w:val="center"/>
        <w:rPr>
          <w:sz w:val="36"/>
          <w:szCs w:val="36"/>
        </w:rPr>
      </w:pPr>
    </w:p>
    <w:p w14:paraId="07201CDB">
      <w:pPr>
        <w:jc w:val="center"/>
        <w:rPr>
          <w:sz w:val="36"/>
          <w:szCs w:val="36"/>
        </w:rPr>
      </w:pPr>
    </w:p>
    <w:p w14:paraId="3136AA4C">
      <w:pPr>
        <w:jc w:val="center"/>
        <w:rPr>
          <w:sz w:val="36"/>
          <w:szCs w:val="36"/>
        </w:rPr>
      </w:pPr>
    </w:p>
    <w:p w14:paraId="20F44FC8">
      <w:pPr>
        <w:jc w:val="center"/>
        <w:rPr>
          <w:sz w:val="36"/>
          <w:szCs w:val="36"/>
        </w:rPr>
      </w:pPr>
    </w:p>
    <w:p w14:paraId="052F0539">
      <w:pPr>
        <w:jc w:val="center"/>
        <w:rPr>
          <w:sz w:val="36"/>
          <w:szCs w:val="36"/>
        </w:rPr>
      </w:pPr>
    </w:p>
    <w:p w14:paraId="2B389B68">
      <w:pPr>
        <w:jc w:val="both"/>
        <w:rPr>
          <w:sz w:val="36"/>
          <w:szCs w:val="36"/>
        </w:rPr>
      </w:pPr>
      <w:bookmarkStart w:id="0" w:name="_GoBack"/>
      <w:bookmarkEnd w:id="0"/>
    </w:p>
    <w:p w14:paraId="4756B21D"/>
    <w:p w14:paraId="63FBDE78"/>
    <w:p w14:paraId="661536F2">
      <w:pPr>
        <w:jc w:val="center"/>
        <w:rPr>
          <w:rFonts w:ascii="Calibri" w:hAnsi="Calibri" w:eastAsia="Calibri" w:cs="Calibri"/>
          <w:b/>
          <w:bCs/>
          <w:color w:val="1F4E79"/>
          <w:sz w:val="36"/>
          <w:szCs w:val="36"/>
        </w:rPr>
      </w:pPr>
      <w:r>
        <w:t xml:space="preserve">Salta, </w:t>
      </w:r>
      <w:r>
        <w:rPr>
          <w:rFonts w:hint="default"/>
          <w:lang w:val="en-US"/>
        </w:rPr>
        <w:t>3 de Setiembre</w:t>
      </w:r>
      <w:r>
        <w:t xml:space="preserve"> de 2026</w:t>
      </w:r>
    </w:p>
    <w:p w14:paraId="502CC275">
      <w:pPr>
        <w:spacing w:after="40"/>
        <w:jc w:val="center"/>
      </w:pPr>
      <w:r>
        <w:rPr>
          <w:rFonts w:ascii="Calibri" w:hAnsi="Calibri" w:eastAsia="Calibri" w:cs="Calibri"/>
          <w:b/>
          <w:bCs/>
          <w:color w:val="1F4E79"/>
          <w:sz w:val="36"/>
          <w:szCs w:val="36"/>
        </w:rPr>
        <w:t>Comité de Inversiones — ALFA S.A.</w:t>
      </w:r>
    </w:p>
    <w:p w14:paraId="3382A96F">
      <w:pPr>
        <w:spacing w:after="60"/>
        <w:jc w:val="center"/>
      </w:pPr>
      <w:r>
        <w:rPr>
          <w:rFonts w:ascii="Calibri" w:hAnsi="Calibri" w:eastAsia="Calibri" w:cs="Calibri"/>
          <w:i/>
          <w:iCs/>
          <w:sz w:val="22"/>
          <w:szCs w:val="22"/>
        </w:rPr>
        <w:t>Práctico Unidad 6 — Evaluación económica de proyectos</w:t>
      </w:r>
    </w:p>
    <w:p w14:paraId="7A9A633B">
      <w:pPr>
        <w:spacing w:after="320"/>
        <w:jc w:val="center"/>
      </w:pPr>
      <w:r>
        <w:rPr>
          <w:rFonts w:ascii="Calibri" w:hAnsi="Calibri" w:eastAsia="Calibri" w:cs="Calibri"/>
          <w:color w:val="555555"/>
          <w:sz w:val="20"/>
          <w:szCs w:val="20"/>
        </w:rPr>
        <w:t>Presupuesto: USD 5.000.000  |  Tasa inicial: 10% (pasa a 18% en Etapa 3)</w:t>
      </w:r>
    </w:p>
    <w:p w14:paraId="0065D8BC">
      <w:pPr>
        <w:pStyle w:val="2"/>
        <w:pBdr>
          <w:bottom w:val="single" w:color="1F4E79" w:sz="6" w:space="4"/>
        </w:pBdr>
        <w:spacing w:before="320" w:after="160"/>
      </w:pPr>
      <w:r>
        <w:rPr>
          <w:rFonts w:ascii="Calibri" w:hAnsi="Calibri" w:eastAsia="Calibri" w:cs="Calibri"/>
          <w:b/>
          <w:bCs/>
          <w:color w:val="1F4E79"/>
          <w:sz w:val="28"/>
          <w:szCs w:val="28"/>
        </w:rPr>
        <w:t>Etapa 1 — Solo rentabilidad (r = 10%)</w:t>
      </w:r>
    </w:p>
    <w:p w14:paraId="7B291E8B">
      <w:pPr>
        <w:spacing w:after="140"/>
      </w:pPr>
      <w:r>
        <w:rPr>
          <w:rFonts w:ascii="Calibri" w:hAnsi="Calibri" w:eastAsia="Calibri" w:cs="Calibri"/>
          <w:b/>
          <w:bCs/>
          <w:sz w:val="22"/>
          <w:szCs w:val="22"/>
        </w:rPr>
        <w:t>Indicadores por iniciativa (VAN, TIR, ROI):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900"/>
        <w:gridCol w:w="1900"/>
        <w:gridCol w:w="1400"/>
        <w:gridCol w:w="1400"/>
      </w:tblGrid>
      <w:tr w14:paraId="5E1B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tcMar>
              <w:top w:w="60" w:type="dxa"/>
              <w:left w:w="100" w:type="dxa"/>
              <w:bottom w:w="60" w:type="dxa"/>
              <w:right w:w="100" w:type="dxa"/>
            </w:tcMar>
            <w:vAlign w:val="center"/>
          </w:tcPr>
          <w:p w14:paraId="2ACE4C76">
            <w:pPr>
              <w:jc w:val="center"/>
            </w:pPr>
            <w:r>
              <w:rPr>
                <w:rFonts w:ascii="Calibri" w:hAnsi="Calibri" w:eastAsia="Calibri" w:cs="Calibri"/>
                <w:b/>
                <w:bCs/>
                <w:sz w:val="20"/>
                <w:szCs w:val="20"/>
              </w:rPr>
              <w:t>Proyecto</w:t>
            </w:r>
          </w:p>
        </w:tc>
        <w:tc>
          <w:tcPr>
            <w:tcW w:w="1900" w:type="dxa"/>
            <w:shd w:val="clear" w:color="auto" w:fill="1F4E79"/>
            <w:tcMar>
              <w:top w:w="60" w:type="dxa"/>
              <w:left w:w="100" w:type="dxa"/>
              <w:bottom w:w="60" w:type="dxa"/>
              <w:right w:w="100" w:type="dxa"/>
            </w:tcMar>
            <w:vAlign w:val="center"/>
          </w:tcPr>
          <w:p w14:paraId="0A7B01B6">
            <w:pPr>
              <w:jc w:val="center"/>
            </w:pPr>
            <w:r>
              <w:rPr>
                <w:rFonts w:ascii="Calibri" w:hAnsi="Calibri" w:eastAsia="Calibri" w:cs="Calibri"/>
                <w:b/>
                <w:bCs/>
                <w:sz w:val="20"/>
                <w:szCs w:val="20"/>
              </w:rPr>
              <w:t>Inversión</w:t>
            </w:r>
          </w:p>
        </w:tc>
        <w:tc>
          <w:tcPr>
            <w:tcW w:w="1900" w:type="dxa"/>
            <w:shd w:val="clear" w:color="auto" w:fill="1F4E79"/>
            <w:tcMar>
              <w:top w:w="60" w:type="dxa"/>
              <w:left w:w="100" w:type="dxa"/>
              <w:bottom w:w="60" w:type="dxa"/>
              <w:right w:w="100" w:type="dxa"/>
            </w:tcMar>
            <w:vAlign w:val="center"/>
          </w:tcPr>
          <w:p w14:paraId="4F81FB7C">
            <w:pPr>
              <w:jc w:val="center"/>
            </w:pPr>
            <w:r>
              <w:rPr>
                <w:rFonts w:ascii="Calibri" w:hAnsi="Calibri" w:eastAsia="Calibri" w:cs="Calibri"/>
                <w:b/>
                <w:bCs/>
                <w:sz w:val="20"/>
                <w:szCs w:val="20"/>
              </w:rPr>
              <w:t>VAN</w:t>
            </w:r>
          </w:p>
        </w:tc>
        <w:tc>
          <w:tcPr>
            <w:tcW w:w="1400" w:type="dxa"/>
            <w:shd w:val="clear" w:color="auto" w:fill="1F4E79"/>
            <w:tcMar>
              <w:top w:w="60" w:type="dxa"/>
              <w:left w:w="100" w:type="dxa"/>
              <w:bottom w:w="60" w:type="dxa"/>
              <w:right w:w="100" w:type="dxa"/>
            </w:tcMar>
            <w:vAlign w:val="center"/>
          </w:tcPr>
          <w:p w14:paraId="7C2D1C23">
            <w:pPr>
              <w:jc w:val="center"/>
            </w:pPr>
            <w:r>
              <w:rPr>
                <w:rFonts w:ascii="Calibri" w:hAnsi="Calibri" w:eastAsia="Calibri" w:cs="Calibri"/>
                <w:b/>
                <w:bCs/>
                <w:sz w:val="20"/>
                <w:szCs w:val="20"/>
              </w:rPr>
              <w:t>TIR</w:t>
            </w:r>
          </w:p>
        </w:tc>
        <w:tc>
          <w:tcPr>
            <w:tcW w:w="1400" w:type="dxa"/>
            <w:shd w:val="clear" w:color="auto" w:fill="1F4E79"/>
            <w:tcMar>
              <w:top w:w="60" w:type="dxa"/>
              <w:left w:w="100" w:type="dxa"/>
              <w:bottom w:w="60" w:type="dxa"/>
              <w:right w:w="100" w:type="dxa"/>
            </w:tcMar>
            <w:vAlign w:val="center"/>
          </w:tcPr>
          <w:p w14:paraId="4AB2976C">
            <w:pPr>
              <w:jc w:val="center"/>
            </w:pPr>
            <w:r>
              <w:rPr>
                <w:rFonts w:ascii="Calibri" w:hAnsi="Calibri" w:eastAsia="Calibri" w:cs="Calibri"/>
                <w:b/>
                <w:bCs/>
                <w:sz w:val="20"/>
                <w:szCs w:val="20"/>
              </w:rPr>
              <w:t>ROI</w:t>
            </w:r>
          </w:p>
        </w:tc>
      </w:tr>
      <w:tr w14:paraId="7500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5EF7364A">
            <w:pPr>
              <w:jc w:val="left"/>
            </w:pPr>
            <w:r>
              <w:rPr>
                <w:rFonts w:ascii="Calibri" w:hAnsi="Calibri" w:eastAsia="Calibri" w:cs="Calibri"/>
                <w:b w:val="0"/>
                <w:bCs w:val="0"/>
                <w:sz w:val="20"/>
                <w:szCs w:val="20"/>
              </w:rPr>
              <w:t>ERP</w:t>
            </w:r>
          </w:p>
        </w:tc>
        <w:tc>
          <w:tcPr>
            <w:tcW w:w="1900" w:type="dxa"/>
            <w:shd w:val="clear" w:color="auto" w:fill="F2F6FA"/>
            <w:tcMar>
              <w:top w:w="60" w:type="dxa"/>
              <w:left w:w="100" w:type="dxa"/>
              <w:bottom w:w="60" w:type="dxa"/>
              <w:right w:w="100" w:type="dxa"/>
            </w:tcMar>
            <w:vAlign w:val="center"/>
          </w:tcPr>
          <w:p w14:paraId="615589AC">
            <w:pPr>
              <w:jc w:val="center"/>
            </w:pPr>
            <w:r>
              <w:rPr>
                <w:rFonts w:ascii="Calibri" w:hAnsi="Calibri" w:eastAsia="Calibri" w:cs="Calibri"/>
                <w:b w:val="0"/>
                <w:bCs w:val="0"/>
                <w:sz w:val="20"/>
                <w:szCs w:val="20"/>
              </w:rPr>
              <w:t>1.500.000</w:t>
            </w:r>
          </w:p>
        </w:tc>
        <w:tc>
          <w:tcPr>
            <w:tcW w:w="1900" w:type="dxa"/>
            <w:shd w:val="clear" w:color="auto" w:fill="F2F6FA"/>
            <w:tcMar>
              <w:top w:w="60" w:type="dxa"/>
              <w:left w:w="100" w:type="dxa"/>
              <w:bottom w:w="60" w:type="dxa"/>
              <w:right w:w="100" w:type="dxa"/>
            </w:tcMar>
            <w:vAlign w:val="center"/>
          </w:tcPr>
          <w:p w14:paraId="411D4EFB">
            <w:pPr>
              <w:jc w:val="center"/>
            </w:pPr>
            <w:r>
              <w:rPr>
                <w:rFonts w:ascii="Calibri" w:hAnsi="Calibri" w:eastAsia="Calibri" w:cs="Calibri"/>
                <w:b w:val="0"/>
                <w:bCs w:val="0"/>
                <w:sz w:val="20"/>
                <w:szCs w:val="20"/>
              </w:rPr>
              <w:t>1.448.730</w:t>
            </w:r>
          </w:p>
        </w:tc>
        <w:tc>
          <w:tcPr>
            <w:tcW w:w="1400" w:type="dxa"/>
            <w:shd w:val="clear" w:color="auto" w:fill="F2F6FA"/>
            <w:tcMar>
              <w:top w:w="60" w:type="dxa"/>
              <w:left w:w="100" w:type="dxa"/>
              <w:bottom w:w="60" w:type="dxa"/>
              <w:right w:w="100" w:type="dxa"/>
            </w:tcMar>
            <w:vAlign w:val="center"/>
          </w:tcPr>
          <w:p w14:paraId="571864EE">
            <w:pPr>
              <w:jc w:val="center"/>
            </w:pPr>
            <w:r>
              <w:rPr>
                <w:rFonts w:ascii="Calibri" w:hAnsi="Calibri" w:eastAsia="Calibri" w:cs="Calibri"/>
                <w:b w:val="0"/>
                <w:bCs w:val="0"/>
                <w:sz w:val="20"/>
                <w:szCs w:val="20"/>
              </w:rPr>
              <w:t>42,3%</w:t>
            </w:r>
          </w:p>
        </w:tc>
        <w:tc>
          <w:tcPr>
            <w:tcW w:w="1400" w:type="dxa"/>
            <w:shd w:val="clear" w:color="auto" w:fill="F2F6FA"/>
            <w:tcMar>
              <w:top w:w="60" w:type="dxa"/>
              <w:left w:w="100" w:type="dxa"/>
              <w:bottom w:w="60" w:type="dxa"/>
              <w:right w:w="100" w:type="dxa"/>
            </w:tcMar>
            <w:vAlign w:val="center"/>
          </w:tcPr>
          <w:p w14:paraId="4192DE75">
            <w:pPr>
              <w:jc w:val="center"/>
            </w:pPr>
            <w:r>
              <w:rPr>
                <w:rFonts w:ascii="Calibri" w:hAnsi="Calibri" w:eastAsia="Calibri" w:cs="Calibri"/>
                <w:b w:val="0"/>
                <w:bCs w:val="0"/>
                <w:sz w:val="20"/>
                <w:szCs w:val="20"/>
              </w:rPr>
              <w:t>160,6%</w:t>
            </w:r>
          </w:p>
        </w:tc>
      </w:tr>
      <w:tr w14:paraId="22A0E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00" w:type="dxa"/>
              <w:bottom w:w="60" w:type="dxa"/>
              <w:right w:w="100" w:type="dxa"/>
            </w:tcMar>
            <w:vAlign w:val="center"/>
          </w:tcPr>
          <w:p w14:paraId="602573CF">
            <w:pPr>
              <w:jc w:val="left"/>
            </w:pPr>
            <w:r>
              <w:rPr>
                <w:rFonts w:ascii="Calibri" w:hAnsi="Calibri" w:eastAsia="Calibri" w:cs="Calibri"/>
                <w:b w:val="0"/>
                <w:bCs w:val="0"/>
                <w:sz w:val="20"/>
                <w:szCs w:val="20"/>
              </w:rPr>
              <w:t>Planta</w:t>
            </w:r>
          </w:p>
        </w:tc>
        <w:tc>
          <w:tcPr>
            <w:tcW w:w="1900" w:type="dxa"/>
            <w:shd w:val="clear" w:color="auto" w:fill="FFFFFF"/>
            <w:tcMar>
              <w:top w:w="60" w:type="dxa"/>
              <w:left w:w="100" w:type="dxa"/>
              <w:bottom w:w="60" w:type="dxa"/>
              <w:right w:w="100" w:type="dxa"/>
            </w:tcMar>
            <w:vAlign w:val="center"/>
          </w:tcPr>
          <w:p w14:paraId="5AD74840">
            <w:pPr>
              <w:jc w:val="center"/>
            </w:pPr>
            <w:r>
              <w:rPr>
                <w:rFonts w:ascii="Calibri" w:hAnsi="Calibri" w:eastAsia="Calibri" w:cs="Calibri"/>
                <w:b w:val="0"/>
                <w:bCs w:val="0"/>
                <w:sz w:val="20"/>
                <w:szCs w:val="20"/>
              </w:rPr>
              <w:t>2.800.000</w:t>
            </w:r>
          </w:p>
        </w:tc>
        <w:tc>
          <w:tcPr>
            <w:tcW w:w="1900" w:type="dxa"/>
            <w:shd w:val="clear" w:color="auto" w:fill="FFFFFF"/>
            <w:tcMar>
              <w:top w:w="60" w:type="dxa"/>
              <w:left w:w="100" w:type="dxa"/>
              <w:bottom w:w="60" w:type="dxa"/>
              <w:right w:w="100" w:type="dxa"/>
            </w:tcMar>
            <w:vAlign w:val="center"/>
          </w:tcPr>
          <w:p w14:paraId="4A5DA09F">
            <w:pPr>
              <w:jc w:val="center"/>
            </w:pPr>
            <w:r>
              <w:rPr>
                <w:rFonts w:ascii="Calibri" w:hAnsi="Calibri" w:eastAsia="Calibri" w:cs="Calibri"/>
                <w:b w:val="0"/>
                <w:bCs w:val="0"/>
                <w:sz w:val="20"/>
                <w:szCs w:val="20"/>
              </w:rPr>
              <w:t>1.254.728</w:t>
            </w:r>
          </w:p>
        </w:tc>
        <w:tc>
          <w:tcPr>
            <w:tcW w:w="1400" w:type="dxa"/>
            <w:shd w:val="clear" w:color="auto" w:fill="FFFFFF"/>
            <w:tcMar>
              <w:top w:w="60" w:type="dxa"/>
              <w:left w:w="100" w:type="dxa"/>
              <w:bottom w:w="60" w:type="dxa"/>
              <w:right w:w="100" w:type="dxa"/>
            </w:tcMar>
            <w:vAlign w:val="center"/>
          </w:tcPr>
          <w:p w14:paraId="4D331BAC">
            <w:pPr>
              <w:jc w:val="center"/>
            </w:pPr>
            <w:r>
              <w:rPr>
                <w:rFonts w:ascii="Calibri" w:hAnsi="Calibri" w:eastAsia="Calibri" w:cs="Calibri"/>
                <w:b w:val="0"/>
                <w:bCs w:val="0"/>
                <w:sz w:val="20"/>
                <w:szCs w:val="20"/>
              </w:rPr>
              <w:t>24,5%</w:t>
            </w:r>
          </w:p>
        </w:tc>
        <w:tc>
          <w:tcPr>
            <w:tcW w:w="1400" w:type="dxa"/>
            <w:shd w:val="clear" w:color="auto" w:fill="FFFFFF"/>
            <w:tcMar>
              <w:top w:w="60" w:type="dxa"/>
              <w:left w:w="100" w:type="dxa"/>
              <w:bottom w:w="60" w:type="dxa"/>
              <w:right w:w="100" w:type="dxa"/>
            </w:tcMar>
            <w:vAlign w:val="center"/>
          </w:tcPr>
          <w:p w14:paraId="0B6027CD">
            <w:pPr>
              <w:jc w:val="center"/>
            </w:pPr>
            <w:r>
              <w:rPr>
                <w:rFonts w:ascii="Calibri" w:hAnsi="Calibri" w:eastAsia="Calibri" w:cs="Calibri"/>
                <w:b w:val="0"/>
                <w:bCs w:val="0"/>
                <w:sz w:val="20"/>
                <w:szCs w:val="20"/>
              </w:rPr>
              <w:t>96,4%</w:t>
            </w:r>
          </w:p>
        </w:tc>
      </w:tr>
      <w:tr w14:paraId="31D1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784D5F99">
            <w:pPr>
              <w:jc w:val="left"/>
            </w:pPr>
            <w:r>
              <w:rPr>
                <w:rFonts w:ascii="Calibri" w:hAnsi="Calibri" w:eastAsia="Calibri" w:cs="Calibri"/>
                <w:b w:val="0"/>
                <w:bCs w:val="0"/>
                <w:sz w:val="20"/>
                <w:szCs w:val="20"/>
              </w:rPr>
              <w:t>IA</w:t>
            </w:r>
          </w:p>
        </w:tc>
        <w:tc>
          <w:tcPr>
            <w:tcW w:w="1900" w:type="dxa"/>
            <w:shd w:val="clear" w:color="auto" w:fill="F2F6FA"/>
            <w:tcMar>
              <w:top w:w="60" w:type="dxa"/>
              <w:left w:w="100" w:type="dxa"/>
              <w:bottom w:w="60" w:type="dxa"/>
              <w:right w:w="100" w:type="dxa"/>
            </w:tcMar>
            <w:vAlign w:val="center"/>
          </w:tcPr>
          <w:p w14:paraId="64EEEE27">
            <w:pPr>
              <w:jc w:val="center"/>
            </w:pPr>
            <w:r>
              <w:rPr>
                <w:rFonts w:ascii="Calibri" w:hAnsi="Calibri" w:eastAsia="Calibri" w:cs="Calibri"/>
                <w:b w:val="0"/>
                <w:bCs w:val="0"/>
                <w:sz w:val="20"/>
                <w:szCs w:val="20"/>
              </w:rPr>
              <w:t>1.200.000</w:t>
            </w:r>
          </w:p>
        </w:tc>
        <w:tc>
          <w:tcPr>
            <w:tcW w:w="1900" w:type="dxa"/>
            <w:shd w:val="clear" w:color="auto" w:fill="F2F6FA"/>
            <w:tcMar>
              <w:top w:w="60" w:type="dxa"/>
              <w:left w:w="100" w:type="dxa"/>
              <w:bottom w:w="60" w:type="dxa"/>
              <w:right w:w="100" w:type="dxa"/>
            </w:tcMar>
            <w:vAlign w:val="center"/>
          </w:tcPr>
          <w:p w14:paraId="35BF7FCD">
            <w:pPr>
              <w:jc w:val="center"/>
            </w:pPr>
            <w:r>
              <w:rPr>
                <w:rFonts w:ascii="Calibri" w:hAnsi="Calibri" w:eastAsia="Calibri" w:cs="Calibri"/>
                <w:b w:val="0"/>
                <w:bCs w:val="0"/>
                <w:sz w:val="20"/>
                <w:szCs w:val="20"/>
              </w:rPr>
              <w:t>899.473</w:t>
            </w:r>
          </w:p>
        </w:tc>
        <w:tc>
          <w:tcPr>
            <w:tcW w:w="1400" w:type="dxa"/>
            <w:shd w:val="clear" w:color="auto" w:fill="F2F6FA"/>
            <w:tcMar>
              <w:top w:w="60" w:type="dxa"/>
              <w:left w:w="100" w:type="dxa"/>
              <w:bottom w:w="60" w:type="dxa"/>
              <w:right w:w="100" w:type="dxa"/>
            </w:tcMar>
            <w:vAlign w:val="center"/>
          </w:tcPr>
          <w:p w14:paraId="2376F6CD">
            <w:pPr>
              <w:jc w:val="center"/>
            </w:pPr>
            <w:r>
              <w:rPr>
                <w:rFonts w:ascii="Calibri" w:hAnsi="Calibri" w:eastAsia="Calibri" w:cs="Calibri"/>
                <w:b w:val="0"/>
                <w:bCs w:val="0"/>
                <w:sz w:val="20"/>
                <w:szCs w:val="20"/>
              </w:rPr>
              <w:t>31,6%</w:t>
            </w:r>
          </w:p>
        </w:tc>
        <w:tc>
          <w:tcPr>
            <w:tcW w:w="1400" w:type="dxa"/>
            <w:shd w:val="clear" w:color="auto" w:fill="F2F6FA"/>
            <w:tcMar>
              <w:top w:w="60" w:type="dxa"/>
              <w:left w:w="100" w:type="dxa"/>
              <w:bottom w:w="60" w:type="dxa"/>
              <w:right w:w="100" w:type="dxa"/>
            </w:tcMar>
            <w:vAlign w:val="center"/>
          </w:tcPr>
          <w:p w14:paraId="786C4739">
            <w:pPr>
              <w:jc w:val="center"/>
            </w:pPr>
            <w:r>
              <w:rPr>
                <w:rFonts w:ascii="Calibri" w:hAnsi="Calibri" w:eastAsia="Calibri" w:cs="Calibri"/>
                <w:b w:val="0"/>
                <w:bCs w:val="0"/>
                <w:sz w:val="20"/>
                <w:szCs w:val="20"/>
              </w:rPr>
              <w:t>140,8%</w:t>
            </w:r>
          </w:p>
        </w:tc>
      </w:tr>
      <w:tr w14:paraId="1150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00" w:type="dxa"/>
              <w:bottom w:w="60" w:type="dxa"/>
              <w:right w:w="100" w:type="dxa"/>
            </w:tcMar>
            <w:vAlign w:val="center"/>
          </w:tcPr>
          <w:p w14:paraId="5BAD1C8C">
            <w:pPr>
              <w:jc w:val="left"/>
            </w:pPr>
            <w:r>
              <w:rPr>
                <w:rFonts w:ascii="Calibri" w:hAnsi="Calibri" w:eastAsia="Calibri" w:cs="Calibri"/>
                <w:b w:val="0"/>
                <w:bCs w:val="0"/>
                <w:sz w:val="20"/>
                <w:szCs w:val="20"/>
              </w:rPr>
              <w:t>App</w:t>
            </w:r>
          </w:p>
        </w:tc>
        <w:tc>
          <w:tcPr>
            <w:tcW w:w="1900" w:type="dxa"/>
            <w:shd w:val="clear" w:color="auto" w:fill="FFFFFF"/>
            <w:tcMar>
              <w:top w:w="60" w:type="dxa"/>
              <w:left w:w="100" w:type="dxa"/>
              <w:bottom w:w="60" w:type="dxa"/>
              <w:right w:w="100" w:type="dxa"/>
            </w:tcMar>
            <w:vAlign w:val="center"/>
          </w:tcPr>
          <w:p w14:paraId="6CC21BBB">
            <w:pPr>
              <w:jc w:val="center"/>
            </w:pPr>
            <w:r>
              <w:rPr>
                <w:rFonts w:ascii="Calibri" w:hAnsi="Calibri" w:eastAsia="Calibri" w:cs="Calibri"/>
                <w:b w:val="0"/>
                <w:bCs w:val="0"/>
                <w:sz w:val="20"/>
                <w:szCs w:val="20"/>
              </w:rPr>
              <w:t>700.000</w:t>
            </w:r>
          </w:p>
        </w:tc>
        <w:tc>
          <w:tcPr>
            <w:tcW w:w="1900" w:type="dxa"/>
            <w:shd w:val="clear" w:color="auto" w:fill="FFFFFF"/>
            <w:tcMar>
              <w:top w:w="60" w:type="dxa"/>
              <w:left w:w="100" w:type="dxa"/>
              <w:bottom w:w="60" w:type="dxa"/>
              <w:right w:w="100" w:type="dxa"/>
            </w:tcMar>
            <w:vAlign w:val="center"/>
          </w:tcPr>
          <w:p w14:paraId="78B5918A">
            <w:pPr>
              <w:jc w:val="center"/>
            </w:pPr>
            <w:r>
              <w:rPr>
                <w:rFonts w:ascii="Calibri" w:hAnsi="Calibri" w:eastAsia="Calibri" w:cs="Calibri"/>
                <w:b w:val="0"/>
                <w:bCs w:val="0"/>
                <w:sz w:val="20"/>
                <w:szCs w:val="20"/>
              </w:rPr>
              <w:t>292.847</w:t>
            </w:r>
          </w:p>
        </w:tc>
        <w:tc>
          <w:tcPr>
            <w:tcW w:w="1400" w:type="dxa"/>
            <w:shd w:val="clear" w:color="auto" w:fill="FFFFFF"/>
            <w:tcMar>
              <w:top w:w="60" w:type="dxa"/>
              <w:left w:w="100" w:type="dxa"/>
              <w:bottom w:w="60" w:type="dxa"/>
              <w:right w:w="100" w:type="dxa"/>
            </w:tcMar>
            <w:vAlign w:val="center"/>
          </w:tcPr>
          <w:p w14:paraId="415C16F4">
            <w:pPr>
              <w:jc w:val="center"/>
            </w:pPr>
            <w:r>
              <w:rPr>
                <w:rFonts w:ascii="Calibri" w:hAnsi="Calibri" w:eastAsia="Calibri" w:cs="Calibri"/>
                <w:b w:val="0"/>
                <w:bCs w:val="0"/>
                <w:sz w:val="20"/>
                <w:szCs w:val="20"/>
              </w:rPr>
              <w:t>30,3%</w:t>
            </w:r>
          </w:p>
        </w:tc>
        <w:tc>
          <w:tcPr>
            <w:tcW w:w="1400" w:type="dxa"/>
            <w:shd w:val="clear" w:color="auto" w:fill="FFFFFF"/>
            <w:tcMar>
              <w:top w:w="60" w:type="dxa"/>
              <w:left w:w="100" w:type="dxa"/>
              <w:bottom w:w="60" w:type="dxa"/>
              <w:right w:w="100" w:type="dxa"/>
            </w:tcMar>
            <w:vAlign w:val="center"/>
          </w:tcPr>
          <w:p w14:paraId="00800007">
            <w:pPr>
              <w:jc w:val="center"/>
            </w:pPr>
            <w:r>
              <w:rPr>
                <w:rFonts w:ascii="Calibri" w:hAnsi="Calibri" w:eastAsia="Calibri" w:cs="Calibri"/>
                <w:b w:val="0"/>
                <w:bCs w:val="0"/>
                <w:sz w:val="20"/>
                <w:szCs w:val="20"/>
              </w:rPr>
              <w:t>75,7%</w:t>
            </w:r>
          </w:p>
        </w:tc>
      </w:tr>
      <w:tr w14:paraId="1ED8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2E745E80">
            <w:pPr>
              <w:jc w:val="left"/>
            </w:pPr>
            <w:r>
              <w:rPr>
                <w:rFonts w:ascii="Calibri" w:hAnsi="Calibri" w:eastAsia="Calibri" w:cs="Calibri"/>
                <w:b w:val="0"/>
                <w:bCs w:val="0"/>
                <w:sz w:val="20"/>
                <w:szCs w:val="20"/>
              </w:rPr>
              <w:t>Data Center</w:t>
            </w:r>
          </w:p>
        </w:tc>
        <w:tc>
          <w:tcPr>
            <w:tcW w:w="1900" w:type="dxa"/>
            <w:shd w:val="clear" w:color="auto" w:fill="F2F6FA"/>
            <w:tcMar>
              <w:top w:w="60" w:type="dxa"/>
              <w:left w:w="100" w:type="dxa"/>
              <w:bottom w:w="60" w:type="dxa"/>
              <w:right w:w="100" w:type="dxa"/>
            </w:tcMar>
            <w:vAlign w:val="center"/>
          </w:tcPr>
          <w:p w14:paraId="3B2F86BA">
            <w:pPr>
              <w:jc w:val="center"/>
            </w:pPr>
            <w:r>
              <w:rPr>
                <w:rFonts w:ascii="Calibri" w:hAnsi="Calibri" w:eastAsia="Calibri" w:cs="Calibri"/>
                <w:b w:val="0"/>
                <w:bCs w:val="0"/>
                <w:sz w:val="20"/>
                <w:szCs w:val="20"/>
              </w:rPr>
              <w:t>1.800.000</w:t>
            </w:r>
          </w:p>
        </w:tc>
        <w:tc>
          <w:tcPr>
            <w:tcW w:w="1900" w:type="dxa"/>
            <w:shd w:val="clear" w:color="auto" w:fill="F2F6FA"/>
            <w:tcMar>
              <w:top w:w="60" w:type="dxa"/>
              <w:left w:w="100" w:type="dxa"/>
              <w:bottom w:w="60" w:type="dxa"/>
              <w:right w:w="100" w:type="dxa"/>
            </w:tcMar>
            <w:vAlign w:val="center"/>
          </w:tcPr>
          <w:p w14:paraId="6F8AB590">
            <w:pPr>
              <w:jc w:val="center"/>
            </w:pPr>
            <w:r>
              <w:rPr>
                <w:rFonts w:ascii="Calibri" w:hAnsi="Calibri" w:eastAsia="Calibri" w:cs="Calibri"/>
                <w:b w:val="0"/>
                <w:bCs w:val="0"/>
                <w:sz w:val="20"/>
                <w:szCs w:val="20"/>
              </w:rPr>
              <w:t>232.629</w:t>
            </w:r>
          </w:p>
        </w:tc>
        <w:tc>
          <w:tcPr>
            <w:tcW w:w="1400" w:type="dxa"/>
            <w:shd w:val="clear" w:color="auto" w:fill="F2F6FA"/>
            <w:tcMar>
              <w:top w:w="60" w:type="dxa"/>
              <w:left w:w="100" w:type="dxa"/>
              <w:bottom w:w="60" w:type="dxa"/>
              <w:right w:w="100" w:type="dxa"/>
            </w:tcMar>
            <w:vAlign w:val="center"/>
          </w:tcPr>
          <w:p w14:paraId="385B5AD9">
            <w:pPr>
              <w:jc w:val="center"/>
            </w:pPr>
            <w:r>
              <w:rPr>
                <w:rFonts w:ascii="Calibri" w:hAnsi="Calibri" w:eastAsia="Calibri" w:cs="Calibri"/>
                <w:b w:val="0"/>
                <w:bCs w:val="0"/>
                <w:sz w:val="20"/>
                <w:szCs w:val="20"/>
              </w:rPr>
              <w:t>14,8%</w:t>
            </w:r>
          </w:p>
        </w:tc>
        <w:tc>
          <w:tcPr>
            <w:tcW w:w="1400" w:type="dxa"/>
            <w:shd w:val="clear" w:color="auto" w:fill="F2F6FA"/>
            <w:tcMar>
              <w:top w:w="60" w:type="dxa"/>
              <w:left w:w="100" w:type="dxa"/>
              <w:bottom w:w="60" w:type="dxa"/>
              <w:right w:w="100" w:type="dxa"/>
            </w:tcMar>
            <w:vAlign w:val="center"/>
          </w:tcPr>
          <w:p w14:paraId="5092FC47">
            <w:pPr>
              <w:jc w:val="center"/>
            </w:pPr>
            <w:r>
              <w:rPr>
                <w:rFonts w:ascii="Calibri" w:hAnsi="Calibri" w:eastAsia="Calibri" w:cs="Calibri"/>
                <w:b w:val="0"/>
                <w:bCs w:val="0"/>
                <w:sz w:val="20"/>
                <w:szCs w:val="20"/>
              </w:rPr>
              <w:t>50,0%</w:t>
            </w:r>
          </w:p>
        </w:tc>
      </w:tr>
    </w:tbl>
    <w:p w14:paraId="123E5055">
      <w:pPr>
        <w:spacing w:after="140"/>
      </w:pPr>
    </w:p>
    <w:p w14:paraId="11D91168">
      <w:pPr>
        <w:spacing w:after="140"/>
      </w:pPr>
      <w:r>
        <w:rPr>
          <w:rFonts w:ascii="Calibri" w:hAnsi="Calibri" w:eastAsia="Calibri" w:cs="Calibri"/>
          <w:sz w:val="22"/>
          <w:szCs w:val="22"/>
        </w:rPr>
        <w:t>Los cinco proyectos son viables individualmente (VAN &gt; 0 y TIR &gt; 10%). El límite no es la rentabilidad de cada uno, sino el capital disponible.</w:t>
      </w:r>
    </w:p>
    <w:p w14:paraId="15BFBCAF">
      <w:pPr>
        <w:pStyle w:val="3"/>
        <w:spacing w:before="240" w:after="100"/>
      </w:pPr>
      <w:r>
        <w:rPr>
          <w:rFonts w:ascii="Calibri" w:hAnsi="Calibri" w:eastAsia="Calibri" w:cs="Calibri"/>
          <w:b/>
          <w:bCs/>
          <w:color w:val="1F4E79"/>
          <w:sz w:val="24"/>
          <w:szCs w:val="24"/>
        </w:rPr>
        <w:t>¿Qué proyectos recomendarían únicamente considerando la rentabilidad?</w:t>
      </w:r>
    </w:p>
    <w:p w14:paraId="60963364">
      <w:pPr>
        <w:spacing w:after="140"/>
      </w:pPr>
      <w:r>
        <w:rPr>
          <w:rFonts w:ascii="Calibri" w:hAnsi="Calibri" w:eastAsia="Calibri" w:cs="Calibri"/>
          <w:b/>
          <w:bCs/>
          <w:sz w:val="22"/>
          <w:szCs w:val="22"/>
        </w:rPr>
        <w:t>ERP + Planta + App</w:t>
      </w:r>
      <w:r>
        <w:rPr>
          <w:rFonts w:ascii="Calibri" w:hAnsi="Calibri" w:eastAsia="Calibri" w:cs="Calibri"/>
          <w:sz w:val="22"/>
          <w:szCs w:val="22"/>
        </w:rPr>
        <w:t xml:space="preserve"> (inversión total: USD 5.000.000 — usa todo el cupo). Es la combinación que maximiza el VAN del portafolio dentro del presupuesto: USD 2.996.305.</w:t>
      </w:r>
    </w:p>
    <w:p w14:paraId="1A81E1D4">
      <w:pPr>
        <w:spacing w:after="140"/>
      </w:pPr>
      <w:r>
        <w:rPr>
          <w:rFonts w:ascii="Calibri" w:hAnsi="Calibri" w:eastAsia="Calibri" w:cs="Calibri"/>
          <w:sz w:val="22"/>
          <w:szCs w:val="22"/>
        </w:rPr>
        <w:t>No se elige por TIR individual más alta (eso daría ERP + IA + App, con solo USD 3,4 M invertidos y USD 355 mil menos de VAN de portafolio). La IA queda afuera porque para entrar hay que sacar la Planta, y eso hace caer el VAN total. El Data Center queda afuera por ser el de menor VAN (232.629), pese a ser viable.</w:t>
      </w:r>
    </w:p>
    <w:p w14:paraId="3F576781">
      <w:pPr>
        <w:pStyle w:val="2"/>
        <w:pBdr>
          <w:bottom w:val="single" w:color="1F4E79" w:sz="6" w:space="4"/>
        </w:pBdr>
        <w:spacing w:before="320" w:after="160"/>
      </w:pPr>
      <w:r>
        <w:rPr>
          <w:rFonts w:ascii="Calibri" w:hAnsi="Calibri" w:eastAsia="Calibri" w:cs="Calibri"/>
          <w:b/>
          <w:bCs/>
          <w:color w:val="1F4E79"/>
          <w:sz w:val="28"/>
          <w:szCs w:val="28"/>
        </w:rPr>
        <w:t>Etapa 2 — Incertidumbre y valor esperado</w:t>
      </w:r>
    </w:p>
    <w:p w14:paraId="7007315A">
      <w:pPr>
        <w:spacing w:after="140"/>
      </w:pPr>
      <w:r>
        <w:rPr>
          <w:rFonts w:ascii="Calibri" w:hAnsi="Calibri" w:eastAsia="Calibri" w:cs="Calibri"/>
          <w:b/>
          <w:bCs/>
          <w:sz w:val="22"/>
          <w:szCs w:val="22"/>
        </w:rPr>
        <w:t>Perfil cualitativo de cada proyecto:</w:t>
      </w:r>
    </w:p>
    <w:p w14:paraId="4DFB1DE2">
      <w:pPr>
        <w:pStyle w:val="16"/>
        <w:numPr>
          <w:ilvl w:val="0"/>
          <w:numId w:val="1"/>
        </w:numPr>
        <w:spacing w:after="80"/>
      </w:pPr>
      <w:r>
        <w:rPr>
          <w:rFonts w:ascii="Calibri" w:hAnsi="Calibri" w:eastAsia="Calibri" w:cs="Calibri"/>
          <w:sz w:val="22"/>
          <w:szCs w:val="22"/>
        </w:rPr>
        <w:t>ERP: reduce riesgos, poca incertidumbre, beneficios estables.</w:t>
      </w:r>
    </w:p>
    <w:p w14:paraId="5DEEA32F">
      <w:pPr>
        <w:pStyle w:val="16"/>
        <w:numPr>
          <w:ilvl w:val="0"/>
          <w:numId w:val="1"/>
        </w:numPr>
        <w:spacing w:after="80"/>
      </w:pPr>
      <w:r>
        <w:rPr>
          <w:rFonts w:ascii="Calibri" w:hAnsi="Calibri" w:eastAsia="Calibri" w:cs="Calibri"/>
          <w:sz w:val="22"/>
          <w:szCs w:val="22"/>
        </w:rPr>
        <w:t>Planta: gran VAN, pero depende del mercado.</w:t>
      </w:r>
    </w:p>
    <w:p w14:paraId="1815836C">
      <w:pPr>
        <w:pStyle w:val="16"/>
        <w:numPr>
          <w:ilvl w:val="0"/>
          <w:numId w:val="1"/>
        </w:numPr>
        <w:spacing w:after="80"/>
      </w:pPr>
      <w:r>
        <w:rPr>
          <w:rFonts w:ascii="Calibri" w:hAnsi="Calibri" w:eastAsia="Calibri" w:cs="Calibri"/>
          <w:sz w:val="22"/>
          <w:szCs w:val="22"/>
        </w:rPr>
        <w:t>Data Center: beneficio moderado, muy robusto.</w:t>
      </w:r>
    </w:p>
    <w:p w14:paraId="177F69FB">
      <w:pPr>
        <w:pStyle w:val="16"/>
        <w:numPr>
          <w:ilvl w:val="0"/>
          <w:numId w:val="1"/>
        </w:numPr>
        <w:spacing w:after="80"/>
      </w:pPr>
      <w:r>
        <w:rPr>
          <w:rFonts w:ascii="Calibri" w:hAnsi="Calibri" w:eastAsia="Calibri" w:cs="Calibri"/>
          <w:sz w:val="22"/>
          <w:szCs w:val="22"/>
        </w:rPr>
        <w:t>IA: muy rentable, muy riesgosa.</w:t>
      </w:r>
    </w:p>
    <w:p w14:paraId="1E1C072F">
      <w:pPr>
        <w:pStyle w:val="16"/>
        <w:numPr>
          <w:ilvl w:val="0"/>
          <w:numId w:val="1"/>
        </w:numPr>
        <w:spacing w:after="80"/>
      </w:pPr>
      <w:r>
        <w:rPr>
          <w:rFonts w:ascii="Calibri" w:hAnsi="Calibri" w:eastAsia="Calibri" w:cs="Calibri"/>
          <w:sz w:val="22"/>
          <w:szCs w:val="22"/>
        </w:rPr>
        <w:t>App: recuperación muy rápida, puede quedar obsoleta.</w:t>
      </w:r>
    </w:p>
    <w:p w14:paraId="31A32444">
      <w:pPr>
        <w:spacing w:after="140"/>
      </w:pPr>
    </w:p>
    <w:p w14:paraId="737CE82E">
      <w:pPr>
        <w:spacing w:after="140"/>
      </w:pPr>
      <w:r>
        <w:rPr>
          <w:rFonts w:ascii="Calibri" w:hAnsi="Calibri" w:eastAsia="Calibri" w:cs="Calibri"/>
          <w:sz w:val="22"/>
          <w:szCs w:val="22"/>
        </w:rPr>
        <w:t>Sensibilidad: si los costos del ERP suben 10%, el VAN cae apenas 3% (robusto). Si las ventas de la IA bajan 10%, el VAN desaparece (muy sensible).</w:t>
      </w:r>
    </w:p>
    <w:p w14:paraId="14439948">
      <w:pPr>
        <w:pStyle w:val="3"/>
        <w:spacing w:before="240" w:after="100"/>
      </w:pPr>
      <w:r>
        <w:rPr>
          <w:rFonts w:ascii="Calibri" w:hAnsi="Calibri" w:eastAsia="Calibri" w:cs="Calibri"/>
          <w:b/>
          <w:bCs/>
          <w:color w:val="1F4E79"/>
          <w:sz w:val="24"/>
          <w:szCs w:val="24"/>
        </w:rPr>
        <w:t>Cálculo del Valor Esperado</w:t>
      </w:r>
    </w:p>
    <w:p w14:paraId="029D45A8">
      <w:pPr>
        <w:spacing w:after="140"/>
      </w:pPr>
      <w:r>
        <w:rPr>
          <w:rFonts w:ascii="Calibri" w:hAnsi="Calibri" w:eastAsia="Calibri" w:cs="Calibri"/>
          <w:i/>
          <w:iCs/>
          <w:sz w:val="22"/>
          <w:szCs w:val="22"/>
        </w:rPr>
        <w:t>VE = 0,25 × VAN optimista + 0,50 × VAN base + 0,25 × VAN pesimista</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1800"/>
        <w:gridCol w:w="1800"/>
      </w:tblGrid>
      <w:tr w14:paraId="1519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79"/>
            <w:tcMar>
              <w:top w:w="60" w:type="dxa"/>
              <w:left w:w="100" w:type="dxa"/>
              <w:bottom w:w="60" w:type="dxa"/>
              <w:right w:w="100" w:type="dxa"/>
            </w:tcMar>
            <w:vAlign w:val="center"/>
          </w:tcPr>
          <w:p w14:paraId="53082A8E">
            <w:pPr>
              <w:jc w:val="center"/>
            </w:pPr>
            <w:r>
              <w:rPr>
                <w:rFonts w:ascii="Calibri" w:hAnsi="Calibri" w:eastAsia="Calibri" w:cs="Calibri"/>
                <w:b/>
                <w:bCs/>
                <w:sz w:val="20"/>
                <w:szCs w:val="20"/>
              </w:rPr>
              <w:t>Proyecto</w:t>
            </w:r>
          </w:p>
        </w:tc>
        <w:tc>
          <w:tcPr>
            <w:tcW w:w="1800" w:type="dxa"/>
            <w:shd w:val="clear" w:color="auto" w:fill="1F4E79"/>
            <w:tcMar>
              <w:top w:w="60" w:type="dxa"/>
              <w:left w:w="100" w:type="dxa"/>
              <w:bottom w:w="60" w:type="dxa"/>
              <w:right w:w="100" w:type="dxa"/>
            </w:tcMar>
            <w:vAlign w:val="center"/>
          </w:tcPr>
          <w:p w14:paraId="3575B141">
            <w:pPr>
              <w:jc w:val="center"/>
            </w:pPr>
            <w:r>
              <w:rPr>
                <w:rFonts w:ascii="Calibri" w:hAnsi="Calibri" w:eastAsia="Calibri" w:cs="Calibri"/>
                <w:b/>
                <w:bCs/>
                <w:sz w:val="20"/>
                <w:szCs w:val="20"/>
              </w:rPr>
              <w:t>Optimista</w:t>
            </w:r>
          </w:p>
        </w:tc>
        <w:tc>
          <w:tcPr>
            <w:tcW w:w="1800" w:type="dxa"/>
            <w:shd w:val="clear" w:color="auto" w:fill="1F4E79"/>
            <w:tcMar>
              <w:top w:w="60" w:type="dxa"/>
              <w:left w:w="100" w:type="dxa"/>
              <w:bottom w:w="60" w:type="dxa"/>
              <w:right w:w="100" w:type="dxa"/>
            </w:tcMar>
            <w:vAlign w:val="center"/>
          </w:tcPr>
          <w:p w14:paraId="5ED6114B">
            <w:pPr>
              <w:jc w:val="center"/>
            </w:pPr>
            <w:r>
              <w:rPr>
                <w:rFonts w:ascii="Calibri" w:hAnsi="Calibri" w:eastAsia="Calibri" w:cs="Calibri"/>
                <w:b/>
                <w:bCs/>
                <w:sz w:val="20"/>
                <w:szCs w:val="20"/>
              </w:rPr>
              <w:t>Base</w:t>
            </w:r>
          </w:p>
        </w:tc>
        <w:tc>
          <w:tcPr>
            <w:tcW w:w="1800" w:type="dxa"/>
            <w:shd w:val="clear" w:color="auto" w:fill="1F4E79"/>
            <w:tcMar>
              <w:top w:w="60" w:type="dxa"/>
              <w:left w:w="100" w:type="dxa"/>
              <w:bottom w:w="60" w:type="dxa"/>
              <w:right w:w="100" w:type="dxa"/>
            </w:tcMar>
            <w:vAlign w:val="center"/>
          </w:tcPr>
          <w:p w14:paraId="33BB37BD">
            <w:pPr>
              <w:jc w:val="center"/>
            </w:pPr>
            <w:r>
              <w:rPr>
                <w:rFonts w:ascii="Calibri" w:hAnsi="Calibri" w:eastAsia="Calibri" w:cs="Calibri"/>
                <w:b/>
                <w:bCs/>
                <w:sz w:val="20"/>
                <w:szCs w:val="20"/>
              </w:rPr>
              <w:t>Pesimista</w:t>
            </w:r>
          </w:p>
        </w:tc>
        <w:tc>
          <w:tcPr>
            <w:tcW w:w="1800" w:type="dxa"/>
            <w:shd w:val="clear" w:color="auto" w:fill="1F4E79"/>
            <w:tcMar>
              <w:top w:w="60" w:type="dxa"/>
              <w:left w:w="100" w:type="dxa"/>
              <w:bottom w:w="60" w:type="dxa"/>
              <w:right w:w="100" w:type="dxa"/>
            </w:tcMar>
            <w:vAlign w:val="center"/>
          </w:tcPr>
          <w:p w14:paraId="56F95377">
            <w:pPr>
              <w:jc w:val="center"/>
            </w:pPr>
            <w:r>
              <w:rPr>
                <w:rFonts w:ascii="Calibri" w:hAnsi="Calibri" w:eastAsia="Calibri" w:cs="Calibri"/>
                <w:b/>
                <w:bCs/>
                <w:sz w:val="20"/>
                <w:szCs w:val="20"/>
              </w:rPr>
              <w:t>Valor Esperado</w:t>
            </w:r>
          </w:p>
        </w:tc>
      </w:tr>
      <w:tr w14:paraId="2337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A"/>
            <w:tcMar>
              <w:top w:w="60" w:type="dxa"/>
              <w:left w:w="100" w:type="dxa"/>
              <w:bottom w:w="60" w:type="dxa"/>
              <w:right w:w="100" w:type="dxa"/>
            </w:tcMar>
            <w:vAlign w:val="center"/>
          </w:tcPr>
          <w:p w14:paraId="1E395AC6">
            <w:pPr>
              <w:jc w:val="left"/>
            </w:pPr>
            <w:r>
              <w:rPr>
                <w:rFonts w:ascii="Calibri" w:hAnsi="Calibri" w:eastAsia="Calibri" w:cs="Calibri"/>
                <w:b w:val="0"/>
                <w:bCs w:val="0"/>
                <w:sz w:val="20"/>
                <w:szCs w:val="20"/>
              </w:rPr>
              <w:t>ERP</w:t>
            </w:r>
          </w:p>
        </w:tc>
        <w:tc>
          <w:tcPr>
            <w:tcW w:w="1800" w:type="dxa"/>
            <w:shd w:val="clear" w:color="auto" w:fill="F2F6FA"/>
            <w:tcMar>
              <w:top w:w="60" w:type="dxa"/>
              <w:left w:w="100" w:type="dxa"/>
              <w:bottom w:w="60" w:type="dxa"/>
              <w:right w:w="100" w:type="dxa"/>
            </w:tcMar>
            <w:vAlign w:val="center"/>
          </w:tcPr>
          <w:p w14:paraId="21EC6183">
            <w:pPr>
              <w:jc w:val="center"/>
            </w:pPr>
            <w:r>
              <w:rPr>
                <w:rFonts w:ascii="Calibri" w:hAnsi="Calibri" w:eastAsia="Calibri" w:cs="Calibri"/>
                <w:b w:val="0"/>
                <w:bCs w:val="0"/>
                <w:sz w:val="20"/>
                <w:szCs w:val="20"/>
              </w:rPr>
              <w:t>1.600.000</w:t>
            </w:r>
          </w:p>
        </w:tc>
        <w:tc>
          <w:tcPr>
            <w:tcW w:w="1800" w:type="dxa"/>
            <w:shd w:val="clear" w:color="auto" w:fill="F2F6FA"/>
            <w:tcMar>
              <w:top w:w="60" w:type="dxa"/>
              <w:left w:w="100" w:type="dxa"/>
              <w:bottom w:w="60" w:type="dxa"/>
              <w:right w:w="100" w:type="dxa"/>
            </w:tcMar>
            <w:vAlign w:val="center"/>
          </w:tcPr>
          <w:p w14:paraId="1A51AD5C">
            <w:pPr>
              <w:jc w:val="center"/>
            </w:pPr>
            <w:r>
              <w:rPr>
                <w:rFonts w:ascii="Calibri" w:hAnsi="Calibri" w:eastAsia="Calibri" w:cs="Calibri"/>
                <w:b w:val="0"/>
                <w:bCs w:val="0"/>
                <w:sz w:val="20"/>
                <w:szCs w:val="20"/>
              </w:rPr>
              <w:t>1.450.000</w:t>
            </w:r>
          </w:p>
        </w:tc>
        <w:tc>
          <w:tcPr>
            <w:tcW w:w="1800" w:type="dxa"/>
            <w:shd w:val="clear" w:color="auto" w:fill="F2F6FA"/>
            <w:tcMar>
              <w:top w:w="60" w:type="dxa"/>
              <w:left w:w="100" w:type="dxa"/>
              <w:bottom w:w="60" w:type="dxa"/>
              <w:right w:w="100" w:type="dxa"/>
            </w:tcMar>
            <w:vAlign w:val="center"/>
          </w:tcPr>
          <w:p w14:paraId="4B726FC6">
            <w:pPr>
              <w:jc w:val="center"/>
            </w:pPr>
            <w:r>
              <w:rPr>
                <w:rFonts w:ascii="Calibri" w:hAnsi="Calibri" w:eastAsia="Calibri" w:cs="Calibri"/>
                <w:b w:val="0"/>
                <w:bCs w:val="0"/>
                <w:sz w:val="20"/>
                <w:szCs w:val="20"/>
              </w:rPr>
              <w:t>1.200.000</w:t>
            </w:r>
          </w:p>
        </w:tc>
        <w:tc>
          <w:tcPr>
            <w:tcW w:w="1800" w:type="dxa"/>
            <w:shd w:val="clear" w:color="auto" w:fill="F2F6FA"/>
            <w:tcMar>
              <w:top w:w="60" w:type="dxa"/>
              <w:left w:w="100" w:type="dxa"/>
              <w:bottom w:w="60" w:type="dxa"/>
              <w:right w:w="100" w:type="dxa"/>
            </w:tcMar>
            <w:vAlign w:val="center"/>
          </w:tcPr>
          <w:p w14:paraId="7D47257F">
            <w:pPr>
              <w:jc w:val="center"/>
            </w:pPr>
            <w:r>
              <w:rPr>
                <w:rFonts w:ascii="Calibri" w:hAnsi="Calibri" w:eastAsia="Calibri" w:cs="Calibri"/>
                <w:b w:val="0"/>
                <w:bCs w:val="0"/>
                <w:sz w:val="20"/>
                <w:szCs w:val="20"/>
              </w:rPr>
              <w:t>1.425.000</w:t>
            </w:r>
          </w:p>
        </w:tc>
      </w:tr>
      <w:tr w14:paraId="12E6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393B5AA2">
            <w:pPr>
              <w:jc w:val="left"/>
            </w:pPr>
            <w:r>
              <w:rPr>
                <w:rFonts w:ascii="Calibri" w:hAnsi="Calibri" w:eastAsia="Calibri" w:cs="Calibri"/>
                <w:b w:val="0"/>
                <w:bCs w:val="0"/>
                <w:sz w:val="20"/>
                <w:szCs w:val="20"/>
              </w:rPr>
              <w:t>IA</w:t>
            </w:r>
          </w:p>
        </w:tc>
        <w:tc>
          <w:tcPr>
            <w:tcW w:w="1800" w:type="dxa"/>
            <w:shd w:val="clear" w:color="auto" w:fill="FFFFFF"/>
            <w:tcMar>
              <w:top w:w="60" w:type="dxa"/>
              <w:left w:w="100" w:type="dxa"/>
              <w:bottom w:w="60" w:type="dxa"/>
              <w:right w:w="100" w:type="dxa"/>
            </w:tcMar>
            <w:vAlign w:val="center"/>
          </w:tcPr>
          <w:p w14:paraId="1143BEC8">
            <w:pPr>
              <w:jc w:val="center"/>
            </w:pPr>
            <w:r>
              <w:rPr>
                <w:rFonts w:ascii="Calibri" w:hAnsi="Calibri" w:eastAsia="Calibri" w:cs="Calibri"/>
                <w:b w:val="0"/>
                <w:bCs w:val="0"/>
                <w:sz w:val="20"/>
                <w:szCs w:val="20"/>
              </w:rPr>
              <w:t>2.800.000</w:t>
            </w:r>
          </w:p>
        </w:tc>
        <w:tc>
          <w:tcPr>
            <w:tcW w:w="1800" w:type="dxa"/>
            <w:shd w:val="clear" w:color="auto" w:fill="FFFFFF"/>
            <w:tcMar>
              <w:top w:w="60" w:type="dxa"/>
              <w:left w:w="100" w:type="dxa"/>
              <w:bottom w:w="60" w:type="dxa"/>
              <w:right w:w="100" w:type="dxa"/>
            </w:tcMar>
            <w:vAlign w:val="center"/>
          </w:tcPr>
          <w:p w14:paraId="20D602D3">
            <w:pPr>
              <w:jc w:val="center"/>
            </w:pPr>
            <w:r>
              <w:rPr>
                <w:rFonts w:ascii="Calibri" w:hAnsi="Calibri" w:eastAsia="Calibri" w:cs="Calibri"/>
                <w:b w:val="0"/>
                <w:bCs w:val="0"/>
                <w:sz w:val="20"/>
                <w:szCs w:val="20"/>
              </w:rPr>
              <w:t>900.000</w:t>
            </w:r>
          </w:p>
        </w:tc>
        <w:tc>
          <w:tcPr>
            <w:tcW w:w="1800" w:type="dxa"/>
            <w:shd w:val="clear" w:color="auto" w:fill="FFFFFF"/>
            <w:tcMar>
              <w:top w:w="60" w:type="dxa"/>
              <w:left w:w="100" w:type="dxa"/>
              <w:bottom w:w="60" w:type="dxa"/>
              <w:right w:w="100" w:type="dxa"/>
            </w:tcMar>
            <w:vAlign w:val="center"/>
          </w:tcPr>
          <w:p w14:paraId="31D84A08">
            <w:pPr>
              <w:jc w:val="center"/>
            </w:pPr>
            <w:r>
              <w:rPr>
                <w:rFonts w:ascii="Calibri" w:hAnsi="Calibri" w:eastAsia="Calibri" w:cs="Calibri"/>
                <w:b w:val="0"/>
                <w:bCs w:val="0"/>
                <w:sz w:val="20"/>
                <w:szCs w:val="20"/>
              </w:rPr>
              <w:t>-600.000</w:t>
            </w:r>
          </w:p>
        </w:tc>
        <w:tc>
          <w:tcPr>
            <w:tcW w:w="1800" w:type="dxa"/>
            <w:shd w:val="clear" w:color="auto" w:fill="FFFFFF"/>
            <w:tcMar>
              <w:top w:w="60" w:type="dxa"/>
              <w:left w:w="100" w:type="dxa"/>
              <w:bottom w:w="60" w:type="dxa"/>
              <w:right w:w="100" w:type="dxa"/>
            </w:tcMar>
            <w:vAlign w:val="center"/>
          </w:tcPr>
          <w:p w14:paraId="320EA628">
            <w:pPr>
              <w:jc w:val="center"/>
            </w:pPr>
            <w:r>
              <w:rPr>
                <w:rFonts w:ascii="Calibri" w:hAnsi="Calibri" w:eastAsia="Calibri" w:cs="Calibri"/>
                <w:b w:val="0"/>
                <w:bCs w:val="0"/>
                <w:sz w:val="20"/>
                <w:szCs w:val="20"/>
              </w:rPr>
              <w:t>1.000.000</w:t>
            </w:r>
          </w:p>
        </w:tc>
      </w:tr>
    </w:tbl>
    <w:p w14:paraId="1188DAAC">
      <w:pPr>
        <w:spacing w:after="140"/>
      </w:pPr>
    </w:p>
    <w:p w14:paraId="1A31CDB1">
      <w:pPr>
        <w:spacing w:after="140"/>
      </w:pPr>
      <w:r>
        <w:rPr>
          <w:rFonts w:ascii="Calibri" w:hAnsi="Calibri" w:eastAsia="Calibri" w:cs="Calibri"/>
          <w:sz w:val="22"/>
          <w:szCs w:val="22"/>
        </w:rPr>
        <w:t xml:space="preserve">ERP: </w:t>
      </w:r>
      <w:r>
        <w:rPr>
          <w:rFonts w:ascii="Calibri" w:hAnsi="Calibri" w:eastAsia="Calibri" w:cs="Calibri"/>
          <w:i/>
          <w:iCs/>
          <w:sz w:val="22"/>
          <w:szCs w:val="22"/>
        </w:rPr>
        <w:t>0,25(1.600.000) + 0,50(1.450.000) + 0,25(1.200.000) = 1.425.000</w:t>
      </w:r>
    </w:p>
    <w:p w14:paraId="39C11741">
      <w:pPr>
        <w:spacing w:after="140"/>
      </w:pPr>
      <w:r>
        <w:rPr>
          <w:rFonts w:ascii="Calibri" w:hAnsi="Calibri" w:eastAsia="Calibri" w:cs="Calibri"/>
          <w:sz w:val="22"/>
          <w:szCs w:val="22"/>
        </w:rPr>
        <w:t xml:space="preserve">IA: </w:t>
      </w:r>
      <w:r>
        <w:rPr>
          <w:rFonts w:ascii="Calibri" w:hAnsi="Calibri" w:eastAsia="Calibri" w:cs="Calibri"/>
          <w:i/>
          <w:iCs/>
          <w:sz w:val="22"/>
          <w:szCs w:val="22"/>
        </w:rPr>
        <w:t>0,25(2.800.000) + 0,50(900.000) + 0,25(-600.000) = 1.000.000</w:t>
      </w:r>
    </w:p>
    <w:p w14:paraId="6D5A2C51">
      <w:pPr>
        <w:spacing w:after="140"/>
      </w:pPr>
      <w:r>
        <w:rPr>
          <w:rFonts w:ascii="Calibri" w:hAnsi="Calibri" w:eastAsia="Calibri" w:cs="Calibri"/>
          <w:sz w:val="22"/>
          <w:szCs w:val="22"/>
        </w:rPr>
        <w:t>El ERP nunca cruza cero en ningún escenario. La IA gana en el escenario optimista pero destruye USD 600 mil en el pesimista.</w:t>
      </w:r>
    </w:p>
    <w:p w14:paraId="193D6A9B">
      <w:pPr>
        <w:pStyle w:val="3"/>
        <w:spacing w:before="240" w:after="100"/>
      </w:pPr>
      <w:r>
        <w:rPr>
          <w:rFonts w:ascii="Calibri" w:hAnsi="Calibri" w:eastAsia="Calibri" w:cs="Calibri"/>
          <w:b/>
          <w:bCs/>
          <w:color w:val="1F4E79"/>
          <w:sz w:val="24"/>
          <w:szCs w:val="24"/>
        </w:rPr>
        <w:t>¿Cambiarían su recomendación?</w:t>
      </w:r>
    </w:p>
    <w:p w14:paraId="33A617E0">
      <w:pPr>
        <w:spacing w:after="140"/>
      </w:pPr>
      <w:r>
        <w:rPr>
          <w:rFonts w:ascii="Calibri" w:hAnsi="Calibri" w:eastAsia="Calibri" w:cs="Calibri"/>
          <w:b/>
          <w:bCs/>
          <w:sz w:val="22"/>
          <w:szCs w:val="22"/>
        </w:rPr>
        <w:t xml:space="preserve">No. </w:t>
      </w:r>
      <w:r>
        <w:rPr>
          <w:rFonts w:ascii="Calibri" w:hAnsi="Calibri" w:eastAsia="Calibri" w:cs="Calibri"/>
          <w:sz w:val="22"/>
          <w:szCs w:val="22"/>
        </w:rPr>
        <w:t>El mix sigue siendo ERP + Planta + App. Lo que cambia es el argumento frente al Directorio:</w:t>
      </w:r>
    </w:p>
    <w:p w14:paraId="2E4F629E">
      <w:pPr>
        <w:pStyle w:val="16"/>
        <w:numPr>
          <w:ilvl w:val="0"/>
          <w:numId w:val="1"/>
        </w:numPr>
        <w:spacing w:after="80"/>
      </w:pPr>
      <w:r>
        <w:rPr>
          <w:rFonts w:ascii="Calibri" w:hAnsi="Calibri" w:eastAsia="Calibri" w:cs="Calibri"/>
          <w:sz w:val="22"/>
          <w:szCs w:val="22"/>
        </w:rPr>
        <w:t>El ERP pasa de "mejor VAN unitario" a "mejor VAN y mejor riesgo" (bajo VE, alta robustez).</w:t>
      </w:r>
    </w:p>
    <w:p w14:paraId="18480387">
      <w:pPr>
        <w:pStyle w:val="16"/>
        <w:numPr>
          <w:ilvl w:val="0"/>
          <w:numId w:val="1"/>
        </w:numPr>
        <w:spacing w:after="80"/>
      </w:pPr>
      <w:r>
        <w:rPr>
          <w:rFonts w:ascii="Calibri" w:hAnsi="Calibri" w:eastAsia="Calibri" w:cs="Calibri"/>
          <w:sz w:val="22"/>
          <w:szCs w:val="22"/>
        </w:rPr>
        <w:t>La IA no se cuela: sustituir la Planta por la IA deja el VE del portafolio unos USD 255 mil más abajo y agrega cola negativa.</w:t>
      </w:r>
    </w:p>
    <w:p w14:paraId="5FEA54FC">
      <w:pPr>
        <w:pStyle w:val="16"/>
        <w:numPr>
          <w:ilvl w:val="0"/>
          <w:numId w:val="1"/>
        </w:numPr>
        <w:spacing w:after="80"/>
      </w:pPr>
      <w:r>
        <w:rPr>
          <w:rFonts w:ascii="Calibri" w:hAnsi="Calibri" w:eastAsia="Calibri" w:cs="Calibri"/>
          <w:sz w:val="22"/>
          <w:szCs w:val="22"/>
        </w:rPr>
        <w:t>La Planta se mantiene por valor, con seguimiento de mercado recomendado.</w:t>
      </w:r>
    </w:p>
    <w:p w14:paraId="3F0D6E87">
      <w:pPr>
        <w:pStyle w:val="16"/>
        <w:numPr>
          <w:ilvl w:val="0"/>
          <w:numId w:val="1"/>
        </w:numPr>
        <w:spacing w:after="80"/>
      </w:pPr>
      <w:r>
        <w:rPr>
          <w:rFonts w:ascii="Calibri" w:hAnsi="Calibri" w:eastAsia="Calibri" w:cs="Calibri"/>
          <w:sz w:val="22"/>
          <w:szCs w:val="22"/>
        </w:rPr>
        <w:t>La App se mantiene: ticket chico (USD 700 mil) y recupero rápido mitigan el riesgo de obsolescencia.</w:t>
      </w:r>
    </w:p>
    <w:p w14:paraId="0248FFA2">
      <w:pPr>
        <w:pStyle w:val="16"/>
        <w:numPr>
          <w:ilvl w:val="0"/>
          <w:numId w:val="1"/>
        </w:numPr>
        <w:spacing w:after="80"/>
      </w:pPr>
      <w:r>
        <w:rPr>
          <w:rFonts w:ascii="Calibri" w:hAnsi="Calibri" w:eastAsia="Calibri" w:cs="Calibri"/>
          <w:sz w:val="22"/>
          <w:szCs w:val="22"/>
        </w:rPr>
        <w:t>El Data Center sigue fuera: muy robusto, pero de bajo valor.</w:t>
      </w:r>
    </w:p>
    <w:p w14:paraId="0AEB5521">
      <w:pPr>
        <w:pStyle w:val="2"/>
        <w:pBdr>
          <w:bottom w:val="single" w:color="1F4E79" w:sz="6" w:space="4"/>
        </w:pBdr>
        <w:spacing w:before="320" w:after="160"/>
      </w:pPr>
      <w:r>
        <w:rPr>
          <w:rFonts w:ascii="Calibri" w:hAnsi="Calibri" w:eastAsia="Calibri" w:cs="Calibri"/>
          <w:b/>
          <w:bCs/>
          <w:color w:val="1F4E79"/>
          <w:sz w:val="28"/>
          <w:szCs w:val="28"/>
        </w:rPr>
        <w:t>Etapa 3 — Revisión por suba de tasa (10% → 18%)</w:t>
      </w:r>
    </w:p>
    <w:p w14:paraId="1F93C37D">
      <w:pPr>
        <w:spacing w:after="140"/>
      </w:pPr>
      <w:r>
        <w:rPr>
          <w:rFonts w:ascii="Calibri" w:hAnsi="Calibri" w:eastAsia="Calibri" w:cs="Calibri"/>
          <w:sz w:val="22"/>
          <w:szCs w:val="22"/>
        </w:rPr>
        <w:t>El Banco Central sube la tasa al 18%. El VAN se recalcula; la TIR no cambia, pero sí el listón de corte (ahora TIR &gt; 18%).</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1600"/>
        <w:gridCol w:w="1600"/>
        <w:gridCol w:w="1800"/>
      </w:tblGrid>
      <w:tr w14:paraId="5B45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79"/>
            <w:tcMar>
              <w:top w:w="60" w:type="dxa"/>
              <w:left w:w="100" w:type="dxa"/>
              <w:bottom w:w="60" w:type="dxa"/>
              <w:right w:w="100" w:type="dxa"/>
            </w:tcMar>
            <w:vAlign w:val="center"/>
          </w:tcPr>
          <w:p w14:paraId="14F59E38">
            <w:pPr>
              <w:jc w:val="center"/>
            </w:pPr>
            <w:r>
              <w:rPr>
                <w:rFonts w:ascii="Calibri" w:hAnsi="Calibri" w:eastAsia="Calibri" w:cs="Calibri"/>
                <w:b/>
                <w:bCs/>
                <w:sz w:val="20"/>
                <w:szCs w:val="20"/>
              </w:rPr>
              <w:t>Proyecto</w:t>
            </w:r>
          </w:p>
        </w:tc>
        <w:tc>
          <w:tcPr>
            <w:tcW w:w="1600" w:type="dxa"/>
            <w:shd w:val="clear" w:color="auto" w:fill="1F4E79"/>
            <w:tcMar>
              <w:top w:w="60" w:type="dxa"/>
              <w:left w:w="100" w:type="dxa"/>
              <w:bottom w:w="60" w:type="dxa"/>
              <w:right w:w="100" w:type="dxa"/>
            </w:tcMar>
            <w:vAlign w:val="center"/>
          </w:tcPr>
          <w:p w14:paraId="5716E60E">
            <w:pPr>
              <w:jc w:val="center"/>
            </w:pPr>
            <w:r>
              <w:rPr>
                <w:rFonts w:ascii="Calibri" w:hAnsi="Calibri" w:eastAsia="Calibri" w:cs="Calibri"/>
                <w:b/>
                <w:bCs/>
                <w:sz w:val="20"/>
                <w:szCs w:val="20"/>
              </w:rPr>
              <w:t>VAN 10%</w:t>
            </w:r>
          </w:p>
        </w:tc>
        <w:tc>
          <w:tcPr>
            <w:tcW w:w="1600" w:type="dxa"/>
            <w:shd w:val="clear" w:color="auto" w:fill="1F4E79"/>
            <w:tcMar>
              <w:top w:w="60" w:type="dxa"/>
              <w:left w:w="100" w:type="dxa"/>
              <w:bottom w:w="60" w:type="dxa"/>
              <w:right w:w="100" w:type="dxa"/>
            </w:tcMar>
            <w:vAlign w:val="center"/>
          </w:tcPr>
          <w:p w14:paraId="122A3468">
            <w:pPr>
              <w:jc w:val="center"/>
            </w:pPr>
            <w:r>
              <w:rPr>
                <w:rFonts w:ascii="Calibri" w:hAnsi="Calibri" w:eastAsia="Calibri" w:cs="Calibri"/>
                <w:b/>
                <w:bCs/>
                <w:sz w:val="20"/>
                <w:szCs w:val="20"/>
              </w:rPr>
              <w:t>VAN 18%</w:t>
            </w:r>
          </w:p>
        </w:tc>
        <w:tc>
          <w:tcPr>
            <w:tcW w:w="1600" w:type="dxa"/>
            <w:shd w:val="clear" w:color="auto" w:fill="1F4E79"/>
            <w:tcMar>
              <w:top w:w="60" w:type="dxa"/>
              <w:left w:w="100" w:type="dxa"/>
              <w:bottom w:w="60" w:type="dxa"/>
              <w:right w:w="100" w:type="dxa"/>
            </w:tcMar>
            <w:vAlign w:val="center"/>
          </w:tcPr>
          <w:p w14:paraId="5991AADD">
            <w:pPr>
              <w:jc w:val="center"/>
            </w:pPr>
            <w:r>
              <w:rPr>
                <w:rFonts w:ascii="Calibri" w:hAnsi="Calibri" w:eastAsia="Calibri" w:cs="Calibri"/>
                <w:b/>
                <w:bCs/>
                <w:sz w:val="20"/>
                <w:szCs w:val="20"/>
              </w:rPr>
              <w:t>TIR vs. 18%</w:t>
            </w:r>
          </w:p>
        </w:tc>
        <w:tc>
          <w:tcPr>
            <w:tcW w:w="1800" w:type="dxa"/>
            <w:shd w:val="clear" w:color="auto" w:fill="1F4E79"/>
            <w:tcMar>
              <w:top w:w="60" w:type="dxa"/>
              <w:left w:w="100" w:type="dxa"/>
              <w:bottom w:w="60" w:type="dxa"/>
              <w:right w:w="100" w:type="dxa"/>
            </w:tcMar>
            <w:vAlign w:val="center"/>
          </w:tcPr>
          <w:p w14:paraId="713A451C">
            <w:pPr>
              <w:jc w:val="center"/>
            </w:pPr>
            <w:r>
              <w:rPr>
                <w:rFonts w:ascii="Calibri" w:hAnsi="Calibri" w:eastAsia="Calibri" w:cs="Calibri"/>
                <w:b/>
                <w:bCs/>
                <w:sz w:val="20"/>
                <w:szCs w:val="20"/>
              </w:rPr>
              <w:t>Decisión</w:t>
            </w:r>
          </w:p>
        </w:tc>
      </w:tr>
      <w:tr w14:paraId="2F35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A"/>
            <w:tcMar>
              <w:top w:w="60" w:type="dxa"/>
              <w:left w:w="100" w:type="dxa"/>
              <w:bottom w:w="60" w:type="dxa"/>
              <w:right w:w="100" w:type="dxa"/>
            </w:tcMar>
            <w:vAlign w:val="center"/>
          </w:tcPr>
          <w:p w14:paraId="11DB1FA8">
            <w:pPr>
              <w:jc w:val="left"/>
            </w:pPr>
            <w:r>
              <w:rPr>
                <w:rFonts w:ascii="Calibri" w:hAnsi="Calibri" w:eastAsia="Calibri" w:cs="Calibri"/>
                <w:b w:val="0"/>
                <w:bCs w:val="0"/>
                <w:sz w:val="20"/>
                <w:szCs w:val="20"/>
              </w:rPr>
              <w:t>ERP</w:t>
            </w:r>
          </w:p>
        </w:tc>
        <w:tc>
          <w:tcPr>
            <w:tcW w:w="1600" w:type="dxa"/>
            <w:shd w:val="clear" w:color="auto" w:fill="F2F6FA"/>
            <w:tcMar>
              <w:top w:w="60" w:type="dxa"/>
              <w:left w:w="100" w:type="dxa"/>
              <w:bottom w:w="60" w:type="dxa"/>
              <w:right w:w="100" w:type="dxa"/>
            </w:tcMar>
            <w:vAlign w:val="center"/>
          </w:tcPr>
          <w:p w14:paraId="6ECE1465">
            <w:pPr>
              <w:jc w:val="center"/>
            </w:pPr>
            <w:r>
              <w:rPr>
                <w:rFonts w:ascii="Calibri" w:hAnsi="Calibri" w:eastAsia="Calibri" w:cs="Calibri"/>
                <w:b w:val="0"/>
                <w:bCs w:val="0"/>
                <w:sz w:val="20"/>
                <w:szCs w:val="20"/>
              </w:rPr>
              <w:t>1.448.730</w:t>
            </w:r>
          </w:p>
        </w:tc>
        <w:tc>
          <w:tcPr>
            <w:tcW w:w="1600" w:type="dxa"/>
            <w:shd w:val="clear" w:color="auto" w:fill="F2F6FA"/>
            <w:tcMar>
              <w:top w:w="60" w:type="dxa"/>
              <w:left w:w="100" w:type="dxa"/>
              <w:bottom w:w="60" w:type="dxa"/>
              <w:right w:w="100" w:type="dxa"/>
            </w:tcMar>
            <w:vAlign w:val="center"/>
          </w:tcPr>
          <w:p w14:paraId="384658EA">
            <w:pPr>
              <w:jc w:val="center"/>
            </w:pPr>
            <w:r>
              <w:rPr>
                <w:rFonts w:ascii="Calibri" w:hAnsi="Calibri" w:eastAsia="Calibri" w:cs="Calibri"/>
                <w:b w:val="0"/>
                <w:bCs w:val="0"/>
                <w:sz w:val="20"/>
                <w:szCs w:val="20"/>
              </w:rPr>
              <w:t>922.520</w:t>
            </w:r>
          </w:p>
        </w:tc>
        <w:tc>
          <w:tcPr>
            <w:tcW w:w="1600" w:type="dxa"/>
            <w:shd w:val="clear" w:color="auto" w:fill="F2F6FA"/>
            <w:tcMar>
              <w:top w:w="60" w:type="dxa"/>
              <w:left w:w="100" w:type="dxa"/>
              <w:bottom w:w="60" w:type="dxa"/>
              <w:right w:w="100" w:type="dxa"/>
            </w:tcMar>
            <w:vAlign w:val="center"/>
          </w:tcPr>
          <w:p w14:paraId="77BB11B6">
            <w:pPr>
              <w:jc w:val="center"/>
            </w:pPr>
            <w:r>
              <w:rPr>
                <w:rFonts w:ascii="Calibri" w:hAnsi="Calibri" w:eastAsia="Calibri" w:cs="Calibri"/>
                <w:b w:val="0"/>
                <w:bCs w:val="0"/>
                <w:sz w:val="20"/>
                <w:szCs w:val="20"/>
              </w:rPr>
              <w:t>Por encima</w:t>
            </w:r>
          </w:p>
        </w:tc>
        <w:tc>
          <w:tcPr>
            <w:tcW w:w="1800" w:type="dxa"/>
            <w:shd w:val="clear" w:color="auto" w:fill="F2F6FA"/>
            <w:tcMar>
              <w:top w:w="60" w:type="dxa"/>
              <w:left w:w="100" w:type="dxa"/>
              <w:bottom w:w="60" w:type="dxa"/>
              <w:right w:w="100" w:type="dxa"/>
            </w:tcMar>
            <w:vAlign w:val="center"/>
          </w:tcPr>
          <w:p w14:paraId="6D5D8D2A">
            <w:pPr>
              <w:jc w:val="center"/>
            </w:pPr>
            <w:r>
              <w:rPr>
                <w:rFonts w:ascii="Calibri" w:hAnsi="Calibri" w:eastAsia="Calibri" w:cs="Calibri"/>
                <w:b w:val="0"/>
                <w:bCs w:val="0"/>
                <w:sz w:val="20"/>
                <w:szCs w:val="20"/>
              </w:rPr>
              <w:t>Se mantiene</w:t>
            </w:r>
          </w:p>
        </w:tc>
      </w:tr>
      <w:tr w14:paraId="72A4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43558AC9">
            <w:pPr>
              <w:jc w:val="left"/>
            </w:pPr>
            <w:r>
              <w:rPr>
                <w:rFonts w:ascii="Calibri" w:hAnsi="Calibri" w:eastAsia="Calibri" w:cs="Calibri"/>
                <w:b w:val="0"/>
                <w:bCs w:val="0"/>
                <w:sz w:val="20"/>
                <w:szCs w:val="20"/>
              </w:rPr>
              <w:t>Planta</w:t>
            </w:r>
          </w:p>
        </w:tc>
        <w:tc>
          <w:tcPr>
            <w:tcW w:w="1600" w:type="dxa"/>
            <w:shd w:val="clear" w:color="auto" w:fill="FFFFFF"/>
            <w:tcMar>
              <w:top w:w="60" w:type="dxa"/>
              <w:left w:w="100" w:type="dxa"/>
              <w:bottom w:w="60" w:type="dxa"/>
              <w:right w:w="100" w:type="dxa"/>
            </w:tcMar>
            <w:vAlign w:val="center"/>
          </w:tcPr>
          <w:p w14:paraId="5B588150">
            <w:pPr>
              <w:jc w:val="center"/>
            </w:pPr>
            <w:r>
              <w:rPr>
                <w:rFonts w:ascii="Calibri" w:hAnsi="Calibri" w:eastAsia="Calibri" w:cs="Calibri"/>
                <w:b w:val="0"/>
                <w:bCs w:val="0"/>
                <w:sz w:val="20"/>
                <w:szCs w:val="20"/>
              </w:rPr>
              <w:t>1.254.728</w:t>
            </w:r>
          </w:p>
        </w:tc>
        <w:tc>
          <w:tcPr>
            <w:tcW w:w="1600" w:type="dxa"/>
            <w:shd w:val="clear" w:color="auto" w:fill="FFFFFF"/>
            <w:tcMar>
              <w:top w:w="60" w:type="dxa"/>
              <w:left w:w="100" w:type="dxa"/>
              <w:bottom w:w="60" w:type="dxa"/>
              <w:right w:w="100" w:type="dxa"/>
            </w:tcMar>
            <w:vAlign w:val="center"/>
          </w:tcPr>
          <w:p w14:paraId="1A0BC6AB">
            <w:pPr>
              <w:jc w:val="center"/>
            </w:pPr>
            <w:r>
              <w:rPr>
                <w:rFonts w:ascii="Calibri" w:hAnsi="Calibri" w:eastAsia="Calibri" w:cs="Calibri"/>
                <w:b w:val="0"/>
                <w:bCs w:val="0"/>
                <w:sz w:val="20"/>
                <w:szCs w:val="20"/>
              </w:rPr>
              <w:t>476.304</w:t>
            </w:r>
          </w:p>
        </w:tc>
        <w:tc>
          <w:tcPr>
            <w:tcW w:w="1600" w:type="dxa"/>
            <w:shd w:val="clear" w:color="auto" w:fill="FFFFFF"/>
            <w:tcMar>
              <w:top w:w="60" w:type="dxa"/>
              <w:left w:w="100" w:type="dxa"/>
              <w:bottom w:w="60" w:type="dxa"/>
              <w:right w:w="100" w:type="dxa"/>
            </w:tcMar>
            <w:vAlign w:val="center"/>
          </w:tcPr>
          <w:p w14:paraId="04352CF6">
            <w:pPr>
              <w:jc w:val="center"/>
            </w:pPr>
            <w:r>
              <w:rPr>
                <w:rFonts w:ascii="Calibri" w:hAnsi="Calibri" w:eastAsia="Calibri" w:cs="Calibri"/>
                <w:b w:val="0"/>
                <w:bCs w:val="0"/>
                <w:sz w:val="20"/>
                <w:szCs w:val="20"/>
              </w:rPr>
              <w:t>Por encima</w:t>
            </w:r>
          </w:p>
        </w:tc>
        <w:tc>
          <w:tcPr>
            <w:tcW w:w="1800" w:type="dxa"/>
            <w:shd w:val="clear" w:color="auto" w:fill="FFFFFF"/>
            <w:tcMar>
              <w:top w:w="60" w:type="dxa"/>
              <w:left w:w="100" w:type="dxa"/>
              <w:bottom w:w="60" w:type="dxa"/>
              <w:right w:w="100" w:type="dxa"/>
            </w:tcMar>
            <w:vAlign w:val="center"/>
          </w:tcPr>
          <w:p w14:paraId="4884AE02">
            <w:pPr>
              <w:jc w:val="center"/>
            </w:pPr>
            <w:r>
              <w:rPr>
                <w:rFonts w:ascii="Calibri" w:hAnsi="Calibri" w:eastAsia="Calibri" w:cs="Calibri"/>
                <w:b w:val="0"/>
                <w:bCs w:val="0"/>
                <w:sz w:val="20"/>
                <w:szCs w:val="20"/>
              </w:rPr>
              <w:t>Deja de forzarse</w:t>
            </w:r>
          </w:p>
        </w:tc>
      </w:tr>
      <w:tr w14:paraId="2A85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A"/>
            <w:tcMar>
              <w:top w:w="60" w:type="dxa"/>
              <w:left w:w="100" w:type="dxa"/>
              <w:bottom w:w="60" w:type="dxa"/>
              <w:right w:w="100" w:type="dxa"/>
            </w:tcMar>
            <w:vAlign w:val="center"/>
          </w:tcPr>
          <w:p w14:paraId="2C70937F">
            <w:pPr>
              <w:jc w:val="left"/>
            </w:pPr>
            <w:r>
              <w:rPr>
                <w:rFonts w:ascii="Calibri" w:hAnsi="Calibri" w:eastAsia="Calibri" w:cs="Calibri"/>
                <w:b w:val="0"/>
                <w:bCs w:val="0"/>
                <w:sz w:val="20"/>
                <w:szCs w:val="20"/>
              </w:rPr>
              <w:t>IA</w:t>
            </w:r>
          </w:p>
        </w:tc>
        <w:tc>
          <w:tcPr>
            <w:tcW w:w="1600" w:type="dxa"/>
            <w:shd w:val="clear" w:color="auto" w:fill="F2F6FA"/>
            <w:tcMar>
              <w:top w:w="60" w:type="dxa"/>
              <w:left w:w="100" w:type="dxa"/>
              <w:bottom w:w="60" w:type="dxa"/>
              <w:right w:w="100" w:type="dxa"/>
            </w:tcMar>
            <w:vAlign w:val="center"/>
          </w:tcPr>
          <w:p w14:paraId="32F62D62">
            <w:pPr>
              <w:jc w:val="center"/>
            </w:pPr>
            <w:r>
              <w:rPr>
                <w:rFonts w:ascii="Calibri" w:hAnsi="Calibri" w:eastAsia="Calibri" w:cs="Calibri"/>
                <w:b w:val="0"/>
                <w:bCs w:val="0"/>
                <w:sz w:val="20"/>
                <w:szCs w:val="20"/>
              </w:rPr>
              <w:t>899.473</w:t>
            </w:r>
          </w:p>
        </w:tc>
        <w:tc>
          <w:tcPr>
            <w:tcW w:w="1600" w:type="dxa"/>
            <w:shd w:val="clear" w:color="auto" w:fill="F2F6FA"/>
            <w:tcMar>
              <w:top w:w="60" w:type="dxa"/>
              <w:left w:w="100" w:type="dxa"/>
              <w:bottom w:w="60" w:type="dxa"/>
              <w:right w:w="100" w:type="dxa"/>
            </w:tcMar>
            <w:vAlign w:val="center"/>
          </w:tcPr>
          <w:p w14:paraId="2D989A52">
            <w:pPr>
              <w:jc w:val="center"/>
            </w:pPr>
            <w:r>
              <w:rPr>
                <w:rFonts w:ascii="Calibri" w:hAnsi="Calibri" w:eastAsia="Calibri" w:cs="Calibri"/>
                <w:b w:val="0"/>
                <w:bCs w:val="0"/>
                <w:sz w:val="20"/>
                <w:szCs w:val="20"/>
              </w:rPr>
              <w:t>475.534</w:t>
            </w:r>
          </w:p>
        </w:tc>
        <w:tc>
          <w:tcPr>
            <w:tcW w:w="1600" w:type="dxa"/>
            <w:shd w:val="clear" w:color="auto" w:fill="F2F6FA"/>
            <w:tcMar>
              <w:top w:w="60" w:type="dxa"/>
              <w:left w:w="100" w:type="dxa"/>
              <w:bottom w:w="60" w:type="dxa"/>
              <w:right w:w="100" w:type="dxa"/>
            </w:tcMar>
            <w:vAlign w:val="center"/>
          </w:tcPr>
          <w:p w14:paraId="3640A911">
            <w:pPr>
              <w:jc w:val="center"/>
            </w:pPr>
            <w:r>
              <w:rPr>
                <w:rFonts w:ascii="Calibri" w:hAnsi="Calibri" w:eastAsia="Calibri" w:cs="Calibri"/>
                <w:b w:val="0"/>
                <w:bCs w:val="0"/>
                <w:sz w:val="20"/>
                <w:szCs w:val="20"/>
              </w:rPr>
              <w:t>Por encima</w:t>
            </w:r>
          </w:p>
        </w:tc>
        <w:tc>
          <w:tcPr>
            <w:tcW w:w="1800" w:type="dxa"/>
            <w:shd w:val="clear" w:color="auto" w:fill="F2F6FA"/>
            <w:tcMar>
              <w:top w:w="60" w:type="dxa"/>
              <w:left w:w="100" w:type="dxa"/>
              <w:bottom w:w="60" w:type="dxa"/>
              <w:right w:w="100" w:type="dxa"/>
            </w:tcMar>
            <w:vAlign w:val="center"/>
          </w:tcPr>
          <w:p w14:paraId="0D464DC6">
            <w:pPr>
              <w:jc w:val="center"/>
            </w:pPr>
            <w:r>
              <w:rPr>
                <w:rFonts w:ascii="Calibri" w:hAnsi="Calibri" w:eastAsia="Calibri" w:cs="Calibri"/>
                <w:b w:val="0"/>
                <w:bCs w:val="0"/>
                <w:sz w:val="20"/>
                <w:szCs w:val="20"/>
              </w:rPr>
              <w:t>Entra al mix</w:t>
            </w:r>
          </w:p>
        </w:tc>
      </w:tr>
      <w:tr w14:paraId="6FC8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68287BE8">
            <w:pPr>
              <w:jc w:val="left"/>
            </w:pPr>
            <w:r>
              <w:rPr>
                <w:rFonts w:ascii="Calibri" w:hAnsi="Calibri" w:eastAsia="Calibri" w:cs="Calibri"/>
                <w:b w:val="0"/>
                <w:bCs w:val="0"/>
                <w:sz w:val="20"/>
                <w:szCs w:val="20"/>
              </w:rPr>
              <w:t>App</w:t>
            </w:r>
          </w:p>
        </w:tc>
        <w:tc>
          <w:tcPr>
            <w:tcW w:w="1600" w:type="dxa"/>
            <w:shd w:val="clear" w:color="auto" w:fill="FFFFFF"/>
            <w:tcMar>
              <w:top w:w="60" w:type="dxa"/>
              <w:left w:w="100" w:type="dxa"/>
              <w:bottom w:w="60" w:type="dxa"/>
              <w:right w:w="100" w:type="dxa"/>
            </w:tcMar>
            <w:vAlign w:val="center"/>
          </w:tcPr>
          <w:p w14:paraId="4FA131DE">
            <w:pPr>
              <w:jc w:val="center"/>
            </w:pPr>
            <w:r>
              <w:rPr>
                <w:rFonts w:ascii="Calibri" w:hAnsi="Calibri" w:eastAsia="Calibri" w:cs="Calibri"/>
                <w:b w:val="0"/>
                <w:bCs w:val="0"/>
                <w:sz w:val="20"/>
                <w:szCs w:val="20"/>
              </w:rPr>
              <w:t>292.847</w:t>
            </w:r>
          </w:p>
        </w:tc>
        <w:tc>
          <w:tcPr>
            <w:tcW w:w="1600" w:type="dxa"/>
            <w:shd w:val="clear" w:color="auto" w:fill="FFFFFF"/>
            <w:tcMar>
              <w:top w:w="60" w:type="dxa"/>
              <w:left w:w="100" w:type="dxa"/>
              <w:bottom w:w="60" w:type="dxa"/>
              <w:right w:w="100" w:type="dxa"/>
            </w:tcMar>
            <w:vAlign w:val="center"/>
          </w:tcPr>
          <w:p w14:paraId="78E36A90">
            <w:pPr>
              <w:jc w:val="center"/>
            </w:pPr>
            <w:r>
              <w:rPr>
                <w:rFonts w:ascii="Calibri" w:hAnsi="Calibri" w:eastAsia="Calibri" w:cs="Calibri"/>
                <w:b w:val="0"/>
                <w:bCs w:val="0"/>
                <w:sz w:val="20"/>
                <w:szCs w:val="20"/>
              </w:rPr>
              <w:t>154.842</w:t>
            </w:r>
          </w:p>
        </w:tc>
        <w:tc>
          <w:tcPr>
            <w:tcW w:w="1600" w:type="dxa"/>
            <w:shd w:val="clear" w:color="auto" w:fill="FFFFFF"/>
            <w:tcMar>
              <w:top w:w="60" w:type="dxa"/>
              <w:left w:w="100" w:type="dxa"/>
              <w:bottom w:w="60" w:type="dxa"/>
              <w:right w:w="100" w:type="dxa"/>
            </w:tcMar>
            <w:vAlign w:val="center"/>
          </w:tcPr>
          <w:p w14:paraId="0E626BEA">
            <w:pPr>
              <w:jc w:val="center"/>
            </w:pPr>
            <w:r>
              <w:rPr>
                <w:rFonts w:ascii="Calibri" w:hAnsi="Calibri" w:eastAsia="Calibri" w:cs="Calibri"/>
                <w:b w:val="0"/>
                <w:bCs w:val="0"/>
                <w:sz w:val="20"/>
                <w:szCs w:val="20"/>
              </w:rPr>
              <w:t>Por encima</w:t>
            </w:r>
          </w:p>
        </w:tc>
        <w:tc>
          <w:tcPr>
            <w:tcW w:w="1800" w:type="dxa"/>
            <w:shd w:val="clear" w:color="auto" w:fill="FFFFFF"/>
            <w:tcMar>
              <w:top w:w="60" w:type="dxa"/>
              <w:left w:w="100" w:type="dxa"/>
              <w:bottom w:w="60" w:type="dxa"/>
              <w:right w:w="100" w:type="dxa"/>
            </w:tcMar>
            <w:vAlign w:val="center"/>
          </w:tcPr>
          <w:p w14:paraId="0556EFB6">
            <w:pPr>
              <w:jc w:val="center"/>
            </w:pPr>
            <w:r>
              <w:rPr>
                <w:rFonts w:ascii="Calibri" w:hAnsi="Calibri" w:eastAsia="Calibri" w:cs="Calibri"/>
                <w:b w:val="0"/>
                <w:bCs w:val="0"/>
                <w:sz w:val="20"/>
                <w:szCs w:val="20"/>
              </w:rPr>
              <w:t>Se mantiene</w:t>
            </w:r>
          </w:p>
        </w:tc>
      </w:tr>
      <w:tr w14:paraId="6E2A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A"/>
            <w:tcMar>
              <w:top w:w="60" w:type="dxa"/>
              <w:left w:w="100" w:type="dxa"/>
              <w:bottom w:w="60" w:type="dxa"/>
              <w:right w:w="100" w:type="dxa"/>
            </w:tcMar>
            <w:vAlign w:val="center"/>
          </w:tcPr>
          <w:p w14:paraId="6431B007">
            <w:pPr>
              <w:jc w:val="left"/>
            </w:pPr>
            <w:r>
              <w:rPr>
                <w:rFonts w:ascii="Calibri" w:hAnsi="Calibri" w:eastAsia="Calibri" w:cs="Calibri"/>
                <w:b w:val="0"/>
                <w:bCs w:val="0"/>
                <w:sz w:val="20"/>
                <w:szCs w:val="20"/>
              </w:rPr>
              <w:t>Data Center</w:t>
            </w:r>
          </w:p>
        </w:tc>
        <w:tc>
          <w:tcPr>
            <w:tcW w:w="1600" w:type="dxa"/>
            <w:shd w:val="clear" w:color="auto" w:fill="F2F6FA"/>
            <w:tcMar>
              <w:top w:w="60" w:type="dxa"/>
              <w:left w:w="100" w:type="dxa"/>
              <w:bottom w:w="60" w:type="dxa"/>
              <w:right w:w="100" w:type="dxa"/>
            </w:tcMar>
            <w:vAlign w:val="center"/>
          </w:tcPr>
          <w:p w14:paraId="0BBCA8CE">
            <w:pPr>
              <w:jc w:val="center"/>
            </w:pPr>
            <w:r>
              <w:rPr>
                <w:rFonts w:ascii="Calibri" w:hAnsi="Calibri" w:eastAsia="Calibri" w:cs="Calibri"/>
                <w:b w:val="0"/>
                <w:bCs w:val="0"/>
                <w:sz w:val="20"/>
                <w:szCs w:val="20"/>
              </w:rPr>
              <w:t>232.629</w:t>
            </w:r>
          </w:p>
        </w:tc>
        <w:tc>
          <w:tcPr>
            <w:tcW w:w="1600" w:type="dxa"/>
            <w:shd w:val="clear" w:color="auto" w:fill="F2F6FA"/>
            <w:tcMar>
              <w:top w:w="60" w:type="dxa"/>
              <w:left w:w="100" w:type="dxa"/>
              <w:bottom w:w="60" w:type="dxa"/>
              <w:right w:w="100" w:type="dxa"/>
            </w:tcMar>
            <w:vAlign w:val="center"/>
          </w:tcPr>
          <w:p w14:paraId="439219AA">
            <w:pPr>
              <w:jc w:val="center"/>
            </w:pPr>
            <w:r>
              <w:rPr>
                <w:rFonts w:ascii="Calibri" w:hAnsi="Calibri" w:eastAsia="Calibri" w:cs="Calibri"/>
                <w:b w:val="0"/>
                <w:bCs w:val="0"/>
                <w:sz w:val="20"/>
                <w:szCs w:val="20"/>
              </w:rPr>
              <w:t>-131.789</w:t>
            </w:r>
          </w:p>
        </w:tc>
        <w:tc>
          <w:tcPr>
            <w:tcW w:w="1600" w:type="dxa"/>
            <w:shd w:val="clear" w:color="auto" w:fill="F2F6FA"/>
            <w:tcMar>
              <w:top w:w="60" w:type="dxa"/>
              <w:left w:w="100" w:type="dxa"/>
              <w:bottom w:w="60" w:type="dxa"/>
              <w:right w:w="100" w:type="dxa"/>
            </w:tcMar>
            <w:vAlign w:val="center"/>
          </w:tcPr>
          <w:p w14:paraId="3126117C">
            <w:pPr>
              <w:jc w:val="center"/>
            </w:pPr>
            <w:r>
              <w:rPr>
                <w:rFonts w:ascii="Calibri" w:hAnsi="Calibri" w:eastAsia="Calibri" w:cs="Calibri"/>
                <w:b w:val="0"/>
                <w:bCs w:val="0"/>
                <w:sz w:val="20"/>
                <w:szCs w:val="20"/>
              </w:rPr>
              <w:t>Por debajo</w:t>
            </w:r>
          </w:p>
        </w:tc>
        <w:tc>
          <w:tcPr>
            <w:tcW w:w="1800" w:type="dxa"/>
            <w:shd w:val="clear" w:color="auto" w:fill="F2F6FA"/>
            <w:tcMar>
              <w:top w:w="60" w:type="dxa"/>
              <w:left w:w="100" w:type="dxa"/>
              <w:bottom w:w="60" w:type="dxa"/>
              <w:right w:w="100" w:type="dxa"/>
            </w:tcMar>
            <w:vAlign w:val="center"/>
          </w:tcPr>
          <w:p w14:paraId="115F7F4A">
            <w:pPr>
              <w:jc w:val="center"/>
            </w:pPr>
            <w:r>
              <w:rPr>
                <w:rFonts w:ascii="Calibri" w:hAnsi="Calibri" w:eastAsia="Calibri" w:cs="Calibri"/>
                <w:b w:val="0"/>
                <w:bCs w:val="0"/>
                <w:sz w:val="20"/>
                <w:szCs w:val="20"/>
              </w:rPr>
              <w:t>Se rechaza</w:t>
            </w:r>
          </w:p>
        </w:tc>
      </w:tr>
    </w:tbl>
    <w:p w14:paraId="23FFFD96">
      <w:pPr>
        <w:spacing w:after="140"/>
      </w:pPr>
    </w:p>
    <w:p w14:paraId="72145D03">
      <w:pPr>
        <w:spacing w:after="140"/>
      </w:pPr>
      <w:r>
        <w:rPr>
          <w:rFonts w:ascii="Calibri" w:hAnsi="Calibri" w:eastAsia="Calibri" w:cs="Calibri"/>
          <w:b/>
          <w:bCs/>
          <w:sz w:val="22"/>
          <w:szCs w:val="22"/>
        </w:rPr>
        <w:t xml:space="preserve">Sí cambia la recomendación. </w:t>
      </w:r>
      <w:r>
        <w:rPr>
          <w:rFonts w:ascii="Calibri" w:hAnsi="Calibri" w:eastAsia="Calibri" w:cs="Calibri"/>
          <w:sz w:val="22"/>
          <w:szCs w:val="22"/>
        </w:rPr>
        <w:t>El mix pasa a ERP + IA + App (USD 3.400.000 invertidos).</w:t>
      </w:r>
    </w:p>
    <w:p w14:paraId="4716D267">
      <w:pPr>
        <w:pStyle w:val="16"/>
        <w:numPr>
          <w:ilvl w:val="0"/>
          <w:numId w:val="1"/>
        </w:numPr>
        <w:spacing w:after="80"/>
      </w:pPr>
      <w:r>
        <w:rPr>
          <w:rFonts w:ascii="Calibri" w:hAnsi="Calibri" w:eastAsia="Calibri" w:cs="Calibri"/>
          <w:sz w:val="22"/>
          <w:szCs w:val="22"/>
        </w:rPr>
        <w:t>Data Center se cae: TIR 14,8% ya no supera el nuevo listón del 18%; VAN pasa a negativo (-131.789).</w:t>
      </w:r>
    </w:p>
    <w:p w14:paraId="0FF90648">
      <w:pPr>
        <w:pStyle w:val="16"/>
        <w:numPr>
          <w:ilvl w:val="0"/>
          <w:numId w:val="1"/>
        </w:numPr>
        <w:spacing w:after="80"/>
      </w:pPr>
      <w:r>
        <w:rPr>
          <w:rFonts w:ascii="Calibri" w:hAnsi="Calibri" w:eastAsia="Calibri" w:cs="Calibri"/>
          <w:sz w:val="22"/>
          <w:szCs w:val="22"/>
        </w:rPr>
        <w:t>ERP y App se mantienen: VAN positivo y TIR holgada (42,3% y 30,3%).</w:t>
      </w:r>
    </w:p>
    <w:p w14:paraId="117CAF76">
      <w:pPr>
        <w:pStyle w:val="16"/>
        <w:numPr>
          <w:ilvl w:val="0"/>
          <w:numId w:val="1"/>
        </w:numPr>
        <w:spacing w:after="80"/>
      </w:pPr>
      <w:r>
        <w:rPr>
          <w:rFonts w:ascii="Calibri" w:hAnsi="Calibri" w:eastAsia="Calibri" w:cs="Calibri"/>
          <w:sz w:val="22"/>
          <w:szCs w:val="22"/>
        </w:rPr>
        <w:t>Planta vs. IA: prácticamente empatan en VAN (diferencia de solo USD 770), pero la IA logra ese valor con USD 1,6 M menos de capital inmovilizado. No tiene sentido forzar la Planta a esta tasa.</w:t>
      </w:r>
    </w:p>
    <w:p w14:paraId="06F171D0">
      <w:pPr>
        <w:spacing w:after="140"/>
      </w:pPr>
      <w:r>
        <w:rPr>
          <w:rFonts w:ascii="Calibri" w:hAnsi="Calibri" w:eastAsia="Calibri" w:cs="Calibri"/>
          <w:i/>
          <w:iCs/>
          <w:sz w:val="22"/>
          <w:szCs w:val="22"/>
        </w:rPr>
        <w:t>Plan B si el Directorio veta la IA: ERP + Planta + App sigue siendo aceptable (TIR de los tres &gt; 18%, VAN apenas USD 770 mayor), al costo de inmovilizar todo el cupo en el proyecto más sensible a tasa y mercado.</w:t>
      </w:r>
    </w:p>
    <w:p w14:paraId="397028B3">
      <w:pPr>
        <w:pStyle w:val="2"/>
        <w:pBdr>
          <w:bottom w:val="single" w:color="1F4E79" w:sz="6" w:space="4"/>
        </w:pBdr>
        <w:spacing w:before="320" w:after="160"/>
      </w:pPr>
      <w:r>
        <w:rPr>
          <w:rFonts w:ascii="Calibri" w:hAnsi="Calibri" w:eastAsia="Calibri" w:cs="Calibri"/>
          <w:b/>
          <w:bCs/>
          <w:color w:val="1F4E79"/>
          <w:sz w:val="28"/>
          <w:szCs w:val="28"/>
        </w:rPr>
        <w:t>Etapa 4 — Recomendación al Directorio</w:t>
      </w:r>
    </w:p>
    <w:p w14:paraId="43C3D3D8">
      <w:pPr>
        <w:spacing w:after="140"/>
      </w:pPr>
      <w:r>
        <w:rPr>
          <w:rFonts w:ascii="Calibri" w:hAnsi="Calibri" w:eastAsia="Calibri" w:cs="Calibri"/>
          <w:b/>
          <w:bCs/>
          <w:sz w:val="22"/>
          <w:szCs w:val="22"/>
        </w:rPr>
        <w:t>ALFA S.A. — Comité de Inversiones</w:t>
      </w:r>
    </w:p>
    <w:p w14:paraId="0D3382F6">
      <w:pPr>
        <w:spacing w:after="140"/>
      </w:pPr>
      <w:r>
        <w:rPr>
          <w:rFonts w:ascii="Calibri" w:hAnsi="Calibri" w:eastAsia="Calibri" w:cs="Calibri"/>
          <w:sz w:val="22"/>
          <w:szCs w:val="22"/>
        </w:rPr>
        <w:t>Asunto: Aprobación de iniciativas estratégicas — presupuesto USD 5.000.000</w:t>
      </w:r>
    </w:p>
    <w:p w14:paraId="49944A1C">
      <w:pPr>
        <w:spacing w:after="140"/>
      </w:pPr>
      <w:r>
        <w:rPr>
          <w:rFonts w:ascii="Calibri" w:hAnsi="Calibri" w:eastAsia="Calibri" w:cs="Calibri"/>
          <w:sz w:val="22"/>
          <w:szCs w:val="22"/>
        </w:rPr>
        <w:t>Tasa de corte vigente: 18% (tras la decisión del Banco Central)</w:t>
      </w:r>
    </w:p>
    <w:p w14:paraId="25E8402F">
      <w:pPr>
        <w:pStyle w:val="3"/>
        <w:spacing w:before="240" w:after="100"/>
      </w:pPr>
      <w:r>
        <w:rPr>
          <w:rFonts w:ascii="Calibri" w:hAnsi="Calibri" w:eastAsia="Calibri" w:cs="Calibri"/>
          <w:b/>
          <w:bCs/>
          <w:color w:val="1F4E79"/>
          <w:sz w:val="24"/>
          <w:szCs w:val="24"/>
        </w:rPr>
        <w:t>Proyecto(s) recomendados</w:t>
      </w:r>
    </w:p>
    <w:p w14:paraId="28AF2EE8">
      <w:pPr>
        <w:spacing w:after="140"/>
      </w:pPr>
      <w:r>
        <w:rPr>
          <w:rFonts w:ascii="Calibri" w:hAnsi="Calibri" w:eastAsia="Calibri" w:cs="Calibri"/>
          <w:b/>
          <w:bCs/>
          <w:sz w:val="22"/>
          <w:szCs w:val="22"/>
        </w:rPr>
        <w:t>ERP + IA + App</w:t>
      </w:r>
      <w:r>
        <w:rPr>
          <w:rFonts w:ascii="Calibri" w:hAnsi="Calibri" w:eastAsia="Calibri" w:cs="Calibri"/>
          <w:sz w:val="22"/>
          <w:szCs w:val="22"/>
        </w:rPr>
        <w:t xml:space="preserve">. Inversión: USD 3.400.000. Liquidez remanente: USD 1.600.000. VAN del portafolio a 18%: </w:t>
      </w:r>
      <w:r>
        <w:rPr>
          <w:rFonts w:ascii="Calibri" w:hAnsi="Calibri" w:eastAsia="Calibri" w:cs="Calibri"/>
          <w:b/>
          <w:bCs/>
          <w:sz w:val="22"/>
          <w:szCs w:val="22"/>
        </w:rPr>
        <w:t>USD 1.552.897</w:t>
      </w:r>
      <w:r>
        <w:rPr>
          <w:rFonts w:ascii="Calibri" w:hAnsi="Calibri" w:eastAsia="Calibri" w:cs="Calibri"/>
          <w:sz w:val="22"/>
          <w:szCs w:val="22"/>
        </w:rPr>
        <w:t>.</w:t>
      </w:r>
    </w:p>
    <w:p w14:paraId="5D1531FD">
      <w:pPr>
        <w:spacing w:after="140"/>
      </w:pPr>
      <w:r>
        <w:rPr>
          <w:rFonts w:ascii="Calibri" w:hAnsi="Calibri" w:eastAsia="Calibri" w:cs="Calibri"/>
          <w:sz w:val="22"/>
          <w:szCs w:val="22"/>
        </w:rPr>
        <w:t>Quedan fuera el Data Center (VAN negativo a la nueva tasa) y la Planta (no se fuerza: mismo valor que la IA con USD 1,6 M más de capital inmovilizado).</w:t>
      </w:r>
    </w:p>
    <w:p w14:paraId="435776A7">
      <w:pPr>
        <w:pStyle w:val="3"/>
        <w:spacing w:before="240" w:after="100"/>
      </w:pPr>
      <w:r>
        <w:rPr>
          <w:rFonts w:ascii="Calibri" w:hAnsi="Calibri" w:eastAsia="Calibri" w:cs="Calibri"/>
          <w:b/>
          <w:bCs/>
          <w:color w:val="1F4E79"/>
          <w:sz w:val="24"/>
          <w:szCs w:val="24"/>
        </w:rPr>
        <w:t>Indicadores considerados</w:t>
      </w:r>
    </w:p>
    <w:p w14:paraId="7655B189">
      <w:pPr>
        <w:pStyle w:val="16"/>
        <w:numPr>
          <w:ilvl w:val="0"/>
          <w:numId w:val="1"/>
        </w:numPr>
        <w:spacing w:after="80"/>
      </w:pPr>
      <w:r>
        <w:rPr>
          <w:rFonts w:ascii="Calibri" w:hAnsi="Calibri" w:eastAsia="Calibri" w:cs="Calibri"/>
          <w:sz w:val="22"/>
          <w:szCs w:val="22"/>
        </w:rPr>
        <w:t>VAN del portafolio a la tasa vigente (criterio de maximización de valor con capital racionado).</w:t>
      </w:r>
    </w:p>
    <w:p w14:paraId="0F955466">
      <w:pPr>
        <w:pStyle w:val="16"/>
        <w:numPr>
          <w:ilvl w:val="0"/>
          <w:numId w:val="1"/>
        </w:numPr>
        <w:spacing w:after="80"/>
      </w:pPr>
      <w:r>
        <w:rPr>
          <w:rFonts w:ascii="Calibri" w:hAnsi="Calibri" w:eastAsia="Calibri" w:cs="Calibri"/>
          <w:sz w:val="22"/>
          <w:szCs w:val="22"/>
        </w:rPr>
        <w:t>TIR contra el listón de corte (10% en etapas 1–2; 18% en etapas 3–4). Explica el rechazo del Data Center.</w:t>
      </w:r>
    </w:p>
    <w:p w14:paraId="17788B75">
      <w:pPr>
        <w:pStyle w:val="16"/>
        <w:numPr>
          <w:ilvl w:val="0"/>
          <w:numId w:val="1"/>
        </w:numPr>
        <w:spacing w:after="80"/>
      </w:pPr>
      <w:r>
        <w:rPr>
          <w:rFonts w:ascii="Calibri" w:hAnsi="Calibri" w:eastAsia="Calibri" w:cs="Calibri"/>
          <w:sz w:val="22"/>
          <w:szCs w:val="22"/>
        </w:rPr>
        <w:t>ROI / índice de rentabilidad como apoyo cuando dos mixes empatan en VAN y compiten por caja.</w:t>
      </w:r>
    </w:p>
    <w:p w14:paraId="2530AED6">
      <w:pPr>
        <w:pStyle w:val="16"/>
        <w:numPr>
          <w:ilvl w:val="0"/>
          <w:numId w:val="1"/>
        </w:numPr>
        <w:spacing w:after="80"/>
      </w:pPr>
      <w:r>
        <w:rPr>
          <w:rFonts w:ascii="Calibri" w:hAnsi="Calibri" w:eastAsia="Calibri" w:cs="Calibri"/>
          <w:sz w:val="22"/>
          <w:szCs w:val="22"/>
        </w:rPr>
        <w:t>Valor esperado y sensibilidad (etapa 2): VE(ERP) 1.425.000 vs. VE(IA) 1.000.000; costos +10% apenas mueven al ERP; ventas -10% anulan a la IA.</w:t>
      </w:r>
    </w:p>
    <w:p w14:paraId="07A180E5">
      <w:pPr>
        <w:pStyle w:val="3"/>
        <w:spacing w:before="240" w:after="100"/>
      </w:pPr>
      <w:r>
        <w:rPr>
          <w:rFonts w:ascii="Calibri" w:hAnsi="Calibri" w:eastAsia="Calibri" w:cs="Calibri"/>
          <w:b/>
          <w:bCs/>
          <w:color w:val="1F4E79"/>
          <w:sz w:val="24"/>
          <w:szCs w:val="24"/>
        </w:rPr>
        <w:t>Principales riesgos</w:t>
      </w:r>
    </w:p>
    <w:p w14:paraId="649B0260">
      <w:pPr>
        <w:pStyle w:val="16"/>
        <w:numPr>
          <w:ilvl w:val="0"/>
          <w:numId w:val="1"/>
        </w:numPr>
        <w:spacing w:after="80"/>
      </w:pPr>
      <w:r>
        <w:rPr>
          <w:rFonts w:ascii="Calibri" w:hAnsi="Calibri" w:eastAsia="Calibri" w:cs="Calibri"/>
          <w:sz w:val="22"/>
          <w:szCs w:val="22"/>
        </w:rPr>
        <w:t>IA — demanda: un -10% de ventas hace desaparecer su VAN; el escenario pesimista destruye USD 600 mil. Se mitiga no concentrando USD 2,8 M en un solo activo de mercado y dejando USD 1,6 M líquidos.</w:t>
      </w:r>
    </w:p>
    <w:p w14:paraId="6E729892">
      <w:pPr>
        <w:pStyle w:val="16"/>
        <w:numPr>
          <w:ilvl w:val="0"/>
          <w:numId w:val="1"/>
        </w:numPr>
        <w:spacing w:after="80"/>
      </w:pPr>
      <w:r>
        <w:rPr>
          <w:rFonts w:ascii="Calibri" w:hAnsi="Calibri" w:eastAsia="Calibri" w:cs="Calibri"/>
          <w:sz w:val="22"/>
          <w:szCs w:val="22"/>
        </w:rPr>
        <w:t>App — obsolescencia: el ticket es USD 700 mil y la recuperación es rápida, así que el daño potencial está acotado.</w:t>
      </w:r>
    </w:p>
    <w:p w14:paraId="4F58AA77">
      <w:pPr>
        <w:pStyle w:val="16"/>
        <w:numPr>
          <w:ilvl w:val="0"/>
          <w:numId w:val="1"/>
        </w:numPr>
        <w:spacing w:after="80"/>
      </w:pPr>
      <w:r>
        <w:rPr>
          <w:rFonts w:ascii="Calibri" w:hAnsi="Calibri" w:eastAsia="Calibri" w:cs="Calibri"/>
          <w:sz w:val="22"/>
          <w:szCs w:val="22"/>
        </w:rPr>
        <w:t>Tasa: una nueva suba por encima de ~24% pondría en duda a la Planta (plan B) y, más allá de ~30%, a App e IA. El ERP tiene el colchón más amplio (TIR 42,3%).</w:t>
      </w:r>
    </w:p>
    <w:p w14:paraId="33C577B8">
      <w:pPr>
        <w:pStyle w:val="16"/>
        <w:numPr>
          <w:ilvl w:val="0"/>
          <w:numId w:val="1"/>
        </w:numPr>
        <w:spacing w:after="80"/>
      </w:pPr>
      <w:r>
        <w:rPr>
          <w:rFonts w:ascii="Calibri" w:hAnsi="Calibri" w:eastAsia="Calibri" w:cs="Calibri"/>
          <w:sz w:val="22"/>
          <w:szCs w:val="22"/>
        </w:rPr>
        <w:t>Riesgo que ya no se corre: el Data Center a 18% destruye valor y no se aprueba "por robustez".</w:t>
      </w:r>
    </w:p>
    <w:p w14:paraId="692E737F">
      <w:pPr>
        <w:pStyle w:val="3"/>
        <w:spacing w:before="240" w:after="100"/>
      </w:pPr>
      <w:r>
        <w:rPr>
          <w:rFonts w:ascii="Calibri" w:hAnsi="Calibri" w:eastAsia="Calibri" w:cs="Calibri"/>
          <w:b/>
          <w:bCs/>
          <w:color w:val="1F4E79"/>
          <w:sz w:val="24"/>
          <w:szCs w:val="24"/>
        </w:rPr>
        <w:t>Justificación</w:t>
      </w:r>
    </w:p>
    <w:p w14:paraId="062D93CA">
      <w:pPr>
        <w:spacing w:after="140"/>
      </w:pPr>
      <w:r>
        <w:rPr>
          <w:rFonts w:ascii="Calibri" w:hAnsi="Calibri" w:eastAsia="Calibri" w:cs="Calibri"/>
          <w:sz w:val="22"/>
          <w:szCs w:val="22"/>
        </w:rPr>
        <w:t>El Comité recorrió tres filtros. Con solo rentabilidad (r = 10%) el mix de mayor VAN era ERP + Planta + App (USD 2.996.305). Con incertidumbre, ese mix se sostenía: el ERP es el ancla estable y la IA no compensaba, en valor esperado, el riesgo de sustituir a la Planta. Con la tasa en 18% el ranking de valor se aplana: Planta e IA aportan casi el mismo VAN (~USD 476 mil), pero la Planta exige USD 1,6 M extra y cobra tarde. El Data Center queda por debajo del nuevo costo de capital.</w:t>
      </w:r>
    </w:p>
    <w:p w14:paraId="187080DE">
      <w:pPr>
        <w:spacing w:after="140"/>
      </w:pPr>
      <w:r>
        <w:rPr>
          <w:rFonts w:ascii="Calibri" w:hAnsi="Calibri" w:eastAsia="Calibri" w:cs="Calibri"/>
          <w:sz w:val="22"/>
          <w:szCs w:val="22"/>
        </w:rPr>
        <w:t>La recomendación vigente es, por tanto, ERP + IA + App: ancla de bajo riesgo (ERP), ticket chico de recupero rápido (App) y el proyecto de mayor rendimiento por dólar que todavía crea valor a 18% (IA), sin agotar el cupo. Si el Directorio no acepta el perfil de la IA, el plan B es volver a ERP + Planta + App.</w:t>
      </w:r>
    </w:p>
    <w:p w14:paraId="7ABDC7CB">
      <w:pPr>
        <w:spacing w:before="300" w:after="60"/>
      </w:pPr>
      <w:r>
        <w:rPr>
          <w:rFonts w:ascii="Calibri" w:hAnsi="Calibri" w:eastAsia="Calibri" w:cs="Calibri"/>
          <w:b/>
          <w:bCs/>
          <w:sz w:val="22"/>
          <w:szCs w:val="22"/>
        </w:rPr>
        <w:t>Firma</w:t>
      </w:r>
    </w:p>
    <w:p w14:paraId="5803DF1E">
      <w:pPr>
        <w:spacing w:after="140"/>
      </w:pPr>
      <w:r>
        <w:rPr>
          <w:rFonts w:ascii="Calibri" w:hAnsi="Calibri" w:eastAsia="Calibri" w:cs="Calibri"/>
          <w:sz w:val="22"/>
          <w:szCs w:val="22"/>
        </w:rPr>
        <w:t>Comité de Inversiones</w:t>
      </w:r>
    </w:p>
    <w:p w14:paraId="723320C3">
      <w:pPr>
        <w:spacing w:after="140"/>
      </w:pPr>
      <w:r>
        <w:rPr>
          <w:rFonts w:ascii="Calibri" w:hAnsi="Calibri" w:eastAsia="Calibri" w:cs="Calibri"/>
          <w:sz w:val="22"/>
          <w:szCs w:val="22"/>
        </w:rPr>
        <w:t>ALFA S.A.</w:t>
      </w:r>
    </w:p>
    <w:p w14:paraId="31191EC4">
      <w:pPr>
        <w:pStyle w:val="2"/>
        <w:pBdr>
          <w:bottom w:val="single" w:color="1F4E79" w:sz="6" w:space="4"/>
        </w:pBdr>
        <w:spacing w:before="320" w:after="160"/>
      </w:pPr>
      <w:r>
        <w:rPr>
          <w:rFonts w:ascii="Calibri" w:hAnsi="Calibri" w:eastAsia="Calibri" w:cs="Calibri"/>
          <w:b/>
          <w:bCs/>
          <w:color w:val="1F4E79"/>
          <w:sz w:val="28"/>
          <w:szCs w:val="28"/>
        </w:rPr>
        <w:t>Preguntas de discusión</w:t>
      </w:r>
    </w:p>
    <w:p w14:paraId="584D3496">
      <w:pPr>
        <w:pStyle w:val="3"/>
        <w:spacing w:before="240" w:after="100"/>
      </w:pPr>
      <w:r>
        <w:rPr>
          <w:rFonts w:ascii="Calibri" w:hAnsi="Calibri" w:eastAsia="Calibri" w:cs="Calibri"/>
          <w:b/>
          <w:bCs/>
          <w:color w:val="1F4E79"/>
          <w:sz w:val="24"/>
          <w:szCs w:val="24"/>
        </w:rPr>
        <w:t>¿Qué indicador usaron primero?</w:t>
      </w:r>
    </w:p>
    <w:p w14:paraId="313A19B5">
      <w:pPr>
        <w:spacing w:after="140"/>
      </w:pPr>
      <w:r>
        <w:rPr>
          <w:rFonts w:ascii="Calibri" w:hAnsi="Calibri" w:eastAsia="Calibri" w:cs="Calibri"/>
          <w:b/>
          <w:bCs/>
          <w:sz w:val="22"/>
          <w:szCs w:val="22"/>
        </w:rPr>
        <w:t>El VAN, junto con la TIR como filtro de corte.</w:t>
      </w:r>
    </w:p>
    <w:p w14:paraId="33DCC85E">
      <w:pPr>
        <w:spacing w:after="140"/>
      </w:pPr>
      <w:r>
        <w:rPr>
          <w:rFonts w:ascii="Calibri" w:hAnsi="Calibri" w:eastAsia="Calibri" w:cs="Calibri"/>
          <w:sz w:val="22"/>
          <w:szCs w:val="22"/>
        </w:rPr>
        <w:t>La primera pasada fue mecánica: calcular VAN, TIR y ROI de cada iniciativa a r = 10%. El VAN respondió "cuánto valor crea, en dólares de hoy"; la TIR, "¿supera el costo de capital?"; el ROI sirvió de lectura auxiliar de rentabilidad sobre la inversión, pero no para racionar el cupo. Con los cinco proyectos viables, el indicador que decidió el mix ya en etapa 1 no fue la TIR más alta, sino el VAN del portafolio sujeto a USD 5 M.</w:t>
      </w:r>
    </w:p>
    <w:p w14:paraId="4DB17323">
      <w:pPr>
        <w:pStyle w:val="3"/>
        <w:spacing w:before="240" w:after="100"/>
      </w:pPr>
      <w:r>
        <w:rPr>
          <w:rFonts w:ascii="Calibri" w:hAnsi="Calibri" w:eastAsia="Calibri" w:cs="Calibri"/>
          <w:b/>
          <w:bCs/>
          <w:color w:val="1F4E79"/>
          <w:sz w:val="24"/>
          <w:szCs w:val="24"/>
        </w:rPr>
        <w:t>¿Cuál terminó siendo el más importante?</w:t>
      </w:r>
    </w:p>
    <w:p w14:paraId="5B86C372">
      <w:pPr>
        <w:spacing w:after="140"/>
      </w:pPr>
      <w:r>
        <w:rPr>
          <w:rFonts w:ascii="Calibri" w:hAnsi="Calibri" w:eastAsia="Calibri" w:cs="Calibri"/>
          <w:b/>
          <w:bCs/>
          <w:sz w:val="22"/>
          <w:szCs w:val="22"/>
        </w:rPr>
        <w:t>El VAN recalculado a la tasa vigente.</w:t>
      </w:r>
    </w:p>
    <w:p w14:paraId="6E549C61">
      <w:pPr>
        <w:spacing w:after="140"/>
      </w:pPr>
      <w:r>
        <w:rPr>
          <w:rFonts w:ascii="Calibri" w:hAnsi="Calibri" w:eastAsia="Calibri" w:cs="Calibri"/>
          <w:sz w:val="22"/>
          <w:szCs w:val="22"/>
        </w:rPr>
        <w:t>Es el único que se movió cuando cambió el contexto y el que, al final, cambió la decisión. La TIR fue decisiva para rechazar el Data Center (no se movió; se movió el listón). El valor esperado y la sensibilidad fueron decisivos para no enamorarse de la IA en etapa 2, pero no alcanzaron para cambiar el mix. Cuando la tasa subió, el VAN de la Planta se desplomó (-62%) y empató con el de la IA: ahí el VAN —leído junto con el capital inmovilizado— mandó más que cualquier ranking de TIR o ROI.</w:t>
      </w:r>
    </w:p>
    <w:p w14:paraId="1F27586C">
      <w:pPr>
        <w:spacing w:after="140"/>
      </w:pPr>
      <w:r>
        <w:rPr>
          <w:rFonts w:ascii="Calibri" w:hAnsi="Calibri" w:eastAsia="Calibri" w:cs="Calibri"/>
          <w:i/>
          <w:iCs/>
          <w:sz w:val="22"/>
          <w:szCs w:val="22"/>
        </w:rPr>
        <w:t>En una frase: se empezó por VAN + TIR; se terminó gobernando por VAN del portafolio al nuevo costo de capital.</w:t>
      </w:r>
    </w:p>
    <w:p w14:paraId="19A53EAA">
      <w:pPr>
        <w:pStyle w:val="3"/>
        <w:spacing w:before="240" w:after="100"/>
      </w:pPr>
      <w:r>
        <w:rPr>
          <w:rFonts w:ascii="Calibri" w:hAnsi="Calibri" w:eastAsia="Calibri" w:cs="Calibri"/>
          <w:b/>
          <w:bCs/>
          <w:color w:val="1F4E79"/>
          <w:sz w:val="24"/>
          <w:szCs w:val="24"/>
        </w:rPr>
        <w:t>¿Cambió la decisión cuando aumentó la tasa?</w:t>
      </w:r>
    </w:p>
    <w:p w14:paraId="6B694908">
      <w:pPr>
        <w:spacing w:after="140"/>
      </w:pPr>
      <w:r>
        <w:rPr>
          <w:rFonts w:ascii="Calibri" w:hAnsi="Calibri" w:eastAsia="Calibri" w:cs="Calibri"/>
          <w:b/>
          <w:bCs/>
          <w:sz w:val="22"/>
          <w:szCs w:val="22"/>
        </w:rPr>
        <w:t>Sí.</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1600"/>
        <w:gridCol w:w="2400"/>
      </w:tblGrid>
      <w:tr w14:paraId="31B6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9"/>
            <w:tcMar>
              <w:top w:w="60" w:type="dxa"/>
              <w:left w:w="100" w:type="dxa"/>
              <w:bottom w:w="60" w:type="dxa"/>
              <w:right w:w="100" w:type="dxa"/>
            </w:tcMar>
            <w:vAlign w:val="center"/>
          </w:tcPr>
          <w:p w14:paraId="14794274">
            <w:pPr>
              <w:jc w:val="center"/>
            </w:pPr>
            <w:r>
              <w:rPr>
                <w:rFonts w:ascii="Calibri" w:hAnsi="Calibri" w:eastAsia="Calibri" w:cs="Calibri"/>
                <w:b/>
                <w:bCs/>
                <w:sz w:val="20"/>
                <w:szCs w:val="20"/>
              </w:rPr>
              <w:t>Momento</w:t>
            </w:r>
          </w:p>
        </w:tc>
        <w:tc>
          <w:tcPr>
            <w:tcW w:w="2600" w:type="dxa"/>
            <w:shd w:val="clear" w:color="auto" w:fill="1F4E79"/>
            <w:tcMar>
              <w:top w:w="60" w:type="dxa"/>
              <w:left w:w="100" w:type="dxa"/>
              <w:bottom w:w="60" w:type="dxa"/>
              <w:right w:w="100" w:type="dxa"/>
            </w:tcMar>
            <w:vAlign w:val="center"/>
          </w:tcPr>
          <w:p w14:paraId="4D30B3FB">
            <w:pPr>
              <w:jc w:val="center"/>
            </w:pPr>
            <w:r>
              <w:rPr>
                <w:rFonts w:ascii="Calibri" w:hAnsi="Calibri" w:eastAsia="Calibri" w:cs="Calibri"/>
                <w:b/>
                <w:bCs/>
                <w:sz w:val="20"/>
                <w:szCs w:val="20"/>
              </w:rPr>
              <w:t>Mix recomendado</w:t>
            </w:r>
          </w:p>
        </w:tc>
        <w:tc>
          <w:tcPr>
            <w:tcW w:w="1600" w:type="dxa"/>
            <w:shd w:val="clear" w:color="auto" w:fill="1F4E79"/>
            <w:tcMar>
              <w:top w:w="60" w:type="dxa"/>
              <w:left w:w="100" w:type="dxa"/>
              <w:bottom w:w="60" w:type="dxa"/>
              <w:right w:w="100" w:type="dxa"/>
            </w:tcMar>
            <w:vAlign w:val="center"/>
          </w:tcPr>
          <w:p w14:paraId="3E801707">
            <w:pPr>
              <w:jc w:val="center"/>
            </w:pPr>
            <w:r>
              <w:rPr>
                <w:rFonts w:ascii="Calibri" w:hAnsi="Calibri" w:eastAsia="Calibri" w:cs="Calibri"/>
                <w:b/>
                <w:bCs/>
                <w:sz w:val="20"/>
                <w:szCs w:val="20"/>
              </w:rPr>
              <w:t>Inversión</w:t>
            </w:r>
          </w:p>
        </w:tc>
        <w:tc>
          <w:tcPr>
            <w:tcW w:w="2400" w:type="dxa"/>
            <w:shd w:val="clear" w:color="auto" w:fill="1F4E79"/>
            <w:tcMar>
              <w:top w:w="60" w:type="dxa"/>
              <w:left w:w="100" w:type="dxa"/>
              <w:bottom w:w="60" w:type="dxa"/>
              <w:right w:w="100" w:type="dxa"/>
            </w:tcMar>
            <w:vAlign w:val="center"/>
          </w:tcPr>
          <w:p w14:paraId="1668680A">
            <w:pPr>
              <w:jc w:val="center"/>
            </w:pPr>
            <w:r>
              <w:rPr>
                <w:rFonts w:ascii="Calibri" w:hAnsi="Calibri" w:eastAsia="Calibri" w:cs="Calibri"/>
                <w:b/>
                <w:bCs/>
                <w:sz w:val="20"/>
                <w:szCs w:val="20"/>
              </w:rPr>
              <w:t>Qué quedó fuera</w:t>
            </w:r>
          </w:p>
        </w:tc>
      </w:tr>
      <w:tr w14:paraId="4851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6FA"/>
            <w:tcMar>
              <w:top w:w="60" w:type="dxa"/>
              <w:left w:w="100" w:type="dxa"/>
              <w:bottom w:w="60" w:type="dxa"/>
              <w:right w:w="100" w:type="dxa"/>
            </w:tcMar>
            <w:vAlign w:val="center"/>
          </w:tcPr>
          <w:p w14:paraId="1936D7E5">
            <w:pPr>
              <w:jc w:val="left"/>
            </w:pPr>
            <w:r>
              <w:rPr>
                <w:rFonts w:ascii="Calibri" w:hAnsi="Calibri" w:eastAsia="Calibri" w:cs="Calibri"/>
                <w:b w:val="0"/>
                <w:bCs w:val="0"/>
                <w:sz w:val="20"/>
                <w:szCs w:val="20"/>
              </w:rPr>
              <w:t>Etapas 1 y 2 (10%)</w:t>
            </w:r>
          </w:p>
        </w:tc>
        <w:tc>
          <w:tcPr>
            <w:tcW w:w="2600" w:type="dxa"/>
            <w:shd w:val="clear" w:color="auto" w:fill="F2F6FA"/>
            <w:tcMar>
              <w:top w:w="60" w:type="dxa"/>
              <w:left w:w="100" w:type="dxa"/>
              <w:bottom w:w="60" w:type="dxa"/>
              <w:right w:w="100" w:type="dxa"/>
            </w:tcMar>
            <w:vAlign w:val="center"/>
          </w:tcPr>
          <w:p w14:paraId="288E9442">
            <w:pPr>
              <w:jc w:val="center"/>
            </w:pPr>
            <w:r>
              <w:rPr>
                <w:rFonts w:ascii="Calibri" w:hAnsi="Calibri" w:eastAsia="Calibri" w:cs="Calibri"/>
                <w:b w:val="0"/>
                <w:bCs w:val="0"/>
                <w:sz w:val="20"/>
                <w:szCs w:val="20"/>
              </w:rPr>
              <w:t>ERP + Planta + App</w:t>
            </w:r>
          </w:p>
        </w:tc>
        <w:tc>
          <w:tcPr>
            <w:tcW w:w="1600" w:type="dxa"/>
            <w:shd w:val="clear" w:color="auto" w:fill="F2F6FA"/>
            <w:tcMar>
              <w:top w:w="60" w:type="dxa"/>
              <w:left w:w="100" w:type="dxa"/>
              <w:bottom w:w="60" w:type="dxa"/>
              <w:right w:w="100" w:type="dxa"/>
            </w:tcMar>
            <w:vAlign w:val="center"/>
          </w:tcPr>
          <w:p w14:paraId="57E3D51D">
            <w:pPr>
              <w:jc w:val="center"/>
            </w:pPr>
            <w:r>
              <w:rPr>
                <w:rFonts w:ascii="Calibri" w:hAnsi="Calibri" w:eastAsia="Calibri" w:cs="Calibri"/>
                <w:b w:val="0"/>
                <w:bCs w:val="0"/>
                <w:sz w:val="20"/>
                <w:szCs w:val="20"/>
              </w:rPr>
              <w:t>5,00 M</w:t>
            </w:r>
          </w:p>
        </w:tc>
        <w:tc>
          <w:tcPr>
            <w:tcW w:w="2400" w:type="dxa"/>
            <w:shd w:val="clear" w:color="auto" w:fill="F2F6FA"/>
            <w:tcMar>
              <w:top w:w="60" w:type="dxa"/>
              <w:left w:w="100" w:type="dxa"/>
              <w:bottom w:w="60" w:type="dxa"/>
              <w:right w:w="100" w:type="dxa"/>
            </w:tcMar>
            <w:vAlign w:val="center"/>
          </w:tcPr>
          <w:p w14:paraId="1FC380F3">
            <w:pPr>
              <w:jc w:val="center"/>
            </w:pPr>
            <w:r>
              <w:rPr>
                <w:rFonts w:ascii="Calibri" w:hAnsi="Calibri" w:eastAsia="Calibri" w:cs="Calibri"/>
                <w:b w:val="0"/>
                <w:bCs w:val="0"/>
                <w:sz w:val="20"/>
                <w:szCs w:val="20"/>
              </w:rPr>
              <w:t>Data Center e IA</w:t>
            </w:r>
          </w:p>
        </w:tc>
      </w:tr>
      <w:tr w14:paraId="7CCA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60" w:type="dxa"/>
              <w:left w:w="100" w:type="dxa"/>
              <w:bottom w:w="60" w:type="dxa"/>
              <w:right w:w="100" w:type="dxa"/>
            </w:tcMar>
            <w:vAlign w:val="center"/>
          </w:tcPr>
          <w:p w14:paraId="27C474D3">
            <w:pPr>
              <w:jc w:val="left"/>
            </w:pPr>
            <w:r>
              <w:rPr>
                <w:rFonts w:ascii="Calibri" w:hAnsi="Calibri" w:eastAsia="Calibri" w:cs="Calibri"/>
                <w:b w:val="0"/>
                <w:bCs w:val="0"/>
                <w:sz w:val="20"/>
                <w:szCs w:val="20"/>
              </w:rPr>
              <w:t>Etapas 3 y 4 (18%)</w:t>
            </w:r>
          </w:p>
        </w:tc>
        <w:tc>
          <w:tcPr>
            <w:tcW w:w="2600" w:type="dxa"/>
            <w:shd w:val="clear" w:color="auto" w:fill="FFFFFF"/>
            <w:tcMar>
              <w:top w:w="60" w:type="dxa"/>
              <w:left w:w="100" w:type="dxa"/>
              <w:bottom w:w="60" w:type="dxa"/>
              <w:right w:w="100" w:type="dxa"/>
            </w:tcMar>
            <w:vAlign w:val="center"/>
          </w:tcPr>
          <w:p w14:paraId="00783ACE">
            <w:pPr>
              <w:jc w:val="center"/>
            </w:pPr>
            <w:r>
              <w:rPr>
                <w:rFonts w:ascii="Calibri" w:hAnsi="Calibri" w:eastAsia="Calibri" w:cs="Calibri"/>
                <w:b w:val="0"/>
                <w:bCs w:val="0"/>
                <w:sz w:val="20"/>
                <w:szCs w:val="20"/>
              </w:rPr>
              <w:t>ERP + IA + App</w:t>
            </w:r>
          </w:p>
        </w:tc>
        <w:tc>
          <w:tcPr>
            <w:tcW w:w="1600" w:type="dxa"/>
            <w:shd w:val="clear" w:color="auto" w:fill="FFFFFF"/>
            <w:tcMar>
              <w:top w:w="60" w:type="dxa"/>
              <w:left w:w="100" w:type="dxa"/>
              <w:bottom w:w="60" w:type="dxa"/>
              <w:right w:w="100" w:type="dxa"/>
            </w:tcMar>
            <w:vAlign w:val="center"/>
          </w:tcPr>
          <w:p w14:paraId="02FB5382">
            <w:pPr>
              <w:jc w:val="center"/>
            </w:pPr>
            <w:r>
              <w:rPr>
                <w:rFonts w:ascii="Calibri" w:hAnsi="Calibri" w:eastAsia="Calibri" w:cs="Calibri"/>
                <w:b w:val="0"/>
                <w:bCs w:val="0"/>
                <w:sz w:val="20"/>
                <w:szCs w:val="20"/>
              </w:rPr>
              <w:t>3,40 M</w:t>
            </w:r>
          </w:p>
        </w:tc>
        <w:tc>
          <w:tcPr>
            <w:tcW w:w="2400" w:type="dxa"/>
            <w:shd w:val="clear" w:color="auto" w:fill="FFFFFF"/>
            <w:tcMar>
              <w:top w:w="60" w:type="dxa"/>
              <w:left w:w="100" w:type="dxa"/>
              <w:bottom w:w="60" w:type="dxa"/>
              <w:right w:w="100" w:type="dxa"/>
            </w:tcMar>
            <w:vAlign w:val="center"/>
          </w:tcPr>
          <w:p w14:paraId="4934924E">
            <w:pPr>
              <w:jc w:val="center"/>
            </w:pPr>
            <w:r>
              <w:rPr>
                <w:rFonts w:ascii="Calibri" w:hAnsi="Calibri" w:eastAsia="Calibri" w:cs="Calibri"/>
                <w:b w:val="0"/>
                <w:bCs w:val="0"/>
                <w:sz w:val="20"/>
                <w:szCs w:val="20"/>
              </w:rPr>
              <w:t>Data Center y Planta</w:t>
            </w:r>
          </w:p>
        </w:tc>
      </w:tr>
    </w:tbl>
    <w:p w14:paraId="661BF607">
      <w:pPr>
        <w:spacing w:after="140"/>
      </w:pPr>
    </w:p>
    <w:p w14:paraId="1CA003BD">
      <w:pPr>
        <w:pStyle w:val="16"/>
        <w:numPr>
          <w:ilvl w:val="0"/>
          <w:numId w:val="1"/>
        </w:numPr>
        <w:spacing w:after="80"/>
      </w:pPr>
      <w:r>
        <w:rPr>
          <w:rFonts w:ascii="Calibri" w:hAnsi="Calibri" w:eastAsia="Calibri" w:cs="Calibri"/>
          <w:sz w:val="22"/>
          <w:szCs w:val="22"/>
        </w:rPr>
        <w:t>El Data Center pasa de "viable, pero poco valioso" a inviable (VAN negativo).</w:t>
      </w:r>
    </w:p>
    <w:p w14:paraId="225AB581">
      <w:pPr>
        <w:pStyle w:val="16"/>
        <w:numPr>
          <w:ilvl w:val="0"/>
          <w:numId w:val="1"/>
        </w:numPr>
        <w:spacing w:after="80"/>
      </w:pPr>
      <w:r>
        <w:rPr>
          <w:rFonts w:ascii="Calibri" w:hAnsi="Calibri" w:eastAsia="Calibri" w:cs="Calibri"/>
          <w:sz w:val="22"/>
          <w:szCs w:val="22"/>
        </w:rPr>
        <w:t>La Planta deja de ser el segundo pilar: pierde el 62% de su VAN y ya no justifica inmovilizar USD 2,8 M.</w:t>
      </w:r>
    </w:p>
    <w:p w14:paraId="30320444">
      <w:pPr>
        <w:pStyle w:val="16"/>
        <w:numPr>
          <w:ilvl w:val="0"/>
          <w:numId w:val="1"/>
        </w:numPr>
        <w:spacing w:after="80"/>
      </w:pPr>
      <w:r>
        <w:rPr>
          <w:rFonts w:ascii="Calibri" w:hAnsi="Calibri" w:eastAsia="Calibri" w:cs="Calibri"/>
          <w:sz w:val="22"/>
          <w:szCs w:val="22"/>
        </w:rPr>
        <w:t>La IA, descartada dos veces (por cupo y por riesgo), entra no porque se haya vuelto más segura, sino porque a 18% crea el mismo valor que la Planta con menos caja.</w:t>
      </w:r>
    </w:p>
    <w:p w14:paraId="766B9D8C">
      <w:pPr>
        <w:spacing w:after="140"/>
      </w:pPr>
      <w:r>
        <w:rPr>
          <w:rFonts w:ascii="Calibri" w:hAnsi="Calibri" w:eastAsia="Calibri" w:cs="Calibri"/>
          <w:sz w:val="22"/>
          <w:szCs w:val="22"/>
        </w:rPr>
        <w:t>El ERP y la App son la continuidad: sobreviven las tres etapas.</w:t>
      </w:r>
    </w:p>
    <w:p w14:paraId="0D724D4A">
      <w:pPr>
        <w:pStyle w:val="3"/>
        <w:spacing w:before="240" w:after="100"/>
        <w:rPr>
          <w:rFonts w:hint="default"/>
          <w:lang w:val="en-US"/>
        </w:rPr>
      </w:pPr>
      <w:r>
        <w:rPr>
          <w:rFonts w:ascii="Calibri" w:hAnsi="Calibri" w:eastAsia="Calibri" w:cs="Calibri"/>
          <w:b/>
          <w:bCs/>
          <w:color w:val="1F4E79"/>
          <w:sz w:val="24"/>
          <w:szCs w:val="24"/>
        </w:rPr>
        <w:t>¿Alguien eligió un proyecto con menor VAN</w:t>
      </w:r>
      <w:r>
        <w:rPr>
          <w:rFonts w:hint="default" w:cs="Calibri"/>
          <w:b/>
          <w:bCs/>
          <w:color w:val="1F4E79"/>
          <w:sz w:val="24"/>
          <w:szCs w:val="24"/>
          <w:lang w:val="en-US"/>
        </w:rPr>
        <w:t>?</w:t>
      </w:r>
    </w:p>
    <w:p w14:paraId="4730133D">
      <w:pPr>
        <w:spacing w:after="140"/>
      </w:pPr>
      <w:r>
        <w:rPr>
          <w:rFonts w:ascii="Calibri" w:hAnsi="Calibri" w:eastAsia="Calibri" w:cs="Calibri"/>
          <w:b/>
          <w:bCs/>
          <w:sz w:val="22"/>
          <w:szCs w:val="22"/>
        </w:rPr>
        <w:t>Sí.</w:t>
      </w:r>
      <w:r>
        <w:rPr>
          <w:rFonts w:ascii="Calibri" w:hAnsi="Calibri" w:eastAsia="Calibri" w:cs="Calibri"/>
          <w:sz w:val="22"/>
          <w:szCs w:val="22"/>
        </w:rPr>
        <w:t xml:space="preserve"> En la etapa 3–4 se elige la IA (VAN 475.534) por sobre la Planta (VAN 476.304), pese a que la IA tiene un VAN levemente menor.</w:t>
      </w:r>
    </w:p>
    <w:p w14:paraId="46732EE5">
      <w:pPr>
        <w:spacing w:after="140"/>
      </w:pPr>
      <w:r>
        <w:rPr>
          <w:rFonts w:ascii="Calibri" w:hAnsi="Calibri" w:eastAsia="Calibri" w:cs="Calibri"/>
          <w:sz w:val="22"/>
          <w:szCs w:val="22"/>
        </w:rPr>
        <w:t>La diferencia es de apenas USD 770. La IA logra ese valor casi idéntico usando USD 1,6 M menos de capital inmovilizado (IA: USD 1,2 M invertidos vs. Planta: USD 2,8 M), lo que deja al portafolio con mucho más colchón de liquidez y mejor índice de rentabilidad (TIR 31,6% vs. 24,5%). Es un caso claro de priorizar la eficiencia de capital (ROI / índice de rentabilidad) por sobre el VAN individual más alto cuando dos opciones están prácticamente empatadas en valor absoluto. El riesgo propio de la IA (su cola negativa ante una caída de ventas) no desaparece, pero deja de ser determinante frente al costo de oportunidad de tener USD 1,6 M inmovilizados en la Planta para un mismo resultado de valor.</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2022D55"/>
    <w:rsid w:val="19567321"/>
    <w:rsid w:val="212C7158"/>
    <w:rsid w:val="266D32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1651</Words>
  <Characters>7565</Characters>
  <TotalTime>2</TotalTime>
  <ScaleCrop>false</ScaleCrop>
  <LinksUpToDate>false</LinksUpToDate>
  <CharactersWithSpaces>9048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2026-09-03T14:32:00Z</dcterms:created>
  <dc:creator>Un-named</dc:creator>
  <cp:lastModifiedBy>Maria Florencia Ossola</cp:lastModifiedBy>
  <dcterms:modified xsi:type="dcterms:W3CDTF">2026-09-03T14:50:11Z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eyJoZGlkIjoiNzA1YmRhYWJjMGFiNThhZmZhZjcxZmJlMDAwYzk0NjgiLCJ1c2VySWQiOiIxNTM5MzE2NDc3MjE5NyJ9</vt:lpwstr>
  </property>
  <property fmtid="{D5CDD505-2E9C-101B-9397-08002B2CF9AE}" pid="3" name="KSOProductBuildVer">
    <vt:lpwstr>1033-12.1.0.28485</vt:lpwstr>
  </property>
  <property fmtid="{D5CDD505-2E9C-101B-9397-08002B2CF9AE}" pid="4" name="ICV">
    <vt:lpwstr>149BB4E5E36842C4BF2A2F4F52650CA2_12</vt:lpwstr>
  </property>
</Properties>
</file>