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1C80ED">
      <w:pPr>
        <w:spacing w:after="60"/>
      </w:pPr>
      <w:r>
        <w:rPr>
          <w:b/>
          <w:bCs/>
          <w:sz w:val="34"/>
          <w:szCs w:val="34"/>
        </w:rPr>
        <w:t>TP 5 - Presupuesto</w:t>
      </w:r>
      <w:bookmarkStart w:id="0" w:name="_GoBack"/>
      <w:bookmarkEnd w:id="0"/>
    </w:p>
    <w:p w14:paraId="086E1AE2">
      <w:pPr>
        <w:spacing w:after="300"/>
      </w:pPr>
      <w:r>
        <w:rPr>
          <w:b/>
          <w:bCs/>
          <w:sz w:val="24"/>
          <w:szCs w:val="24"/>
        </w:rPr>
        <w:t>Implementación de SAP S/4HANA en Grupo Andino S.A.</w:t>
      </w:r>
    </w:p>
    <w:p w14:paraId="7751AC98">
      <w:pPr>
        <w:spacing w:before="280" w:after="140"/>
      </w:pPr>
      <w:r>
        <w:rPr>
          <w:b/>
          <w:bCs/>
          <w:color w:val="1F3864"/>
          <w:sz w:val="25"/>
          <w:szCs w:val="25"/>
        </w:rPr>
        <w:t>Grupo Andino S.A.</w:t>
      </w:r>
    </w:p>
    <w:p w14:paraId="3C18763F">
      <w:pPr>
        <w:spacing w:after="140"/>
      </w:pPr>
      <w:r>
        <w:rPr>
          <w:sz w:val="22"/>
          <w:szCs w:val="22"/>
        </w:rPr>
        <w:t>La empresa ha decidido implementar SAP S/4HANA para reemplazar su ERP actual.</w:t>
      </w:r>
    </w:p>
    <w:p w14:paraId="0F34DAA2">
      <w:pPr>
        <w:spacing w:before="200" w:after="100"/>
      </w:pPr>
      <w:r>
        <w:rPr>
          <w:b/>
          <w:bCs/>
          <w:sz w:val="22"/>
          <w:szCs w:val="22"/>
        </w:rPr>
        <w:t>Características:</w:t>
      </w:r>
    </w:p>
    <w:p w14:paraId="6670CDF6">
      <w:pPr>
        <w:pStyle w:val="16"/>
        <w:numPr>
          <w:ilvl w:val="0"/>
          <w:numId w:val="1"/>
        </w:numPr>
        <w:spacing w:after="80"/>
      </w:pPr>
      <w:r>
        <w:rPr>
          <w:sz w:val="22"/>
          <w:szCs w:val="22"/>
        </w:rPr>
        <w:t>Empresa manufacturera</w:t>
      </w:r>
    </w:p>
    <w:p w14:paraId="433751D4">
      <w:pPr>
        <w:pStyle w:val="16"/>
        <w:numPr>
          <w:ilvl w:val="0"/>
          <w:numId w:val="1"/>
        </w:numPr>
        <w:spacing w:after="80"/>
      </w:pPr>
      <w:r>
        <w:rPr>
          <w:sz w:val="22"/>
          <w:szCs w:val="22"/>
        </w:rPr>
        <w:t>700 empleados</w:t>
      </w:r>
    </w:p>
    <w:p w14:paraId="557A2F20">
      <w:pPr>
        <w:pStyle w:val="16"/>
        <w:numPr>
          <w:ilvl w:val="0"/>
          <w:numId w:val="1"/>
        </w:numPr>
        <w:spacing w:after="80"/>
      </w:pPr>
      <w:r>
        <w:rPr>
          <w:sz w:val="22"/>
          <w:szCs w:val="22"/>
        </w:rPr>
        <w:t>3 plantas</w:t>
      </w:r>
    </w:p>
    <w:p w14:paraId="632E8464">
      <w:pPr>
        <w:pStyle w:val="16"/>
        <w:numPr>
          <w:ilvl w:val="0"/>
          <w:numId w:val="1"/>
        </w:numPr>
        <w:spacing w:after="80"/>
      </w:pPr>
      <w:r>
        <w:rPr>
          <w:sz w:val="22"/>
          <w:szCs w:val="22"/>
        </w:rPr>
        <w:t>Proyecto estimado en 10 meses</w:t>
      </w:r>
    </w:p>
    <w:p w14:paraId="7A81569C">
      <w:pPr>
        <w:pStyle w:val="16"/>
        <w:numPr>
          <w:ilvl w:val="0"/>
          <w:numId w:val="1"/>
        </w:numPr>
        <w:spacing w:after="80"/>
      </w:pPr>
      <w:r>
        <w:rPr>
          <w:sz w:val="22"/>
          <w:szCs w:val="22"/>
        </w:rPr>
        <w:t>El análisis funcional será realizado por una consultora especializada.</w:t>
      </w:r>
    </w:p>
    <w:p w14:paraId="4B184B67">
      <w:pPr>
        <w:pStyle w:val="16"/>
        <w:numPr>
          <w:ilvl w:val="0"/>
          <w:numId w:val="1"/>
        </w:numPr>
        <w:spacing w:after="80"/>
      </w:pPr>
      <w:r>
        <w:rPr>
          <w:sz w:val="22"/>
          <w:szCs w:val="22"/>
        </w:rPr>
        <w:t>El desarrollo de adaptaciones será realizado por personal propio.</w:t>
      </w:r>
    </w:p>
    <w:p w14:paraId="006AA620">
      <w:pPr>
        <w:spacing w:before="400" w:after="200"/>
      </w:pPr>
      <w:r>
        <w:rPr>
          <w:b/>
          <w:bCs/>
          <w:color w:val="1F3864"/>
          <w:sz w:val="30"/>
          <w:szCs w:val="30"/>
        </w:rPr>
        <w:t>PARTE 1 — Estimación del proyecto</w:t>
      </w:r>
    </w:p>
    <w:p w14:paraId="705C9F60">
      <w:pPr>
        <w:spacing w:after="140"/>
      </w:pPr>
      <w:r>
        <w:rPr>
          <w:sz w:val="22"/>
          <w:szCs w:val="22"/>
        </w:rPr>
        <w:t>Se identifican 10 paquetes de trabajo (WBS). Cuando corresponde, el esfuerzo se separa entre horas de la consultora y horas de recursos internos. Algunos paquetes se solapan (infraestructura y desarrollos ABAP corren en paralelo con otras etapas) para que la suma de duraciones cierre en los 10 meses (~43 semanas) del proyecto.</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400"/>
        <w:gridCol w:w="3600"/>
        <w:gridCol w:w="1900"/>
      </w:tblGrid>
      <w:tr w14:paraId="10A81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80" w:type="dxa"/>
              <w:left w:w="120" w:type="dxa"/>
              <w:bottom w:w="80" w:type="dxa"/>
              <w:right w:w="120" w:type="dxa"/>
            </w:tcMar>
          </w:tcPr>
          <w:p w14:paraId="5555E339">
            <w:pPr>
              <w:jc w:val="left"/>
            </w:pPr>
            <w:r>
              <w:rPr>
                <w:b/>
                <w:bCs/>
                <w:color w:val="FFFFFF"/>
                <w:sz w:val="20"/>
                <w:szCs w:val="20"/>
              </w:rPr>
              <w:t>Paquete de trabajo (WBS)</w:t>
            </w:r>
          </w:p>
        </w:tc>
        <w:tc>
          <w:tcPr>
            <w:tcW w:w="1400" w:type="dxa"/>
            <w:shd w:val="clear" w:color="auto" w:fill="1F3864"/>
            <w:tcMar>
              <w:top w:w="80" w:type="dxa"/>
              <w:left w:w="120" w:type="dxa"/>
              <w:bottom w:w="80" w:type="dxa"/>
              <w:right w:w="120" w:type="dxa"/>
            </w:tcMar>
          </w:tcPr>
          <w:p w14:paraId="6A42CA6C">
            <w:pPr>
              <w:jc w:val="left"/>
            </w:pPr>
            <w:r>
              <w:rPr>
                <w:b/>
                <w:bCs/>
                <w:color w:val="FFFFFF"/>
                <w:sz w:val="20"/>
                <w:szCs w:val="20"/>
              </w:rPr>
              <w:t>Duración</w:t>
            </w:r>
          </w:p>
        </w:tc>
        <w:tc>
          <w:tcPr>
            <w:tcW w:w="3600" w:type="dxa"/>
            <w:shd w:val="clear" w:color="auto" w:fill="1F3864"/>
            <w:tcMar>
              <w:top w:w="80" w:type="dxa"/>
              <w:left w:w="120" w:type="dxa"/>
              <w:bottom w:w="80" w:type="dxa"/>
              <w:right w:w="120" w:type="dxa"/>
            </w:tcMar>
          </w:tcPr>
          <w:p w14:paraId="1A6FBAE7">
            <w:pPr>
              <w:jc w:val="left"/>
            </w:pPr>
            <w:r>
              <w:rPr>
                <w:b/>
                <w:bCs/>
                <w:color w:val="FFFFFF"/>
                <w:sz w:val="20"/>
                <w:szCs w:val="20"/>
              </w:rPr>
              <w:t>Recursos</w:t>
            </w:r>
          </w:p>
        </w:tc>
        <w:tc>
          <w:tcPr>
            <w:tcW w:w="1900" w:type="dxa"/>
            <w:shd w:val="clear" w:color="auto" w:fill="1F3864"/>
            <w:tcMar>
              <w:top w:w="80" w:type="dxa"/>
              <w:left w:w="120" w:type="dxa"/>
              <w:bottom w:w="80" w:type="dxa"/>
              <w:right w:w="120" w:type="dxa"/>
            </w:tcMar>
          </w:tcPr>
          <w:p w14:paraId="1E0A8829">
            <w:pPr>
              <w:jc w:val="left"/>
            </w:pPr>
            <w:r>
              <w:rPr>
                <w:b/>
                <w:bCs/>
                <w:color w:val="FFFFFF"/>
                <w:sz w:val="20"/>
                <w:szCs w:val="20"/>
              </w:rPr>
              <w:t>Esfuerzo estimado</w:t>
            </w:r>
          </w:p>
        </w:tc>
      </w:tr>
      <w:tr w14:paraId="16C8E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20" w:type="dxa"/>
              <w:bottom w:w="80" w:type="dxa"/>
              <w:right w:w="120" w:type="dxa"/>
            </w:tcMar>
          </w:tcPr>
          <w:p w14:paraId="41D6CFF1">
            <w:pPr>
              <w:jc w:val="left"/>
            </w:pPr>
            <w:r>
              <w:rPr>
                <w:b w:val="0"/>
                <w:bCs w:val="0"/>
                <w:color w:val="000000"/>
                <w:sz w:val="20"/>
                <w:szCs w:val="20"/>
              </w:rPr>
              <w:t>1. Inicio</w:t>
            </w:r>
          </w:p>
        </w:tc>
        <w:tc>
          <w:tcPr>
            <w:tcW w:w="1400" w:type="dxa"/>
            <w:tcMar>
              <w:top w:w="80" w:type="dxa"/>
              <w:left w:w="120" w:type="dxa"/>
              <w:bottom w:w="80" w:type="dxa"/>
              <w:right w:w="120" w:type="dxa"/>
            </w:tcMar>
          </w:tcPr>
          <w:p w14:paraId="79840095">
            <w:pPr>
              <w:jc w:val="left"/>
            </w:pPr>
            <w:r>
              <w:rPr>
                <w:b w:val="0"/>
                <w:bCs w:val="0"/>
                <w:color w:val="000000"/>
                <w:sz w:val="20"/>
                <w:szCs w:val="20"/>
              </w:rPr>
              <w:t>2 semanas</w:t>
            </w:r>
          </w:p>
        </w:tc>
        <w:tc>
          <w:tcPr>
            <w:tcW w:w="3600" w:type="dxa"/>
            <w:tcMar>
              <w:top w:w="80" w:type="dxa"/>
              <w:left w:w="120" w:type="dxa"/>
              <w:bottom w:w="80" w:type="dxa"/>
              <w:right w:w="120" w:type="dxa"/>
            </w:tcMar>
          </w:tcPr>
          <w:p w14:paraId="5600F27B">
            <w:pPr>
              <w:jc w:val="left"/>
            </w:pPr>
            <w:r>
              <w:rPr>
                <w:b w:val="0"/>
                <w:bCs w:val="0"/>
                <w:color w:val="000000"/>
                <w:sz w:val="20"/>
                <w:szCs w:val="20"/>
              </w:rPr>
              <w:t>Director de Proyecto, Sponsor, Comité de Dirección</w:t>
            </w:r>
          </w:p>
        </w:tc>
        <w:tc>
          <w:tcPr>
            <w:tcW w:w="1900" w:type="dxa"/>
            <w:tcMar>
              <w:top w:w="80" w:type="dxa"/>
              <w:left w:w="120" w:type="dxa"/>
              <w:bottom w:w="80" w:type="dxa"/>
              <w:right w:w="120" w:type="dxa"/>
            </w:tcMar>
          </w:tcPr>
          <w:p w14:paraId="6B42A23C">
            <w:pPr>
              <w:jc w:val="left"/>
            </w:pPr>
            <w:r>
              <w:rPr>
                <w:b w:val="0"/>
                <w:bCs w:val="0"/>
                <w:color w:val="000000"/>
                <w:sz w:val="20"/>
                <w:szCs w:val="20"/>
              </w:rPr>
              <w:t>10 p-d</w:t>
            </w:r>
          </w:p>
        </w:tc>
      </w:tr>
      <w:tr w14:paraId="43F7B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20" w:type="dxa"/>
              <w:bottom w:w="80" w:type="dxa"/>
              <w:right w:w="120" w:type="dxa"/>
            </w:tcMar>
          </w:tcPr>
          <w:p w14:paraId="319EE15F">
            <w:pPr>
              <w:jc w:val="left"/>
            </w:pPr>
            <w:r>
              <w:rPr>
                <w:b w:val="0"/>
                <w:bCs w:val="0"/>
                <w:color w:val="000000"/>
                <w:sz w:val="20"/>
                <w:szCs w:val="20"/>
              </w:rPr>
              <w:t>2. Relevamiento</w:t>
            </w:r>
          </w:p>
        </w:tc>
        <w:tc>
          <w:tcPr>
            <w:tcW w:w="1400" w:type="dxa"/>
            <w:shd w:val="clear" w:color="auto" w:fill="F2F2F2"/>
            <w:tcMar>
              <w:top w:w="80" w:type="dxa"/>
              <w:left w:w="120" w:type="dxa"/>
              <w:bottom w:w="80" w:type="dxa"/>
              <w:right w:w="120" w:type="dxa"/>
            </w:tcMar>
          </w:tcPr>
          <w:p w14:paraId="1A7D47DF">
            <w:pPr>
              <w:jc w:val="left"/>
            </w:pPr>
            <w:r>
              <w:rPr>
                <w:b w:val="0"/>
                <w:bCs w:val="0"/>
                <w:color w:val="000000"/>
                <w:sz w:val="20"/>
                <w:szCs w:val="20"/>
              </w:rPr>
              <w:t>8 semanas</w:t>
            </w:r>
          </w:p>
        </w:tc>
        <w:tc>
          <w:tcPr>
            <w:tcW w:w="3600" w:type="dxa"/>
            <w:shd w:val="clear" w:color="auto" w:fill="F2F2F2"/>
            <w:tcMar>
              <w:top w:w="80" w:type="dxa"/>
              <w:left w:w="120" w:type="dxa"/>
              <w:bottom w:w="80" w:type="dxa"/>
              <w:right w:w="120" w:type="dxa"/>
            </w:tcMar>
          </w:tcPr>
          <w:p w14:paraId="37771DE0">
            <w:pPr>
              <w:jc w:val="left"/>
            </w:pPr>
            <w:r>
              <w:rPr>
                <w:b w:val="0"/>
                <w:bCs w:val="0"/>
                <w:color w:val="000000"/>
                <w:sz w:val="20"/>
                <w:szCs w:val="20"/>
              </w:rPr>
              <w:t>Consultora: 4 consultores funcionales · Internos: 6 key users</w:t>
            </w:r>
          </w:p>
        </w:tc>
        <w:tc>
          <w:tcPr>
            <w:tcW w:w="1900" w:type="dxa"/>
            <w:shd w:val="clear" w:color="auto" w:fill="F2F2F2"/>
            <w:tcMar>
              <w:top w:w="80" w:type="dxa"/>
              <w:left w:w="120" w:type="dxa"/>
              <w:bottom w:w="80" w:type="dxa"/>
              <w:right w:w="120" w:type="dxa"/>
            </w:tcMar>
          </w:tcPr>
          <w:p w14:paraId="5E2CA1DA">
            <w:pPr>
              <w:jc w:val="left"/>
            </w:pPr>
            <w:r>
              <w:rPr>
                <w:b w:val="0"/>
                <w:bCs w:val="0"/>
                <w:color w:val="000000"/>
                <w:sz w:val="20"/>
                <w:szCs w:val="20"/>
              </w:rPr>
              <w:t>320 + 240 p-d</w:t>
            </w:r>
          </w:p>
        </w:tc>
      </w:tr>
      <w:tr w14:paraId="65436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20" w:type="dxa"/>
              <w:bottom w:w="80" w:type="dxa"/>
              <w:right w:w="120" w:type="dxa"/>
            </w:tcMar>
          </w:tcPr>
          <w:p w14:paraId="2016681F">
            <w:pPr>
              <w:jc w:val="left"/>
            </w:pPr>
            <w:r>
              <w:rPr>
                <w:b w:val="0"/>
                <w:bCs w:val="0"/>
                <w:color w:val="000000"/>
                <w:sz w:val="20"/>
                <w:szCs w:val="20"/>
              </w:rPr>
              <w:t>3. Diseño funcional</w:t>
            </w:r>
          </w:p>
        </w:tc>
        <w:tc>
          <w:tcPr>
            <w:tcW w:w="1400" w:type="dxa"/>
            <w:tcMar>
              <w:top w:w="80" w:type="dxa"/>
              <w:left w:w="120" w:type="dxa"/>
              <w:bottom w:w="80" w:type="dxa"/>
              <w:right w:w="120" w:type="dxa"/>
            </w:tcMar>
          </w:tcPr>
          <w:p w14:paraId="51C03BBB">
            <w:pPr>
              <w:jc w:val="left"/>
            </w:pPr>
            <w:r>
              <w:rPr>
                <w:b w:val="0"/>
                <w:bCs w:val="0"/>
                <w:color w:val="000000"/>
                <w:sz w:val="20"/>
                <w:szCs w:val="20"/>
              </w:rPr>
              <w:t>5 semanas</w:t>
            </w:r>
          </w:p>
        </w:tc>
        <w:tc>
          <w:tcPr>
            <w:tcW w:w="3600" w:type="dxa"/>
            <w:tcMar>
              <w:top w:w="80" w:type="dxa"/>
              <w:left w:w="120" w:type="dxa"/>
              <w:bottom w:w="80" w:type="dxa"/>
              <w:right w:w="120" w:type="dxa"/>
            </w:tcMar>
          </w:tcPr>
          <w:p w14:paraId="167BAC6C">
            <w:pPr>
              <w:jc w:val="left"/>
            </w:pPr>
            <w:r>
              <w:rPr>
                <w:b w:val="0"/>
                <w:bCs w:val="0"/>
                <w:color w:val="000000"/>
                <w:sz w:val="20"/>
                <w:szCs w:val="20"/>
              </w:rPr>
              <w:t>Consultora: 3 consultores funcionales · Internos: 4 key users</w:t>
            </w:r>
          </w:p>
        </w:tc>
        <w:tc>
          <w:tcPr>
            <w:tcW w:w="1900" w:type="dxa"/>
            <w:tcMar>
              <w:top w:w="80" w:type="dxa"/>
              <w:left w:w="120" w:type="dxa"/>
              <w:bottom w:w="80" w:type="dxa"/>
              <w:right w:w="120" w:type="dxa"/>
            </w:tcMar>
          </w:tcPr>
          <w:p w14:paraId="5305626F">
            <w:pPr>
              <w:jc w:val="left"/>
            </w:pPr>
            <w:r>
              <w:rPr>
                <w:b w:val="0"/>
                <w:bCs w:val="0"/>
                <w:color w:val="000000"/>
                <w:sz w:val="20"/>
                <w:szCs w:val="20"/>
              </w:rPr>
              <w:t>105 + 100 p-d</w:t>
            </w:r>
          </w:p>
        </w:tc>
      </w:tr>
      <w:tr w14:paraId="79DEA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20" w:type="dxa"/>
              <w:bottom w:w="80" w:type="dxa"/>
              <w:right w:w="120" w:type="dxa"/>
            </w:tcMar>
          </w:tcPr>
          <w:p w14:paraId="367A6CA2">
            <w:pPr>
              <w:jc w:val="left"/>
            </w:pPr>
            <w:r>
              <w:rPr>
                <w:b w:val="0"/>
                <w:bCs w:val="0"/>
                <w:color w:val="000000"/>
                <w:sz w:val="20"/>
                <w:szCs w:val="20"/>
              </w:rPr>
              <w:t>4. Infraestructura</w:t>
            </w:r>
          </w:p>
        </w:tc>
        <w:tc>
          <w:tcPr>
            <w:tcW w:w="1400" w:type="dxa"/>
            <w:shd w:val="clear" w:color="auto" w:fill="F2F2F2"/>
            <w:tcMar>
              <w:top w:w="80" w:type="dxa"/>
              <w:left w:w="120" w:type="dxa"/>
              <w:bottom w:w="80" w:type="dxa"/>
              <w:right w:w="120" w:type="dxa"/>
            </w:tcMar>
          </w:tcPr>
          <w:p w14:paraId="59E67AA1">
            <w:pPr>
              <w:jc w:val="left"/>
            </w:pPr>
            <w:r>
              <w:rPr>
                <w:b w:val="0"/>
                <w:bCs w:val="0"/>
                <w:color w:val="000000"/>
                <w:sz w:val="20"/>
                <w:szCs w:val="20"/>
              </w:rPr>
              <w:t>6 semanas (en paralelo, desde semana 5)</w:t>
            </w:r>
          </w:p>
        </w:tc>
        <w:tc>
          <w:tcPr>
            <w:tcW w:w="3600" w:type="dxa"/>
            <w:shd w:val="clear" w:color="auto" w:fill="F2F2F2"/>
            <w:tcMar>
              <w:top w:w="80" w:type="dxa"/>
              <w:left w:w="120" w:type="dxa"/>
              <w:bottom w:w="80" w:type="dxa"/>
              <w:right w:w="120" w:type="dxa"/>
            </w:tcMar>
          </w:tcPr>
          <w:p w14:paraId="49185F16">
            <w:pPr>
              <w:jc w:val="left"/>
            </w:pPr>
            <w:r>
              <w:rPr>
                <w:b w:val="0"/>
                <w:bCs w:val="0"/>
                <w:color w:val="000000"/>
                <w:sz w:val="20"/>
                <w:szCs w:val="20"/>
              </w:rPr>
              <w:t>Internos: 2 técnicos IT · Proveedor de infraestructura/hosting</w:t>
            </w:r>
          </w:p>
        </w:tc>
        <w:tc>
          <w:tcPr>
            <w:tcW w:w="1900" w:type="dxa"/>
            <w:shd w:val="clear" w:color="auto" w:fill="F2F2F2"/>
            <w:tcMar>
              <w:top w:w="80" w:type="dxa"/>
              <w:left w:w="120" w:type="dxa"/>
              <w:bottom w:w="80" w:type="dxa"/>
              <w:right w:w="120" w:type="dxa"/>
            </w:tcMar>
          </w:tcPr>
          <w:p w14:paraId="4464826B">
            <w:pPr>
              <w:jc w:val="left"/>
            </w:pPr>
            <w:r>
              <w:rPr>
                <w:b w:val="0"/>
                <w:bCs w:val="0"/>
                <w:color w:val="000000"/>
                <w:sz w:val="20"/>
                <w:szCs w:val="20"/>
              </w:rPr>
              <w:t>60 p-d</w:t>
            </w:r>
          </w:p>
        </w:tc>
      </w:tr>
      <w:tr w14:paraId="0C660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20" w:type="dxa"/>
              <w:bottom w:w="80" w:type="dxa"/>
              <w:right w:w="120" w:type="dxa"/>
            </w:tcMar>
          </w:tcPr>
          <w:p w14:paraId="674F8AAE">
            <w:pPr>
              <w:jc w:val="left"/>
            </w:pPr>
            <w:r>
              <w:rPr>
                <w:b w:val="0"/>
                <w:bCs w:val="0"/>
                <w:color w:val="000000"/>
                <w:sz w:val="20"/>
                <w:szCs w:val="20"/>
              </w:rPr>
              <w:t>5. Configuración SAP</w:t>
            </w:r>
          </w:p>
        </w:tc>
        <w:tc>
          <w:tcPr>
            <w:tcW w:w="1400" w:type="dxa"/>
            <w:tcMar>
              <w:top w:w="80" w:type="dxa"/>
              <w:left w:w="120" w:type="dxa"/>
              <w:bottom w:w="80" w:type="dxa"/>
              <w:right w:w="120" w:type="dxa"/>
            </w:tcMar>
          </w:tcPr>
          <w:p w14:paraId="4B2ACC2E">
            <w:pPr>
              <w:jc w:val="left"/>
            </w:pPr>
            <w:r>
              <w:rPr>
                <w:b w:val="0"/>
                <w:bCs w:val="0"/>
                <w:color w:val="000000"/>
                <w:sz w:val="20"/>
                <w:szCs w:val="20"/>
              </w:rPr>
              <w:t>10 semanas</w:t>
            </w:r>
          </w:p>
        </w:tc>
        <w:tc>
          <w:tcPr>
            <w:tcW w:w="3600" w:type="dxa"/>
            <w:tcMar>
              <w:top w:w="80" w:type="dxa"/>
              <w:left w:w="120" w:type="dxa"/>
              <w:bottom w:w="80" w:type="dxa"/>
              <w:right w:w="120" w:type="dxa"/>
            </w:tcMar>
          </w:tcPr>
          <w:p w14:paraId="65612007">
            <w:pPr>
              <w:jc w:val="left"/>
            </w:pPr>
            <w:r>
              <w:rPr>
                <w:b w:val="0"/>
                <w:bCs w:val="0"/>
                <w:color w:val="000000"/>
                <w:sz w:val="20"/>
                <w:szCs w:val="20"/>
              </w:rPr>
              <w:t>Consultora: 4 consultores · Internos: 4 key users</w:t>
            </w:r>
          </w:p>
        </w:tc>
        <w:tc>
          <w:tcPr>
            <w:tcW w:w="1900" w:type="dxa"/>
            <w:tcMar>
              <w:top w:w="80" w:type="dxa"/>
              <w:left w:w="120" w:type="dxa"/>
              <w:bottom w:w="80" w:type="dxa"/>
              <w:right w:w="120" w:type="dxa"/>
            </w:tcMar>
          </w:tcPr>
          <w:p w14:paraId="5CCAD1C6">
            <w:pPr>
              <w:jc w:val="left"/>
            </w:pPr>
            <w:r>
              <w:rPr>
                <w:b w:val="0"/>
                <w:bCs w:val="0"/>
                <w:color w:val="000000"/>
                <w:sz w:val="20"/>
                <w:szCs w:val="20"/>
              </w:rPr>
              <w:t>200 + 200 p-d</w:t>
            </w:r>
          </w:p>
        </w:tc>
      </w:tr>
      <w:tr w14:paraId="6296A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20" w:type="dxa"/>
              <w:bottom w:w="80" w:type="dxa"/>
              <w:right w:w="120" w:type="dxa"/>
            </w:tcMar>
          </w:tcPr>
          <w:p w14:paraId="1AE3DCE4">
            <w:pPr>
              <w:jc w:val="left"/>
            </w:pPr>
            <w:r>
              <w:rPr>
                <w:b w:val="0"/>
                <w:bCs w:val="0"/>
                <w:color w:val="000000"/>
                <w:sz w:val="20"/>
                <w:szCs w:val="20"/>
              </w:rPr>
              <w:t>6. Desarrollos ABAP</w:t>
            </w:r>
          </w:p>
        </w:tc>
        <w:tc>
          <w:tcPr>
            <w:tcW w:w="1400" w:type="dxa"/>
            <w:shd w:val="clear" w:color="auto" w:fill="F2F2F2"/>
            <w:tcMar>
              <w:top w:w="80" w:type="dxa"/>
              <w:left w:w="120" w:type="dxa"/>
              <w:bottom w:w="80" w:type="dxa"/>
              <w:right w:w="120" w:type="dxa"/>
            </w:tcMar>
          </w:tcPr>
          <w:p w14:paraId="62A9B107">
            <w:pPr>
              <w:jc w:val="left"/>
            </w:pPr>
            <w:r>
              <w:rPr>
                <w:b w:val="0"/>
                <w:bCs w:val="0"/>
                <w:color w:val="000000"/>
                <w:sz w:val="20"/>
                <w:szCs w:val="20"/>
              </w:rPr>
              <w:t>9 semanas (en paralelo, desde semana 14)</w:t>
            </w:r>
          </w:p>
        </w:tc>
        <w:tc>
          <w:tcPr>
            <w:tcW w:w="3600" w:type="dxa"/>
            <w:shd w:val="clear" w:color="auto" w:fill="F2F2F2"/>
            <w:tcMar>
              <w:top w:w="80" w:type="dxa"/>
              <w:left w:w="120" w:type="dxa"/>
              <w:bottom w:w="80" w:type="dxa"/>
              <w:right w:w="120" w:type="dxa"/>
            </w:tcMar>
          </w:tcPr>
          <w:p w14:paraId="23C92823">
            <w:pPr>
              <w:jc w:val="left"/>
            </w:pPr>
            <w:r>
              <w:rPr>
                <w:b w:val="0"/>
                <w:bCs w:val="0"/>
                <w:color w:val="000000"/>
                <w:sz w:val="20"/>
                <w:szCs w:val="20"/>
              </w:rPr>
              <w:t>Internos: 3 desarrolladores ABAP</w:t>
            </w:r>
          </w:p>
        </w:tc>
        <w:tc>
          <w:tcPr>
            <w:tcW w:w="1900" w:type="dxa"/>
            <w:shd w:val="clear" w:color="auto" w:fill="F2F2F2"/>
            <w:tcMar>
              <w:top w:w="80" w:type="dxa"/>
              <w:left w:w="120" w:type="dxa"/>
              <w:bottom w:w="80" w:type="dxa"/>
              <w:right w:w="120" w:type="dxa"/>
            </w:tcMar>
          </w:tcPr>
          <w:p w14:paraId="000CE833">
            <w:pPr>
              <w:jc w:val="left"/>
            </w:pPr>
            <w:r>
              <w:rPr>
                <w:b w:val="0"/>
                <w:bCs w:val="0"/>
                <w:color w:val="000000"/>
                <w:sz w:val="20"/>
                <w:szCs w:val="20"/>
              </w:rPr>
              <w:t>135 p-d</w:t>
            </w:r>
          </w:p>
        </w:tc>
      </w:tr>
      <w:tr w14:paraId="13776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20" w:type="dxa"/>
              <w:bottom w:w="80" w:type="dxa"/>
              <w:right w:w="120" w:type="dxa"/>
            </w:tcMar>
          </w:tcPr>
          <w:p w14:paraId="75C4204E">
            <w:pPr>
              <w:jc w:val="left"/>
            </w:pPr>
            <w:r>
              <w:rPr>
                <w:b w:val="0"/>
                <w:bCs w:val="0"/>
                <w:color w:val="000000"/>
                <w:sz w:val="20"/>
                <w:szCs w:val="20"/>
              </w:rPr>
              <w:t>7. Migración de datos</w:t>
            </w:r>
          </w:p>
        </w:tc>
        <w:tc>
          <w:tcPr>
            <w:tcW w:w="1400" w:type="dxa"/>
            <w:tcMar>
              <w:top w:w="80" w:type="dxa"/>
              <w:left w:w="120" w:type="dxa"/>
              <w:bottom w:w="80" w:type="dxa"/>
              <w:right w:w="120" w:type="dxa"/>
            </w:tcMar>
          </w:tcPr>
          <w:p w14:paraId="71985B92">
            <w:pPr>
              <w:jc w:val="left"/>
            </w:pPr>
            <w:r>
              <w:rPr>
                <w:b w:val="0"/>
                <w:bCs w:val="0"/>
                <w:color w:val="000000"/>
                <w:sz w:val="20"/>
                <w:szCs w:val="20"/>
              </w:rPr>
              <w:t>6 semanas</w:t>
            </w:r>
          </w:p>
        </w:tc>
        <w:tc>
          <w:tcPr>
            <w:tcW w:w="3600" w:type="dxa"/>
            <w:tcMar>
              <w:top w:w="80" w:type="dxa"/>
              <w:left w:w="120" w:type="dxa"/>
              <w:bottom w:w="80" w:type="dxa"/>
              <w:right w:w="120" w:type="dxa"/>
            </w:tcMar>
          </w:tcPr>
          <w:p w14:paraId="0ED61F83">
            <w:pPr>
              <w:jc w:val="left"/>
            </w:pPr>
            <w:r>
              <w:rPr>
                <w:b w:val="0"/>
                <w:bCs w:val="0"/>
                <w:color w:val="000000"/>
                <w:sz w:val="20"/>
                <w:szCs w:val="20"/>
              </w:rPr>
              <w:t>Internos: 3 personas · Consultora: 1 (soporte técnico)</w:t>
            </w:r>
          </w:p>
        </w:tc>
        <w:tc>
          <w:tcPr>
            <w:tcW w:w="1900" w:type="dxa"/>
            <w:tcMar>
              <w:top w:w="80" w:type="dxa"/>
              <w:left w:w="120" w:type="dxa"/>
              <w:bottom w:w="80" w:type="dxa"/>
              <w:right w:w="120" w:type="dxa"/>
            </w:tcMar>
          </w:tcPr>
          <w:p w14:paraId="4DDA5CD2">
            <w:pPr>
              <w:jc w:val="left"/>
            </w:pPr>
            <w:r>
              <w:rPr>
                <w:b w:val="0"/>
                <w:bCs w:val="0"/>
                <w:color w:val="000000"/>
                <w:sz w:val="20"/>
                <w:szCs w:val="20"/>
              </w:rPr>
              <w:t>90 + 30 p-d</w:t>
            </w:r>
          </w:p>
        </w:tc>
      </w:tr>
      <w:tr w14:paraId="77961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20" w:type="dxa"/>
              <w:bottom w:w="80" w:type="dxa"/>
              <w:right w:w="120" w:type="dxa"/>
            </w:tcMar>
          </w:tcPr>
          <w:p w14:paraId="216B640E">
            <w:pPr>
              <w:jc w:val="left"/>
            </w:pPr>
            <w:r>
              <w:rPr>
                <w:b w:val="0"/>
                <w:bCs w:val="0"/>
                <w:color w:val="000000"/>
                <w:sz w:val="20"/>
                <w:szCs w:val="20"/>
              </w:rPr>
              <w:t>8. Capacitación</w:t>
            </w:r>
          </w:p>
        </w:tc>
        <w:tc>
          <w:tcPr>
            <w:tcW w:w="1400" w:type="dxa"/>
            <w:shd w:val="clear" w:color="auto" w:fill="F2F2F2"/>
            <w:tcMar>
              <w:top w:w="80" w:type="dxa"/>
              <w:left w:w="120" w:type="dxa"/>
              <w:bottom w:w="80" w:type="dxa"/>
              <w:right w:w="120" w:type="dxa"/>
            </w:tcMar>
          </w:tcPr>
          <w:p w14:paraId="5E561AAB">
            <w:pPr>
              <w:jc w:val="left"/>
            </w:pPr>
            <w:r>
              <w:rPr>
                <w:b w:val="0"/>
                <w:bCs w:val="0"/>
                <w:color w:val="000000"/>
                <w:sz w:val="20"/>
                <w:szCs w:val="20"/>
              </w:rPr>
              <w:t>3 semanas</w:t>
            </w:r>
          </w:p>
        </w:tc>
        <w:tc>
          <w:tcPr>
            <w:tcW w:w="3600" w:type="dxa"/>
            <w:shd w:val="clear" w:color="auto" w:fill="F2F2F2"/>
            <w:tcMar>
              <w:top w:w="80" w:type="dxa"/>
              <w:left w:w="120" w:type="dxa"/>
              <w:bottom w:w="80" w:type="dxa"/>
              <w:right w:w="120" w:type="dxa"/>
            </w:tcMar>
          </w:tcPr>
          <w:p w14:paraId="030EB6EB">
            <w:pPr>
              <w:jc w:val="left"/>
            </w:pPr>
            <w:r>
              <w:rPr>
                <w:b w:val="0"/>
                <w:bCs w:val="0"/>
                <w:color w:val="000000"/>
                <w:sz w:val="20"/>
                <w:szCs w:val="20"/>
              </w:rPr>
              <w:t>Consultora: 2 instructores · Internos: 1 (referentes de RR.HH./plantas)</w:t>
            </w:r>
          </w:p>
        </w:tc>
        <w:tc>
          <w:tcPr>
            <w:tcW w:w="1900" w:type="dxa"/>
            <w:shd w:val="clear" w:color="auto" w:fill="F2F2F2"/>
            <w:tcMar>
              <w:top w:w="80" w:type="dxa"/>
              <w:left w:w="120" w:type="dxa"/>
              <w:bottom w:w="80" w:type="dxa"/>
              <w:right w:w="120" w:type="dxa"/>
            </w:tcMar>
          </w:tcPr>
          <w:p w14:paraId="72548454">
            <w:pPr>
              <w:jc w:val="left"/>
            </w:pPr>
            <w:r>
              <w:rPr>
                <w:b w:val="0"/>
                <w:bCs w:val="0"/>
                <w:color w:val="000000"/>
                <w:sz w:val="20"/>
                <w:szCs w:val="20"/>
              </w:rPr>
              <w:t>30 + 15 p-d</w:t>
            </w:r>
          </w:p>
        </w:tc>
      </w:tr>
      <w:tr w14:paraId="1FCD6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20" w:type="dxa"/>
              <w:bottom w:w="80" w:type="dxa"/>
              <w:right w:w="120" w:type="dxa"/>
            </w:tcMar>
          </w:tcPr>
          <w:p w14:paraId="09E423B0">
            <w:pPr>
              <w:jc w:val="left"/>
            </w:pPr>
            <w:r>
              <w:rPr>
                <w:b w:val="0"/>
                <w:bCs w:val="0"/>
                <w:color w:val="000000"/>
                <w:sz w:val="20"/>
                <w:szCs w:val="20"/>
              </w:rPr>
              <w:t>9. Pruebas</w:t>
            </w:r>
          </w:p>
        </w:tc>
        <w:tc>
          <w:tcPr>
            <w:tcW w:w="1400" w:type="dxa"/>
            <w:tcMar>
              <w:top w:w="80" w:type="dxa"/>
              <w:left w:w="120" w:type="dxa"/>
              <w:bottom w:w="80" w:type="dxa"/>
              <w:right w:w="120" w:type="dxa"/>
            </w:tcMar>
          </w:tcPr>
          <w:p w14:paraId="68812216">
            <w:pPr>
              <w:jc w:val="left"/>
            </w:pPr>
            <w:r>
              <w:rPr>
                <w:b w:val="0"/>
                <w:bCs w:val="0"/>
                <w:color w:val="000000"/>
                <w:sz w:val="20"/>
                <w:szCs w:val="20"/>
              </w:rPr>
              <w:t>6 semanas</w:t>
            </w:r>
          </w:p>
        </w:tc>
        <w:tc>
          <w:tcPr>
            <w:tcW w:w="3600" w:type="dxa"/>
            <w:tcMar>
              <w:top w:w="80" w:type="dxa"/>
              <w:left w:w="120" w:type="dxa"/>
              <w:bottom w:w="80" w:type="dxa"/>
              <w:right w:w="120" w:type="dxa"/>
            </w:tcMar>
          </w:tcPr>
          <w:p w14:paraId="0CACCF65">
            <w:pPr>
              <w:jc w:val="left"/>
            </w:pPr>
            <w:r>
              <w:rPr>
                <w:b w:val="0"/>
                <w:bCs w:val="0"/>
                <w:color w:val="000000"/>
                <w:sz w:val="20"/>
                <w:szCs w:val="20"/>
              </w:rPr>
              <w:t>Consultora: 2 · Internos: 6 key users + 2 QA</w:t>
            </w:r>
          </w:p>
        </w:tc>
        <w:tc>
          <w:tcPr>
            <w:tcW w:w="1900" w:type="dxa"/>
            <w:tcMar>
              <w:top w:w="80" w:type="dxa"/>
              <w:left w:w="120" w:type="dxa"/>
              <w:bottom w:w="80" w:type="dxa"/>
              <w:right w:w="120" w:type="dxa"/>
            </w:tcMar>
          </w:tcPr>
          <w:p w14:paraId="1B3BFF71">
            <w:pPr>
              <w:jc w:val="left"/>
            </w:pPr>
            <w:r>
              <w:rPr>
                <w:b w:val="0"/>
                <w:bCs w:val="0"/>
                <w:color w:val="000000"/>
                <w:sz w:val="20"/>
                <w:szCs w:val="20"/>
              </w:rPr>
              <w:t>300 p-d</w:t>
            </w:r>
          </w:p>
        </w:tc>
      </w:tr>
      <w:tr w14:paraId="5D748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20" w:type="dxa"/>
              <w:bottom w:w="80" w:type="dxa"/>
              <w:right w:w="120" w:type="dxa"/>
            </w:tcMar>
          </w:tcPr>
          <w:p w14:paraId="0ECAAC42">
            <w:pPr>
              <w:jc w:val="left"/>
            </w:pPr>
            <w:r>
              <w:rPr>
                <w:b w:val="0"/>
                <w:bCs w:val="0"/>
                <w:color w:val="000000"/>
                <w:sz w:val="20"/>
                <w:szCs w:val="20"/>
              </w:rPr>
              <w:t>10. Puesta en producción</w:t>
            </w:r>
          </w:p>
        </w:tc>
        <w:tc>
          <w:tcPr>
            <w:tcW w:w="1400" w:type="dxa"/>
            <w:shd w:val="clear" w:color="auto" w:fill="F2F2F2"/>
            <w:tcMar>
              <w:top w:w="80" w:type="dxa"/>
              <w:left w:w="120" w:type="dxa"/>
              <w:bottom w:w="80" w:type="dxa"/>
              <w:right w:w="120" w:type="dxa"/>
            </w:tcMar>
          </w:tcPr>
          <w:p w14:paraId="6D3A8066">
            <w:pPr>
              <w:jc w:val="left"/>
            </w:pPr>
            <w:r>
              <w:rPr>
                <w:b w:val="0"/>
                <w:bCs w:val="0"/>
                <w:color w:val="000000"/>
                <w:sz w:val="20"/>
                <w:szCs w:val="20"/>
              </w:rPr>
              <w:t>3 semanas + 2 de hypercare</w:t>
            </w:r>
          </w:p>
        </w:tc>
        <w:tc>
          <w:tcPr>
            <w:tcW w:w="3600" w:type="dxa"/>
            <w:shd w:val="clear" w:color="auto" w:fill="F2F2F2"/>
            <w:tcMar>
              <w:top w:w="80" w:type="dxa"/>
              <w:left w:w="120" w:type="dxa"/>
              <w:bottom w:w="80" w:type="dxa"/>
              <w:right w:w="120" w:type="dxa"/>
            </w:tcMar>
          </w:tcPr>
          <w:p w14:paraId="39447D95">
            <w:pPr>
              <w:jc w:val="left"/>
            </w:pPr>
            <w:r>
              <w:rPr>
                <w:b w:val="0"/>
                <w:bCs w:val="0"/>
                <w:color w:val="000000"/>
                <w:sz w:val="20"/>
                <w:szCs w:val="20"/>
              </w:rPr>
              <w:t>Todo el equipo + soporte de la consultora</w:t>
            </w:r>
          </w:p>
        </w:tc>
        <w:tc>
          <w:tcPr>
            <w:tcW w:w="1900" w:type="dxa"/>
            <w:shd w:val="clear" w:color="auto" w:fill="F2F2F2"/>
            <w:tcMar>
              <w:top w:w="80" w:type="dxa"/>
              <w:left w:w="120" w:type="dxa"/>
              <w:bottom w:w="80" w:type="dxa"/>
              <w:right w:w="120" w:type="dxa"/>
            </w:tcMar>
          </w:tcPr>
          <w:p w14:paraId="2459A7BA">
            <w:pPr>
              <w:jc w:val="left"/>
            </w:pPr>
            <w:r>
              <w:rPr>
                <w:b w:val="0"/>
                <w:bCs w:val="0"/>
                <w:color w:val="000000"/>
                <w:sz w:val="20"/>
                <w:szCs w:val="20"/>
              </w:rPr>
              <w:t>100 p-d</w:t>
            </w:r>
          </w:p>
        </w:tc>
      </w:tr>
    </w:tbl>
    <w:p w14:paraId="32C650F2">
      <w:pPr>
        <w:spacing w:before="60" w:after="200"/>
      </w:pPr>
      <w:r>
        <w:rPr>
          <w:i/>
          <w:iCs/>
          <w:color w:val="757575"/>
          <w:sz w:val="20"/>
          <w:szCs w:val="20"/>
        </w:rPr>
        <w:t>Esfuerzo total estimado ≈ 1.935 persona-día (consultora + internos). Supuesto docente aplicado: valores de duración y dotación son una estimación razonable para un proyecto de este porte, no una medición exacta.</w:t>
      </w:r>
    </w:p>
    <w:p w14:paraId="089B67BF">
      <w:pPr>
        <w:spacing w:before="400" w:after="200"/>
      </w:pPr>
      <w:r>
        <w:rPr>
          <w:b/>
          <w:bCs/>
          <w:color w:val="1F3864"/>
          <w:sz w:val="30"/>
          <w:szCs w:val="30"/>
        </w:rPr>
        <w:t>PARTE 2 — Construcción del presupuesto</w:t>
      </w:r>
    </w:p>
    <w:p w14:paraId="535D659F">
      <w:pPr>
        <w:spacing w:before="200" w:after="100"/>
      </w:pPr>
      <w:r>
        <w:rPr>
          <w:b/>
          <w:bCs/>
          <w:sz w:val="22"/>
          <w:szCs w:val="22"/>
        </w:rPr>
        <w:t>Supuestos utilizados:</w:t>
      </w:r>
    </w:p>
    <w:p w14:paraId="2A2721D2">
      <w:pPr>
        <w:pStyle w:val="16"/>
        <w:numPr>
          <w:ilvl w:val="0"/>
          <w:numId w:val="1"/>
        </w:numPr>
        <w:spacing w:after="80"/>
      </w:pPr>
      <w:r>
        <w:rPr>
          <w:sz w:val="22"/>
          <w:szCs w:val="22"/>
        </w:rPr>
        <w:t>Consultoría: tarifa promedio ponderada de USD 1.000/día sobre ≈650 días facturables (relevamiento, diseño, configuración, soporte en migración, pruebas y capacitación).</w:t>
      </w:r>
    </w:p>
    <w:p w14:paraId="3D892A44">
      <w:pPr>
        <w:pStyle w:val="16"/>
        <w:numPr>
          <w:ilvl w:val="0"/>
          <w:numId w:val="1"/>
        </w:numPr>
        <w:spacing w:after="80"/>
      </w:pPr>
      <w:r>
        <w:rPr>
          <w:sz w:val="22"/>
          <w:szCs w:val="22"/>
        </w:rPr>
        <w:t>Recursos internos: 8 personas equivalentes a tiempo completo, costo totalmente cargado de USD 3.500/mes c/u, durante los 10 meses.</w:t>
      </w:r>
    </w:p>
    <w:p w14:paraId="26F4474E">
      <w:pPr>
        <w:pStyle w:val="16"/>
        <w:numPr>
          <w:ilvl w:val="0"/>
          <w:numId w:val="1"/>
        </w:numPr>
        <w:spacing w:after="80"/>
      </w:pPr>
      <w:r>
        <w:rPr>
          <w:sz w:val="22"/>
          <w:szCs w:val="22"/>
        </w:rPr>
        <w:t>Infraestructura: ambientes DEV/QA/PRD en la nube, conectividad y hardware complementario para las 3 plantas.</w:t>
      </w:r>
    </w:p>
    <w:p w14:paraId="1B2D314F">
      <w:pPr>
        <w:pStyle w:val="16"/>
        <w:numPr>
          <w:ilvl w:val="0"/>
          <w:numId w:val="1"/>
        </w:numPr>
        <w:spacing w:after="80"/>
      </w:pPr>
      <w:r>
        <w:rPr>
          <w:sz w:val="22"/>
          <w:szCs w:val="22"/>
        </w:rPr>
        <w:t>Licencias: ≈250 licencias de usuario SAP S/4HANA (no los 700 empleados requieren licencia) a USD 1.200 c/u promedio.</w:t>
      </w:r>
    </w:p>
    <w:p w14:paraId="752039D8">
      <w:pPr>
        <w:pStyle w:val="16"/>
        <w:numPr>
          <w:ilvl w:val="0"/>
          <w:numId w:val="1"/>
        </w:numPr>
        <w:spacing w:after="80"/>
      </w:pPr>
      <w:r>
        <w:rPr>
          <w:sz w:val="22"/>
          <w:szCs w:val="22"/>
        </w:rPr>
        <w:t>Capacitación: instructores, materiales y logística para desplegar la capacitación en las 3 plantas.</w:t>
      </w:r>
    </w:p>
    <w:p w14:paraId="79B8121E">
      <w:pPr>
        <w:pStyle w:val="16"/>
        <w:numPr>
          <w:ilvl w:val="0"/>
          <w:numId w:val="1"/>
        </w:numPr>
        <w:spacing w:after="80"/>
      </w:pPr>
      <w:r>
        <w:rPr>
          <w:sz w:val="22"/>
          <w:szCs w:val="22"/>
        </w:rPr>
        <w:t>Viajes: viáticos y pasajes del equipo consultor y del equipo interno entre plantas.</w:t>
      </w:r>
    </w:p>
    <w:tbl>
      <w:tblPr>
        <w:tblStyle w:val="9"/>
        <w:tblW w:w="8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00"/>
        <w:gridCol w:w="3100"/>
      </w:tblGrid>
      <w:tr w14:paraId="003FF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200" w:type="dxa"/>
            <w:shd w:val="clear" w:color="auto" w:fill="1F3864"/>
            <w:tcMar>
              <w:top w:w="80" w:type="dxa"/>
              <w:left w:w="120" w:type="dxa"/>
              <w:bottom w:w="80" w:type="dxa"/>
              <w:right w:w="120" w:type="dxa"/>
            </w:tcMar>
          </w:tcPr>
          <w:p w14:paraId="15CBAA90">
            <w:pPr>
              <w:jc w:val="left"/>
            </w:pPr>
            <w:r>
              <w:rPr>
                <w:b/>
                <w:bCs/>
                <w:color w:val="FFFFFF"/>
                <w:sz w:val="20"/>
                <w:szCs w:val="20"/>
              </w:rPr>
              <w:t>Concepto</w:t>
            </w:r>
          </w:p>
        </w:tc>
        <w:tc>
          <w:tcPr>
            <w:tcW w:w="3100" w:type="dxa"/>
            <w:shd w:val="clear" w:color="auto" w:fill="1F3864"/>
            <w:tcMar>
              <w:top w:w="80" w:type="dxa"/>
              <w:left w:w="120" w:type="dxa"/>
              <w:bottom w:w="80" w:type="dxa"/>
              <w:right w:w="120" w:type="dxa"/>
            </w:tcMar>
          </w:tcPr>
          <w:p w14:paraId="29DFF03A">
            <w:pPr>
              <w:jc w:val="left"/>
            </w:pPr>
            <w:r>
              <w:rPr>
                <w:b/>
                <w:bCs/>
                <w:color w:val="FFFFFF"/>
                <w:sz w:val="20"/>
                <w:szCs w:val="20"/>
              </w:rPr>
              <w:t>Estimación (USD)</w:t>
            </w:r>
          </w:p>
        </w:tc>
      </w:tr>
      <w:tr w14:paraId="54D6C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Mar>
              <w:top w:w="80" w:type="dxa"/>
              <w:left w:w="120" w:type="dxa"/>
              <w:bottom w:w="80" w:type="dxa"/>
              <w:right w:w="120" w:type="dxa"/>
            </w:tcMar>
          </w:tcPr>
          <w:p w14:paraId="5C6278DB">
            <w:pPr>
              <w:jc w:val="left"/>
            </w:pPr>
            <w:r>
              <w:rPr>
                <w:b w:val="0"/>
                <w:bCs w:val="0"/>
                <w:color w:val="000000"/>
                <w:sz w:val="20"/>
                <w:szCs w:val="20"/>
              </w:rPr>
              <w:t>Consultoría</w:t>
            </w:r>
          </w:p>
        </w:tc>
        <w:tc>
          <w:tcPr>
            <w:tcW w:w="3100" w:type="dxa"/>
            <w:tcMar>
              <w:top w:w="80" w:type="dxa"/>
              <w:left w:w="120" w:type="dxa"/>
              <w:bottom w:w="80" w:type="dxa"/>
              <w:right w:w="120" w:type="dxa"/>
            </w:tcMar>
          </w:tcPr>
          <w:p w14:paraId="524294BD">
            <w:pPr>
              <w:jc w:val="right"/>
            </w:pPr>
            <w:r>
              <w:rPr>
                <w:b w:val="0"/>
                <w:bCs w:val="0"/>
                <w:color w:val="000000"/>
                <w:sz w:val="20"/>
                <w:szCs w:val="20"/>
              </w:rPr>
              <w:t>650.000</w:t>
            </w:r>
          </w:p>
        </w:tc>
      </w:tr>
      <w:tr w14:paraId="1ED63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shd w:val="clear" w:color="auto" w:fill="F9F9F9"/>
            <w:tcMar>
              <w:top w:w="80" w:type="dxa"/>
              <w:left w:w="120" w:type="dxa"/>
              <w:bottom w:w="80" w:type="dxa"/>
              <w:right w:w="120" w:type="dxa"/>
            </w:tcMar>
          </w:tcPr>
          <w:p w14:paraId="79E1079F">
            <w:pPr>
              <w:jc w:val="left"/>
            </w:pPr>
            <w:r>
              <w:rPr>
                <w:b w:val="0"/>
                <w:bCs w:val="0"/>
                <w:color w:val="000000"/>
                <w:sz w:val="20"/>
                <w:szCs w:val="20"/>
              </w:rPr>
              <w:t>Recursos internos</w:t>
            </w:r>
          </w:p>
        </w:tc>
        <w:tc>
          <w:tcPr>
            <w:tcW w:w="3100" w:type="dxa"/>
            <w:shd w:val="clear" w:color="auto" w:fill="F9F9F9"/>
            <w:tcMar>
              <w:top w:w="80" w:type="dxa"/>
              <w:left w:w="120" w:type="dxa"/>
              <w:bottom w:w="80" w:type="dxa"/>
              <w:right w:w="120" w:type="dxa"/>
            </w:tcMar>
          </w:tcPr>
          <w:p w14:paraId="44A2632A">
            <w:pPr>
              <w:jc w:val="right"/>
            </w:pPr>
            <w:r>
              <w:rPr>
                <w:b w:val="0"/>
                <w:bCs w:val="0"/>
                <w:color w:val="000000"/>
                <w:sz w:val="20"/>
                <w:szCs w:val="20"/>
              </w:rPr>
              <w:t>280.000</w:t>
            </w:r>
          </w:p>
        </w:tc>
      </w:tr>
      <w:tr w14:paraId="1D64D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Mar>
              <w:top w:w="80" w:type="dxa"/>
              <w:left w:w="120" w:type="dxa"/>
              <w:bottom w:w="80" w:type="dxa"/>
              <w:right w:w="120" w:type="dxa"/>
            </w:tcMar>
          </w:tcPr>
          <w:p w14:paraId="4A131FFB">
            <w:pPr>
              <w:jc w:val="left"/>
            </w:pPr>
            <w:r>
              <w:rPr>
                <w:b w:val="0"/>
                <w:bCs w:val="0"/>
                <w:color w:val="000000"/>
                <w:sz w:val="20"/>
                <w:szCs w:val="20"/>
              </w:rPr>
              <w:t>Infraestructura</w:t>
            </w:r>
          </w:p>
        </w:tc>
        <w:tc>
          <w:tcPr>
            <w:tcW w:w="3100" w:type="dxa"/>
            <w:tcMar>
              <w:top w:w="80" w:type="dxa"/>
              <w:left w:w="120" w:type="dxa"/>
              <w:bottom w:w="80" w:type="dxa"/>
              <w:right w:w="120" w:type="dxa"/>
            </w:tcMar>
          </w:tcPr>
          <w:p w14:paraId="5D5E85A2">
            <w:pPr>
              <w:jc w:val="right"/>
            </w:pPr>
            <w:r>
              <w:rPr>
                <w:b w:val="0"/>
                <w:bCs w:val="0"/>
                <w:color w:val="000000"/>
                <w:sz w:val="20"/>
                <w:szCs w:val="20"/>
              </w:rPr>
              <w:t>150.000</w:t>
            </w:r>
          </w:p>
        </w:tc>
      </w:tr>
      <w:tr w14:paraId="14C89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shd w:val="clear" w:color="auto" w:fill="F9F9F9"/>
            <w:tcMar>
              <w:top w:w="80" w:type="dxa"/>
              <w:left w:w="120" w:type="dxa"/>
              <w:bottom w:w="80" w:type="dxa"/>
              <w:right w:w="120" w:type="dxa"/>
            </w:tcMar>
          </w:tcPr>
          <w:p w14:paraId="5A31A8AB">
            <w:pPr>
              <w:jc w:val="left"/>
            </w:pPr>
            <w:r>
              <w:rPr>
                <w:b w:val="0"/>
                <w:bCs w:val="0"/>
                <w:color w:val="000000"/>
                <w:sz w:val="20"/>
                <w:szCs w:val="20"/>
              </w:rPr>
              <w:t>Licencias</w:t>
            </w:r>
          </w:p>
        </w:tc>
        <w:tc>
          <w:tcPr>
            <w:tcW w:w="3100" w:type="dxa"/>
            <w:shd w:val="clear" w:color="auto" w:fill="F9F9F9"/>
            <w:tcMar>
              <w:top w:w="80" w:type="dxa"/>
              <w:left w:w="120" w:type="dxa"/>
              <w:bottom w:w="80" w:type="dxa"/>
              <w:right w:w="120" w:type="dxa"/>
            </w:tcMar>
          </w:tcPr>
          <w:p w14:paraId="0C80CDFF">
            <w:pPr>
              <w:jc w:val="right"/>
            </w:pPr>
            <w:r>
              <w:rPr>
                <w:b w:val="0"/>
                <w:bCs w:val="0"/>
                <w:color w:val="000000"/>
                <w:sz w:val="20"/>
                <w:szCs w:val="20"/>
              </w:rPr>
              <w:t>300.000</w:t>
            </w:r>
          </w:p>
        </w:tc>
      </w:tr>
      <w:tr w14:paraId="52B6F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Mar>
              <w:top w:w="80" w:type="dxa"/>
              <w:left w:w="120" w:type="dxa"/>
              <w:bottom w:w="80" w:type="dxa"/>
              <w:right w:w="120" w:type="dxa"/>
            </w:tcMar>
          </w:tcPr>
          <w:p w14:paraId="4AEC8521">
            <w:pPr>
              <w:jc w:val="left"/>
            </w:pPr>
            <w:r>
              <w:rPr>
                <w:b w:val="0"/>
                <w:bCs w:val="0"/>
                <w:color w:val="000000"/>
                <w:sz w:val="20"/>
                <w:szCs w:val="20"/>
              </w:rPr>
              <w:t>Capacitación</w:t>
            </w:r>
          </w:p>
        </w:tc>
        <w:tc>
          <w:tcPr>
            <w:tcW w:w="3100" w:type="dxa"/>
            <w:tcMar>
              <w:top w:w="80" w:type="dxa"/>
              <w:left w:w="120" w:type="dxa"/>
              <w:bottom w:w="80" w:type="dxa"/>
              <w:right w:w="120" w:type="dxa"/>
            </w:tcMar>
          </w:tcPr>
          <w:p w14:paraId="1096DC0C">
            <w:pPr>
              <w:jc w:val="right"/>
            </w:pPr>
            <w:r>
              <w:rPr>
                <w:b w:val="0"/>
                <w:bCs w:val="0"/>
                <w:color w:val="000000"/>
                <w:sz w:val="20"/>
                <w:szCs w:val="20"/>
              </w:rPr>
              <w:t>40.000</w:t>
            </w:r>
          </w:p>
        </w:tc>
      </w:tr>
      <w:tr w14:paraId="527B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shd w:val="clear" w:color="auto" w:fill="F9F9F9"/>
            <w:tcMar>
              <w:top w:w="80" w:type="dxa"/>
              <w:left w:w="120" w:type="dxa"/>
              <w:bottom w:w="80" w:type="dxa"/>
              <w:right w:w="120" w:type="dxa"/>
            </w:tcMar>
          </w:tcPr>
          <w:p w14:paraId="3A08F7F9">
            <w:pPr>
              <w:jc w:val="left"/>
            </w:pPr>
            <w:r>
              <w:rPr>
                <w:b w:val="0"/>
                <w:bCs w:val="0"/>
                <w:color w:val="000000"/>
                <w:sz w:val="20"/>
                <w:szCs w:val="20"/>
              </w:rPr>
              <w:t>Viajes</w:t>
            </w:r>
          </w:p>
        </w:tc>
        <w:tc>
          <w:tcPr>
            <w:tcW w:w="3100" w:type="dxa"/>
            <w:shd w:val="clear" w:color="auto" w:fill="F9F9F9"/>
            <w:tcMar>
              <w:top w:w="80" w:type="dxa"/>
              <w:left w:w="120" w:type="dxa"/>
              <w:bottom w:w="80" w:type="dxa"/>
              <w:right w:w="120" w:type="dxa"/>
            </w:tcMar>
          </w:tcPr>
          <w:p w14:paraId="0D27E7F2">
            <w:pPr>
              <w:jc w:val="right"/>
            </w:pPr>
            <w:r>
              <w:rPr>
                <w:b w:val="0"/>
                <w:bCs w:val="0"/>
                <w:color w:val="000000"/>
                <w:sz w:val="20"/>
                <w:szCs w:val="20"/>
              </w:rPr>
              <w:t>60.000</w:t>
            </w:r>
          </w:p>
        </w:tc>
      </w:tr>
      <w:tr w14:paraId="32C4D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shd w:val="clear" w:color="auto" w:fill="F2F2F2"/>
            <w:tcMar>
              <w:top w:w="80" w:type="dxa"/>
              <w:left w:w="120" w:type="dxa"/>
              <w:bottom w:w="80" w:type="dxa"/>
              <w:right w:w="120" w:type="dxa"/>
            </w:tcMar>
          </w:tcPr>
          <w:p w14:paraId="7C962A2C">
            <w:pPr>
              <w:jc w:val="left"/>
            </w:pPr>
            <w:r>
              <w:rPr>
                <w:b/>
                <w:bCs/>
                <w:color w:val="000000"/>
                <w:sz w:val="20"/>
                <w:szCs w:val="20"/>
              </w:rPr>
              <w:t>Subtotal</w:t>
            </w:r>
          </w:p>
        </w:tc>
        <w:tc>
          <w:tcPr>
            <w:tcW w:w="3100" w:type="dxa"/>
            <w:shd w:val="clear" w:color="auto" w:fill="F2F2F2"/>
            <w:tcMar>
              <w:top w:w="80" w:type="dxa"/>
              <w:left w:w="120" w:type="dxa"/>
              <w:bottom w:w="80" w:type="dxa"/>
              <w:right w:w="120" w:type="dxa"/>
            </w:tcMar>
          </w:tcPr>
          <w:p w14:paraId="5E53817D">
            <w:pPr>
              <w:jc w:val="right"/>
            </w:pPr>
            <w:r>
              <w:rPr>
                <w:b/>
                <w:bCs/>
                <w:color w:val="000000"/>
                <w:sz w:val="20"/>
                <w:szCs w:val="20"/>
              </w:rPr>
              <w:t>1.480.000</w:t>
            </w:r>
          </w:p>
        </w:tc>
      </w:tr>
      <w:tr w14:paraId="6C16F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shd w:val="clear" w:color="auto" w:fill="F9F9F9"/>
            <w:tcMar>
              <w:top w:w="80" w:type="dxa"/>
              <w:left w:w="120" w:type="dxa"/>
              <w:bottom w:w="80" w:type="dxa"/>
              <w:right w:w="120" w:type="dxa"/>
            </w:tcMar>
          </w:tcPr>
          <w:p w14:paraId="3B34B967">
            <w:pPr>
              <w:jc w:val="left"/>
            </w:pPr>
            <w:r>
              <w:rPr>
                <w:b w:val="0"/>
                <w:bCs w:val="0"/>
                <w:color w:val="000000"/>
                <w:sz w:val="20"/>
                <w:szCs w:val="20"/>
              </w:rPr>
              <w:t>Contingencias (10% del subtotal)</w:t>
            </w:r>
          </w:p>
        </w:tc>
        <w:tc>
          <w:tcPr>
            <w:tcW w:w="3100" w:type="dxa"/>
            <w:shd w:val="clear" w:color="auto" w:fill="F9F9F9"/>
            <w:tcMar>
              <w:top w:w="80" w:type="dxa"/>
              <w:left w:w="120" w:type="dxa"/>
              <w:bottom w:w="80" w:type="dxa"/>
              <w:right w:w="120" w:type="dxa"/>
            </w:tcMar>
          </w:tcPr>
          <w:p w14:paraId="0616CA94">
            <w:pPr>
              <w:jc w:val="right"/>
            </w:pPr>
            <w:r>
              <w:rPr>
                <w:b w:val="0"/>
                <w:bCs w:val="0"/>
                <w:color w:val="000000"/>
                <w:sz w:val="20"/>
                <w:szCs w:val="20"/>
              </w:rPr>
              <w:t>148.000</w:t>
            </w:r>
          </w:p>
        </w:tc>
      </w:tr>
      <w:tr w14:paraId="4FF6B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shd w:val="clear" w:color="auto" w:fill="DCE6F1"/>
            <w:tcMar>
              <w:top w:w="80" w:type="dxa"/>
              <w:left w:w="120" w:type="dxa"/>
              <w:bottom w:w="80" w:type="dxa"/>
              <w:right w:w="120" w:type="dxa"/>
            </w:tcMar>
          </w:tcPr>
          <w:p w14:paraId="01006349">
            <w:pPr>
              <w:jc w:val="left"/>
            </w:pPr>
            <w:r>
              <w:rPr>
                <w:b/>
                <w:bCs/>
                <w:color w:val="000000"/>
                <w:sz w:val="20"/>
                <w:szCs w:val="20"/>
              </w:rPr>
              <w:t>Total</w:t>
            </w:r>
          </w:p>
        </w:tc>
        <w:tc>
          <w:tcPr>
            <w:tcW w:w="3100" w:type="dxa"/>
            <w:shd w:val="clear" w:color="auto" w:fill="DCE6F1"/>
            <w:tcMar>
              <w:top w:w="80" w:type="dxa"/>
              <w:left w:w="120" w:type="dxa"/>
              <w:bottom w:w="80" w:type="dxa"/>
              <w:right w:w="120" w:type="dxa"/>
            </w:tcMar>
          </w:tcPr>
          <w:p w14:paraId="75D15BC5">
            <w:pPr>
              <w:jc w:val="right"/>
            </w:pPr>
            <w:r>
              <w:rPr>
                <w:b/>
                <w:bCs/>
                <w:color w:val="000000"/>
                <w:sz w:val="20"/>
                <w:szCs w:val="20"/>
              </w:rPr>
              <w:t>1.628.000</w:t>
            </w:r>
          </w:p>
        </w:tc>
      </w:tr>
    </w:tbl>
    <w:p w14:paraId="5DDA1B6A">
      <w:pPr>
        <w:spacing w:before="60" w:after="200"/>
      </w:pPr>
      <w:r>
        <w:rPr>
          <w:i/>
          <w:iCs/>
          <w:color w:val="757575"/>
          <w:sz w:val="20"/>
          <w:szCs w:val="20"/>
        </w:rPr>
        <w:t>Supuesto del docente aplicado: la contingencia es el 10% del total presupuestado (subtotal), y se suma al subtotal para obtener el total del presupuesto a aprobar.</w:t>
      </w:r>
    </w:p>
    <w:p w14:paraId="610944D9">
      <w:pPr>
        <w:spacing w:before="400" w:after="200"/>
      </w:pPr>
      <w:r>
        <w:rPr>
          <w:b/>
          <w:bCs/>
          <w:color w:val="1F3864"/>
          <w:sz w:val="30"/>
          <w:szCs w:val="30"/>
        </w:rPr>
        <w:t>PARTE 3 — El proyecto comienza</w:t>
      </w:r>
    </w:p>
    <w:p w14:paraId="79417F78">
      <w:pPr>
        <w:spacing w:after="140"/>
      </w:pPr>
      <w:r>
        <w:rPr>
          <w:sz w:val="22"/>
          <w:szCs w:val="22"/>
        </w:rPr>
        <w:t>Cuatro meses después:  PV = 300.000   |   EV = 250.000   |   AC = 340.000</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700"/>
        <w:gridCol w:w="2400"/>
        <w:gridCol w:w="1400"/>
        <w:gridCol w:w="2500"/>
      </w:tblGrid>
      <w:tr w14:paraId="22546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shd w:val="clear" w:color="auto" w:fill="1F3864"/>
            <w:tcMar>
              <w:top w:w="80" w:type="dxa"/>
              <w:left w:w="120" w:type="dxa"/>
              <w:bottom w:w="80" w:type="dxa"/>
              <w:right w:w="120" w:type="dxa"/>
            </w:tcMar>
          </w:tcPr>
          <w:p w14:paraId="67466454">
            <w:pPr>
              <w:jc w:val="left"/>
            </w:pPr>
            <w:r>
              <w:rPr>
                <w:b/>
                <w:bCs/>
                <w:color w:val="FFFFFF"/>
                <w:sz w:val="20"/>
                <w:szCs w:val="20"/>
              </w:rPr>
              <w:t>Indicador</w:t>
            </w:r>
          </w:p>
        </w:tc>
        <w:tc>
          <w:tcPr>
            <w:tcW w:w="1700" w:type="dxa"/>
            <w:shd w:val="clear" w:color="auto" w:fill="1F3864"/>
            <w:tcMar>
              <w:top w:w="80" w:type="dxa"/>
              <w:left w:w="120" w:type="dxa"/>
              <w:bottom w:w="80" w:type="dxa"/>
              <w:right w:w="120" w:type="dxa"/>
            </w:tcMar>
          </w:tcPr>
          <w:p w14:paraId="6F2C8B61">
            <w:pPr>
              <w:jc w:val="left"/>
            </w:pPr>
            <w:r>
              <w:rPr>
                <w:b/>
                <w:bCs/>
                <w:color w:val="FFFFFF"/>
                <w:sz w:val="20"/>
                <w:szCs w:val="20"/>
              </w:rPr>
              <w:t>Fórmula</w:t>
            </w:r>
          </w:p>
        </w:tc>
        <w:tc>
          <w:tcPr>
            <w:tcW w:w="2400" w:type="dxa"/>
            <w:shd w:val="clear" w:color="auto" w:fill="1F3864"/>
            <w:tcMar>
              <w:top w:w="80" w:type="dxa"/>
              <w:left w:w="120" w:type="dxa"/>
              <w:bottom w:w="80" w:type="dxa"/>
              <w:right w:w="120" w:type="dxa"/>
            </w:tcMar>
          </w:tcPr>
          <w:p w14:paraId="3B8B125F">
            <w:pPr>
              <w:jc w:val="left"/>
            </w:pPr>
            <w:r>
              <w:rPr>
                <w:b/>
                <w:bCs/>
                <w:color w:val="FFFFFF"/>
                <w:sz w:val="20"/>
                <w:szCs w:val="20"/>
              </w:rPr>
              <w:t>Cálculo</w:t>
            </w:r>
          </w:p>
        </w:tc>
        <w:tc>
          <w:tcPr>
            <w:tcW w:w="1400" w:type="dxa"/>
            <w:shd w:val="clear" w:color="auto" w:fill="1F3864"/>
            <w:tcMar>
              <w:top w:w="80" w:type="dxa"/>
              <w:left w:w="120" w:type="dxa"/>
              <w:bottom w:w="80" w:type="dxa"/>
              <w:right w:w="120" w:type="dxa"/>
            </w:tcMar>
          </w:tcPr>
          <w:p w14:paraId="1BD695BD">
            <w:pPr>
              <w:jc w:val="left"/>
            </w:pPr>
            <w:r>
              <w:rPr>
                <w:b/>
                <w:bCs/>
                <w:color w:val="FFFFFF"/>
                <w:sz w:val="20"/>
                <w:szCs w:val="20"/>
              </w:rPr>
              <w:t>Resultado</w:t>
            </w:r>
          </w:p>
        </w:tc>
        <w:tc>
          <w:tcPr>
            <w:tcW w:w="2500" w:type="dxa"/>
            <w:shd w:val="clear" w:color="auto" w:fill="1F3864"/>
            <w:tcMar>
              <w:top w:w="80" w:type="dxa"/>
              <w:left w:w="120" w:type="dxa"/>
              <w:bottom w:w="80" w:type="dxa"/>
              <w:right w:w="120" w:type="dxa"/>
            </w:tcMar>
          </w:tcPr>
          <w:p w14:paraId="4579BD87">
            <w:pPr>
              <w:jc w:val="left"/>
            </w:pPr>
            <w:r>
              <w:rPr>
                <w:b/>
                <w:bCs/>
                <w:color w:val="FFFFFF"/>
                <w:sz w:val="20"/>
                <w:szCs w:val="20"/>
              </w:rPr>
              <w:t>Lectura</w:t>
            </w:r>
          </w:p>
        </w:tc>
      </w:tr>
      <w:tr w14:paraId="38A9F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20" w:type="dxa"/>
              <w:bottom w:w="80" w:type="dxa"/>
              <w:right w:w="120" w:type="dxa"/>
            </w:tcMar>
          </w:tcPr>
          <w:p w14:paraId="61BB4A54">
            <w:pPr>
              <w:jc w:val="left"/>
            </w:pPr>
            <w:r>
              <w:rPr>
                <w:b w:val="0"/>
                <w:bCs w:val="0"/>
                <w:color w:val="000000"/>
                <w:sz w:val="20"/>
                <w:szCs w:val="20"/>
              </w:rPr>
              <w:t>CV</w:t>
            </w:r>
          </w:p>
        </w:tc>
        <w:tc>
          <w:tcPr>
            <w:tcW w:w="1700" w:type="dxa"/>
            <w:tcMar>
              <w:top w:w="80" w:type="dxa"/>
              <w:left w:w="120" w:type="dxa"/>
              <w:bottom w:w="80" w:type="dxa"/>
              <w:right w:w="120" w:type="dxa"/>
            </w:tcMar>
          </w:tcPr>
          <w:p w14:paraId="566A83D0">
            <w:pPr>
              <w:jc w:val="left"/>
            </w:pPr>
            <w:r>
              <w:rPr>
                <w:b w:val="0"/>
                <w:bCs w:val="0"/>
                <w:color w:val="000000"/>
                <w:sz w:val="20"/>
                <w:szCs w:val="20"/>
              </w:rPr>
              <w:t>EV − AC</w:t>
            </w:r>
          </w:p>
        </w:tc>
        <w:tc>
          <w:tcPr>
            <w:tcW w:w="2400" w:type="dxa"/>
            <w:tcMar>
              <w:top w:w="80" w:type="dxa"/>
              <w:left w:w="120" w:type="dxa"/>
              <w:bottom w:w="80" w:type="dxa"/>
              <w:right w:w="120" w:type="dxa"/>
            </w:tcMar>
          </w:tcPr>
          <w:p w14:paraId="5E062C73">
            <w:pPr>
              <w:jc w:val="left"/>
            </w:pPr>
            <w:r>
              <w:rPr>
                <w:b w:val="0"/>
                <w:bCs w:val="0"/>
                <w:color w:val="000000"/>
                <w:sz w:val="20"/>
                <w:szCs w:val="20"/>
              </w:rPr>
              <w:t>250.000 − 340.000</w:t>
            </w:r>
          </w:p>
        </w:tc>
        <w:tc>
          <w:tcPr>
            <w:tcW w:w="1400" w:type="dxa"/>
            <w:tcMar>
              <w:top w:w="80" w:type="dxa"/>
              <w:left w:w="120" w:type="dxa"/>
              <w:bottom w:w="80" w:type="dxa"/>
              <w:right w:w="120" w:type="dxa"/>
            </w:tcMar>
          </w:tcPr>
          <w:p w14:paraId="4E14E7F7">
            <w:pPr>
              <w:jc w:val="left"/>
            </w:pPr>
            <w:r>
              <w:rPr>
                <w:b w:val="0"/>
                <w:bCs w:val="0"/>
                <w:color w:val="000000"/>
                <w:sz w:val="20"/>
                <w:szCs w:val="20"/>
              </w:rPr>
              <w:t>− 90.000</w:t>
            </w:r>
          </w:p>
        </w:tc>
        <w:tc>
          <w:tcPr>
            <w:tcW w:w="2500" w:type="dxa"/>
            <w:tcMar>
              <w:top w:w="80" w:type="dxa"/>
              <w:left w:w="120" w:type="dxa"/>
              <w:bottom w:w="80" w:type="dxa"/>
              <w:right w:w="120" w:type="dxa"/>
            </w:tcMar>
          </w:tcPr>
          <w:p w14:paraId="57A1FCF8">
            <w:pPr>
              <w:jc w:val="left"/>
            </w:pPr>
            <w:r>
              <w:rPr>
                <w:b w:val="0"/>
                <w:bCs w:val="0"/>
                <w:color w:val="000000"/>
                <w:sz w:val="20"/>
                <w:szCs w:val="20"/>
              </w:rPr>
              <w:t>Sobrecosto: se gastaron USD 90.000 más que el valor generado.</w:t>
            </w:r>
          </w:p>
        </w:tc>
      </w:tr>
      <w:tr w14:paraId="226FD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shd w:val="clear" w:color="auto" w:fill="F2F2F2"/>
            <w:tcMar>
              <w:top w:w="80" w:type="dxa"/>
              <w:left w:w="120" w:type="dxa"/>
              <w:bottom w:w="80" w:type="dxa"/>
              <w:right w:w="120" w:type="dxa"/>
            </w:tcMar>
          </w:tcPr>
          <w:p w14:paraId="617ED910">
            <w:pPr>
              <w:jc w:val="left"/>
            </w:pPr>
            <w:r>
              <w:rPr>
                <w:b w:val="0"/>
                <w:bCs w:val="0"/>
                <w:color w:val="000000"/>
                <w:sz w:val="20"/>
                <w:szCs w:val="20"/>
              </w:rPr>
              <w:t>SV</w:t>
            </w:r>
          </w:p>
        </w:tc>
        <w:tc>
          <w:tcPr>
            <w:tcW w:w="1700" w:type="dxa"/>
            <w:shd w:val="clear" w:color="auto" w:fill="F2F2F2"/>
            <w:tcMar>
              <w:top w:w="80" w:type="dxa"/>
              <w:left w:w="120" w:type="dxa"/>
              <w:bottom w:w="80" w:type="dxa"/>
              <w:right w:w="120" w:type="dxa"/>
            </w:tcMar>
          </w:tcPr>
          <w:p w14:paraId="531EC8A3">
            <w:pPr>
              <w:jc w:val="left"/>
            </w:pPr>
            <w:r>
              <w:rPr>
                <w:b w:val="0"/>
                <w:bCs w:val="0"/>
                <w:color w:val="000000"/>
                <w:sz w:val="20"/>
                <w:szCs w:val="20"/>
              </w:rPr>
              <w:t>EV − PV</w:t>
            </w:r>
          </w:p>
        </w:tc>
        <w:tc>
          <w:tcPr>
            <w:tcW w:w="2400" w:type="dxa"/>
            <w:shd w:val="clear" w:color="auto" w:fill="F2F2F2"/>
            <w:tcMar>
              <w:top w:w="80" w:type="dxa"/>
              <w:left w:w="120" w:type="dxa"/>
              <w:bottom w:w="80" w:type="dxa"/>
              <w:right w:w="120" w:type="dxa"/>
            </w:tcMar>
          </w:tcPr>
          <w:p w14:paraId="0DE9CA8E">
            <w:pPr>
              <w:jc w:val="left"/>
            </w:pPr>
            <w:r>
              <w:rPr>
                <w:b w:val="0"/>
                <w:bCs w:val="0"/>
                <w:color w:val="000000"/>
                <w:sz w:val="20"/>
                <w:szCs w:val="20"/>
              </w:rPr>
              <w:t>250.000 − 300.000</w:t>
            </w:r>
          </w:p>
        </w:tc>
        <w:tc>
          <w:tcPr>
            <w:tcW w:w="1400" w:type="dxa"/>
            <w:shd w:val="clear" w:color="auto" w:fill="F2F2F2"/>
            <w:tcMar>
              <w:top w:w="80" w:type="dxa"/>
              <w:left w:w="120" w:type="dxa"/>
              <w:bottom w:w="80" w:type="dxa"/>
              <w:right w:w="120" w:type="dxa"/>
            </w:tcMar>
          </w:tcPr>
          <w:p w14:paraId="226264E2">
            <w:pPr>
              <w:jc w:val="left"/>
            </w:pPr>
            <w:r>
              <w:rPr>
                <w:b w:val="0"/>
                <w:bCs w:val="0"/>
                <w:color w:val="000000"/>
                <w:sz w:val="20"/>
                <w:szCs w:val="20"/>
              </w:rPr>
              <w:t>− 50.000</w:t>
            </w:r>
          </w:p>
        </w:tc>
        <w:tc>
          <w:tcPr>
            <w:tcW w:w="2500" w:type="dxa"/>
            <w:shd w:val="clear" w:color="auto" w:fill="F2F2F2"/>
            <w:tcMar>
              <w:top w:w="80" w:type="dxa"/>
              <w:left w:w="120" w:type="dxa"/>
              <w:bottom w:w="80" w:type="dxa"/>
              <w:right w:w="120" w:type="dxa"/>
            </w:tcMar>
          </w:tcPr>
          <w:p w14:paraId="12B5E647">
            <w:pPr>
              <w:jc w:val="left"/>
            </w:pPr>
            <w:r>
              <w:rPr>
                <w:b w:val="0"/>
                <w:bCs w:val="0"/>
                <w:color w:val="000000"/>
                <w:sz w:val="20"/>
                <w:szCs w:val="20"/>
              </w:rPr>
              <w:t>Atraso: se generó USD 50.000 menos de valor que el planificado.</w:t>
            </w:r>
          </w:p>
        </w:tc>
      </w:tr>
      <w:tr w14:paraId="7218F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20" w:type="dxa"/>
              <w:bottom w:w="80" w:type="dxa"/>
              <w:right w:w="120" w:type="dxa"/>
            </w:tcMar>
          </w:tcPr>
          <w:p w14:paraId="5DEE688C">
            <w:pPr>
              <w:jc w:val="left"/>
            </w:pPr>
            <w:r>
              <w:rPr>
                <w:b w:val="0"/>
                <w:bCs w:val="0"/>
                <w:color w:val="000000"/>
                <w:sz w:val="20"/>
                <w:szCs w:val="20"/>
              </w:rPr>
              <w:t>CPI</w:t>
            </w:r>
          </w:p>
        </w:tc>
        <w:tc>
          <w:tcPr>
            <w:tcW w:w="1700" w:type="dxa"/>
            <w:tcMar>
              <w:top w:w="80" w:type="dxa"/>
              <w:left w:w="120" w:type="dxa"/>
              <w:bottom w:w="80" w:type="dxa"/>
              <w:right w:w="120" w:type="dxa"/>
            </w:tcMar>
          </w:tcPr>
          <w:p w14:paraId="799B4C98">
            <w:pPr>
              <w:jc w:val="left"/>
            </w:pPr>
            <w:r>
              <w:rPr>
                <w:b w:val="0"/>
                <w:bCs w:val="0"/>
                <w:color w:val="000000"/>
                <w:sz w:val="20"/>
                <w:szCs w:val="20"/>
              </w:rPr>
              <w:t>EV / AC</w:t>
            </w:r>
          </w:p>
        </w:tc>
        <w:tc>
          <w:tcPr>
            <w:tcW w:w="2400" w:type="dxa"/>
            <w:tcMar>
              <w:top w:w="80" w:type="dxa"/>
              <w:left w:w="120" w:type="dxa"/>
              <w:bottom w:w="80" w:type="dxa"/>
              <w:right w:w="120" w:type="dxa"/>
            </w:tcMar>
          </w:tcPr>
          <w:p w14:paraId="4679726E">
            <w:pPr>
              <w:jc w:val="left"/>
            </w:pPr>
            <w:r>
              <w:rPr>
                <w:b w:val="0"/>
                <w:bCs w:val="0"/>
                <w:color w:val="000000"/>
                <w:sz w:val="20"/>
                <w:szCs w:val="20"/>
              </w:rPr>
              <w:t>250.000 / 340.000</w:t>
            </w:r>
          </w:p>
        </w:tc>
        <w:tc>
          <w:tcPr>
            <w:tcW w:w="1400" w:type="dxa"/>
            <w:tcMar>
              <w:top w:w="80" w:type="dxa"/>
              <w:left w:w="120" w:type="dxa"/>
              <w:bottom w:w="80" w:type="dxa"/>
              <w:right w:w="120" w:type="dxa"/>
            </w:tcMar>
          </w:tcPr>
          <w:p w14:paraId="507E2238">
            <w:pPr>
              <w:jc w:val="left"/>
            </w:pPr>
            <w:r>
              <w:rPr>
                <w:b w:val="0"/>
                <w:bCs w:val="0"/>
                <w:color w:val="000000"/>
                <w:sz w:val="20"/>
                <w:szCs w:val="20"/>
              </w:rPr>
              <w:t>0,74</w:t>
            </w:r>
          </w:p>
        </w:tc>
        <w:tc>
          <w:tcPr>
            <w:tcW w:w="2500" w:type="dxa"/>
            <w:tcMar>
              <w:top w:w="80" w:type="dxa"/>
              <w:left w:w="120" w:type="dxa"/>
              <w:bottom w:w="80" w:type="dxa"/>
              <w:right w:w="120" w:type="dxa"/>
            </w:tcMar>
          </w:tcPr>
          <w:p w14:paraId="1D3DF4C6">
            <w:pPr>
              <w:jc w:val="left"/>
            </w:pPr>
            <w:r>
              <w:rPr>
                <w:b w:val="0"/>
                <w:bCs w:val="0"/>
                <w:color w:val="000000"/>
                <w:sz w:val="20"/>
                <w:szCs w:val="20"/>
              </w:rPr>
              <w:t>Por cada USD gastado se obtuvo USD 0,74 de valor (ineficiencia en costo).</w:t>
            </w:r>
          </w:p>
        </w:tc>
      </w:tr>
      <w:tr w14:paraId="12BA7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shd w:val="clear" w:color="auto" w:fill="F2F2F2"/>
            <w:tcMar>
              <w:top w:w="80" w:type="dxa"/>
              <w:left w:w="120" w:type="dxa"/>
              <w:bottom w:w="80" w:type="dxa"/>
              <w:right w:w="120" w:type="dxa"/>
            </w:tcMar>
          </w:tcPr>
          <w:p w14:paraId="17E7E43D">
            <w:pPr>
              <w:jc w:val="left"/>
            </w:pPr>
            <w:r>
              <w:rPr>
                <w:b w:val="0"/>
                <w:bCs w:val="0"/>
                <w:color w:val="000000"/>
                <w:sz w:val="20"/>
                <w:szCs w:val="20"/>
              </w:rPr>
              <w:t>SPI</w:t>
            </w:r>
          </w:p>
        </w:tc>
        <w:tc>
          <w:tcPr>
            <w:tcW w:w="1700" w:type="dxa"/>
            <w:shd w:val="clear" w:color="auto" w:fill="F2F2F2"/>
            <w:tcMar>
              <w:top w:w="80" w:type="dxa"/>
              <w:left w:w="120" w:type="dxa"/>
              <w:bottom w:w="80" w:type="dxa"/>
              <w:right w:w="120" w:type="dxa"/>
            </w:tcMar>
          </w:tcPr>
          <w:p w14:paraId="5DAA2EC0">
            <w:pPr>
              <w:jc w:val="left"/>
            </w:pPr>
            <w:r>
              <w:rPr>
                <w:b w:val="0"/>
                <w:bCs w:val="0"/>
                <w:color w:val="000000"/>
                <w:sz w:val="20"/>
                <w:szCs w:val="20"/>
              </w:rPr>
              <w:t>EV / PV</w:t>
            </w:r>
          </w:p>
        </w:tc>
        <w:tc>
          <w:tcPr>
            <w:tcW w:w="2400" w:type="dxa"/>
            <w:shd w:val="clear" w:color="auto" w:fill="F2F2F2"/>
            <w:tcMar>
              <w:top w:w="80" w:type="dxa"/>
              <w:left w:w="120" w:type="dxa"/>
              <w:bottom w:w="80" w:type="dxa"/>
              <w:right w:w="120" w:type="dxa"/>
            </w:tcMar>
          </w:tcPr>
          <w:p w14:paraId="7AE83956">
            <w:pPr>
              <w:jc w:val="left"/>
            </w:pPr>
            <w:r>
              <w:rPr>
                <w:b w:val="0"/>
                <w:bCs w:val="0"/>
                <w:color w:val="000000"/>
                <w:sz w:val="20"/>
                <w:szCs w:val="20"/>
              </w:rPr>
              <w:t>250.000 / 300.000</w:t>
            </w:r>
          </w:p>
        </w:tc>
        <w:tc>
          <w:tcPr>
            <w:tcW w:w="1400" w:type="dxa"/>
            <w:shd w:val="clear" w:color="auto" w:fill="F2F2F2"/>
            <w:tcMar>
              <w:top w:w="80" w:type="dxa"/>
              <w:left w:w="120" w:type="dxa"/>
              <w:bottom w:w="80" w:type="dxa"/>
              <w:right w:w="120" w:type="dxa"/>
            </w:tcMar>
          </w:tcPr>
          <w:p w14:paraId="4072CE21">
            <w:pPr>
              <w:jc w:val="left"/>
            </w:pPr>
            <w:r>
              <w:rPr>
                <w:b w:val="0"/>
                <w:bCs w:val="0"/>
                <w:color w:val="000000"/>
                <w:sz w:val="20"/>
                <w:szCs w:val="20"/>
              </w:rPr>
              <w:t>0,83</w:t>
            </w:r>
          </w:p>
        </w:tc>
        <w:tc>
          <w:tcPr>
            <w:tcW w:w="2500" w:type="dxa"/>
            <w:shd w:val="clear" w:color="auto" w:fill="F2F2F2"/>
            <w:tcMar>
              <w:top w:w="80" w:type="dxa"/>
              <w:left w:w="120" w:type="dxa"/>
              <w:bottom w:w="80" w:type="dxa"/>
              <w:right w:w="120" w:type="dxa"/>
            </w:tcMar>
          </w:tcPr>
          <w:p w14:paraId="212E484D">
            <w:pPr>
              <w:jc w:val="left"/>
            </w:pPr>
            <w:r>
              <w:rPr>
                <w:b w:val="0"/>
                <w:bCs w:val="0"/>
                <w:color w:val="000000"/>
                <w:sz w:val="20"/>
                <w:szCs w:val="20"/>
              </w:rPr>
              <w:t>Se avanza al 83% de la velocidad planificada (atraso de cronograma).</w:t>
            </w:r>
          </w:p>
        </w:tc>
      </w:tr>
    </w:tbl>
    <w:p w14:paraId="3129EA5E">
      <w:pPr>
        <w:spacing w:before="400" w:after="200"/>
      </w:pPr>
      <w:r>
        <w:rPr>
          <w:b/>
          <w:bCs/>
          <w:color w:val="1F3864"/>
          <w:sz w:val="30"/>
          <w:szCs w:val="30"/>
        </w:rPr>
        <w:t>PARTE 4 — Recomendación ejecutiva</w:t>
      </w:r>
    </w:p>
    <w:p w14:paraId="2BD1543A">
      <w:pPr>
        <w:spacing w:before="200" w:after="100"/>
      </w:pPr>
      <w:r>
        <w:rPr>
          <w:b/>
          <w:bCs/>
          <w:sz w:val="22"/>
          <w:szCs w:val="22"/>
        </w:rPr>
        <w:t>Datos de referencia adicionales (con el presupuesto de la Parte 2, BAC = 1.628.000):</w:t>
      </w:r>
    </w:p>
    <w:p w14:paraId="62840DF4">
      <w:pPr>
        <w:pStyle w:val="16"/>
        <w:numPr>
          <w:ilvl w:val="0"/>
          <w:numId w:val="1"/>
        </w:numPr>
        <w:spacing w:after="80"/>
      </w:pPr>
      <w:r>
        <w:rPr>
          <w:sz w:val="22"/>
          <w:szCs w:val="22"/>
        </w:rPr>
        <w:t>EAC (estimación al finalizar) = BAC / CPI = 1.628.000 / 0,74 ≈ 2.215.000</w:t>
      </w:r>
    </w:p>
    <w:p w14:paraId="4A16902B">
      <w:pPr>
        <w:pStyle w:val="16"/>
        <w:numPr>
          <w:ilvl w:val="0"/>
          <w:numId w:val="1"/>
        </w:numPr>
        <w:spacing w:after="80"/>
      </w:pPr>
      <w:r>
        <w:rPr>
          <w:sz w:val="22"/>
          <w:szCs w:val="22"/>
        </w:rPr>
        <w:t>ETC (estimación para terminar) = EAC − AC ≈ 2.215.000 − 340.000 = 1.875.000</w:t>
      </w:r>
    </w:p>
    <w:p w14:paraId="0B78166F">
      <w:pPr>
        <w:pStyle w:val="16"/>
        <w:numPr>
          <w:ilvl w:val="0"/>
          <w:numId w:val="1"/>
        </w:numPr>
        <w:spacing w:after="80"/>
      </w:pPr>
      <w:r>
        <w:rPr>
          <w:sz w:val="22"/>
          <w:szCs w:val="22"/>
        </w:rPr>
        <w:t>VAC (variación al finalizar) = BAC − EAC ≈ 1.628.000 − 2.215.000 = − 587.000</w:t>
      </w:r>
    </w:p>
    <w:p w14:paraId="5747AE42">
      <w:pPr>
        <w:spacing w:before="200" w:after="100"/>
      </w:pPr>
      <w:r>
        <w:rPr>
          <w:b/>
          <w:bCs/>
          <w:sz w:val="22"/>
          <w:szCs w:val="22"/>
        </w:rPr>
        <w:t>«¿Estamos gastando demasiado?» — Director General</w:t>
      </w:r>
    </w:p>
    <w:p w14:paraId="489B2E4D">
      <w:pPr>
        <w:spacing w:after="140"/>
      </w:pPr>
      <w:r>
        <w:rPr>
          <w:sz w:val="22"/>
          <w:szCs w:val="22"/>
        </w:rPr>
        <w:t>Sí. El CPI de 0,74 muestra que por cada dólar gastado el proyecto generó solo USD 0,74 de valor: hay un sobrecosto real, no percibido. Además el SPI de 0,83 indica que ese sobrecosto convive con atraso de cronograma, así que no es "se gasta más porque se avanzó más rápido": se está gastando más y entregando menos de lo planificado. De mantenerse esta tendencia, el proyecto cerraría en torno a USD 2.215.000, unos USD 587.000 por encima del presupuesto aprobado.</w:t>
      </w:r>
    </w:p>
    <w:p w14:paraId="1D452B31">
      <w:pPr>
        <w:spacing w:before="200" w:after="100"/>
      </w:pPr>
      <w:r>
        <w:rPr>
          <w:b/>
          <w:bCs/>
          <w:sz w:val="22"/>
          <w:szCs w:val="22"/>
        </w:rPr>
        <w:t>«¿Debemos utilizar parte de la contingencia?» — CFO</w:t>
      </w:r>
    </w:p>
    <w:p w14:paraId="6F30FAF5">
      <w:pPr>
        <w:spacing w:after="140"/>
      </w:pPr>
      <w:r>
        <w:rPr>
          <w:sz w:val="22"/>
          <w:szCs w:val="22"/>
        </w:rPr>
        <w:t>Antes de autorizar el uso de la reserva de contingencia hay que hacer el análisis de causa raíz del desvío: ¿es un problema de estimación inicial, de gestión de un riesgo identificado (para eso existe la contingencia) o de alcance no controlado? Si el desvío corresponde a riesgos que ya estaban identificados en el proyecto, usar la contingencia es exactamente su propósito y es razonable. Si en cambio el desvío obedece a una subestimación sistemática o a cambios de alcance no gestionados, la contingencia no alcanza (el gap proyectado de USD 587.000 supera ampliamente los USD 148.000 reservados) y hace falta un plan de acción correctivo y, eventualmente, una solicitud formal de fondos adicionales (reserva de gestión), no un uso silencioso de la contingencia.</w:t>
      </w:r>
    </w:p>
    <w:p w14:paraId="026388C8">
      <w:pPr>
        <w:spacing w:before="200" w:after="100"/>
      </w:pPr>
      <w:r>
        <w:rPr>
          <w:b/>
          <w:bCs/>
          <w:sz w:val="22"/>
          <w:szCs w:val="22"/>
        </w:rPr>
        <w:t>«¿Seguimos adelante o replanteamos el alcance?» — Sponsor</w:t>
      </w:r>
    </w:p>
    <w:p w14:paraId="4DA67BCF">
      <w:pPr>
        <w:spacing w:after="140"/>
      </w:pPr>
      <w:r>
        <w:rPr>
          <w:sz w:val="22"/>
          <w:szCs w:val="22"/>
        </w:rPr>
        <w:t>Se recomienda continuar, pero no sin antes: (1) identificar la causa raíz del atraso y el sobrecosto, (2) definir un plan de recuperación sobre el trabajo restante (re-estimar ETC, reforzar recursos en los paquetes críticos, ajustar la secuencia de configuración/ABAP/pruebas) y (3) reforzar el control de cambios para que nuevas solicitudes de alcance pasen por el comité de dirección. Replantear el alcance debería quedar como última instancia, si tras el plan de recuperación el CPI y el SPI no mejoran en el próximo corte de medición.</w:t>
      </w:r>
    </w:p>
    <w:p w14:paraId="614F0011">
      <w:pPr>
        <w:spacing w:before="200" w:after="100"/>
      </w:pPr>
      <w:r>
        <w:rPr>
          <w:b/>
          <w:bCs/>
          <w:sz w:val="22"/>
          <w:szCs w:val="22"/>
        </w:rPr>
        <w:t>Evento inesperado: fin de soporte del módulo SAP previsto</w:t>
      </w:r>
    </w:p>
    <w:p w14:paraId="53C9C739">
      <w:pPr>
        <w:spacing w:after="140"/>
      </w:pPr>
      <w:r>
        <w:rPr>
          <w:sz w:val="22"/>
          <w:szCs w:val="22"/>
        </w:rPr>
        <w:t>El proveedor informa que SAP dejará de dar soporte al módulo previsto y recomienda migrar a una versión superior, lo que implica +15% de costo en licencias y +2 meses de proyecto.</w:t>
      </w:r>
    </w:p>
    <w:p w14:paraId="09E0E764">
      <w:pPr>
        <w:spacing w:after="140"/>
      </w:pPr>
      <w:r>
        <w:rPr>
          <w:sz w:val="22"/>
          <w:szCs w:val="22"/>
        </w:rPr>
        <w:t>Como Director del Proyecto, trataría esto como un cambio formal de alcance y no como un desvío a absorber en silencio: es un riesgo externo (dependencia del proveedor) que no estaba explícitamente identificado con este alcance, por lo que corresponde elevarlo al comité de dirección con una nueva línea base (alcance, cronograma y costo se mueven juntos, como muestra la teoría: "los cambios no son gratis").</w:t>
      </w:r>
    </w:p>
    <w:p w14:paraId="27CCD5B4">
      <w:pPr>
        <w:pStyle w:val="16"/>
        <w:numPr>
          <w:ilvl w:val="0"/>
          <w:numId w:val="1"/>
        </w:numPr>
        <w:spacing w:after="80"/>
      </w:pPr>
      <w:r>
        <w:rPr>
          <w:sz w:val="22"/>
          <w:szCs w:val="22"/>
        </w:rPr>
        <w:t>Impacto en licencias: +15% sobre USD 300.000 ≈ USD 45.000 adicionales.</w:t>
      </w:r>
    </w:p>
    <w:p w14:paraId="2239B477">
      <w:pPr>
        <w:pStyle w:val="16"/>
        <w:numPr>
          <w:ilvl w:val="0"/>
          <w:numId w:val="1"/>
        </w:numPr>
        <w:spacing w:after="80"/>
      </w:pPr>
      <w:r>
        <w:rPr>
          <w:sz w:val="22"/>
          <w:szCs w:val="22"/>
        </w:rPr>
        <w:t>Impacto en cronograma: +2 meses de proyecto, con el consiguiente costo adicional de recursos internos y de consultoría que siguen activos durante esos dos meses.</w:t>
      </w:r>
    </w:p>
    <w:p w14:paraId="129DD257">
      <w:pPr>
        <w:pStyle w:val="16"/>
        <w:numPr>
          <w:ilvl w:val="0"/>
          <w:numId w:val="1"/>
        </w:numPr>
        <w:spacing w:after="80"/>
      </w:pPr>
      <w:r>
        <w:rPr>
          <w:sz w:val="22"/>
          <w:szCs w:val="22"/>
        </w:rPr>
        <w:t>Presentar al Directorio un presupuesto y cronograma revisados (nueva baseline), explicitando que el origen es una decisión del proveedor y no un error de estimación del equipo.</w:t>
      </w:r>
    </w:p>
    <w:p w14:paraId="337E1E44">
      <w:pPr>
        <w:pStyle w:val="16"/>
        <w:numPr>
          <w:ilvl w:val="0"/>
          <w:numId w:val="1"/>
        </w:numPr>
        <w:spacing w:after="80"/>
      </w:pPr>
      <w:r>
        <w:rPr>
          <w:sz w:val="22"/>
          <w:szCs w:val="22"/>
        </w:rPr>
        <w:t>Evaluar si parte de la contingencia remanente puede amortiguar el primer impacto, dejando en claro que si no alcanza se requiere reserva de gestión adicional aprobada formalmente.</w:t>
      </w:r>
    </w:p>
    <w:p w14:paraId="7FD4CACE">
      <w:pPr>
        <w:spacing w:after="140"/>
      </w:pPr>
      <w:r>
        <w:rPr>
          <w:sz w:val="22"/>
          <w:szCs w:val="22"/>
        </w:rPr>
        <w:t>En síntesis: no se sigue adelante "como si nada", ni se detiene el proyecto; se gestiona el cambio de forma explícita y se pide la aprobación correspondiente antes de comprometer el nuevo alcance.</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4E97716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rPr>
  </w:style>
  <w:style w:type="paragraph" w:styleId="6">
    <w:name w:val="heading 5"/>
    <w:next w:val="1"/>
    <w:qFormat/>
    <w:uiPriority w:val="0"/>
    <w:rPr>
      <w:rFonts w:ascii="Calibri" w:hAnsi="Calibri" w:eastAsia="Calibri" w:cs="Calibri"/>
      <w:color w:val="2E74B5"/>
    </w:rPr>
  </w:style>
  <w:style w:type="paragraph" w:styleId="7">
    <w:name w:val="heading 6"/>
    <w:next w:val="1"/>
    <w:qFormat/>
    <w:uiPriority w:val="0"/>
    <w:rPr>
      <w:rFonts w:ascii="Calibri" w:hAnsi="Calibri" w:eastAsia="Calibri" w:cs="Calibri"/>
      <w:color w:val="1F4D7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1191</Words>
  <Characters>6274</Characters>
  <TotalTime>0</TotalTime>
  <ScaleCrop>false</ScaleCrop>
  <LinksUpToDate>false</LinksUpToDate>
  <CharactersWithSpaces>7341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2026-09-11T13:13:00Z</dcterms:created>
  <dc:creator>Un-named</dc:creator>
  <cp:lastModifiedBy>Maria Florencia Ossola</cp:lastModifiedBy>
  <dcterms:modified xsi:type="dcterms:W3CDTF">2026-09-11T13:14:16Z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eyJoZGlkIjoiNzA1YmRhYWJjMGFiNThhZmZhZjcxZmJlMDAwYzk0NjgiLCJ1c2VySWQiOiIxNTM5MzE2NDc3MjE5NyJ9</vt:lpwstr>
  </property>
  <property fmtid="{D5CDD505-2E9C-101B-9397-08002B2CF9AE}" pid="3" name="KSOProductBuildVer">
    <vt:lpwstr>1033-12.1.0.28485</vt:lpwstr>
  </property>
  <property fmtid="{D5CDD505-2E9C-101B-9397-08002B2CF9AE}" pid="4" name="ICV">
    <vt:lpwstr>767C85D5DBC54E4D9ECD2840ACC1D965_12</vt:lpwstr>
  </property>
</Properties>
</file>