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72a"/>
          <w:sz w:val="44"/>
          <w:szCs w:val="44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4"/>
          <w:szCs w:val="24"/>
          <w:rtl w:val="0"/>
        </w:rPr>
        <w:t xml:space="preserve">Sistema de Automatización Notarial y Generación Documental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rPr/>
      </w:pPr>
      <w:r w:rsidDel="00000000" w:rsidR="00000000" w:rsidRPr="00000000">
        <w:rPr>
          <w:b w:val="1"/>
          <w:bCs w:val="1"/>
          <w:color w:val="0f172a"/>
          <w:sz w:val="21"/>
          <w:szCs w:val="21"/>
          <w:rtl w:val="0"/>
        </w:rPr>
        <w:t xml:space="preserve">Estimados ${DIRIGIDO}:</w:t>
        <w:br w:type="textWrapping"/>
      </w:r>
      <w:r w:rsidDel="00000000" w:rsidR="00000000" w:rsidRPr="00000000">
        <w:rPr>
          <w:color w:val="334155"/>
          <w:sz w:val="20"/>
          <w:szCs w:val="20"/>
          <w:rtl w:val="0"/>
        </w:rPr>
        <w:t xml:space="preserve">Nos dirigimos a ustedes para presentarles el Sistema de Automatización Notarial v2.0, una solución de escritorio de alto rendimiento desarrollada para optimizar, estandarizar y acelerar la redacción de instrumentos públicos, escrituras, contratos y boletos de compraventa. La herramienta unifica múltiples variantes de un contrato en una sola plantilla inteligente de Microsoft Word (.docx), adaptándose automáticamente a cada caso.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f172a"/>
                <w:sz w:val="22"/>
                <w:szCs w:val="22"/>
                <w:rtl w:val="0"/>
              </w:rPr>
              <w:t xml:space="preserve">Principales Funcionalidades y Beneficios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Sustitución Dinámica de Variables: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Inserción automática de datos personales, montos, fechas y cláusulas filiatorias.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Lógica Condicional Avanzada (${#if}):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Inclusión o exclusión de cláusulas completas (ej. hipotecas, fianzas) sin dejar renglones huérfanos.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Procesamiento Masivo en Lote (CSV):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Confección masiva de decenas de escrituras e instrumentos en segundos desde planillas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Interfaz Intuitiva (JavaFX):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Generación dinámica de formularios interactivos según la plantilla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0f172a"/>
                <w:sz w:val="19"/>
                <w:szCs w:val="19"/>
                <w:rtl w:val="0"/>
              </w:rPr>
              <w:t xml:space="preserve">Seguridad y Control Local: </w:t>
            </w:r>
            <w:r w:rsidDel="00000000" w:rsidR="00000000" w:rsidRPr="00000000">
              <w:rPr>
                <w:color w:val="334155"/>
                <w:sz w:val="19"/>
                <w:szCs w:val="19"/>
                <w:rtl w:val="0"/>
              </w:rPr>
              <w:t xml:space="preserve">Procesamiento 100% local que garantiza la total confidencialidad de los datos de sus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before="160" w:line="276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El software ha sido desarrollado bajo altos estándares tecnológicos (Java 19+ / Apache POI) y se distribuye bajo la licencia GNU General Public License v3.0 (Copyleft), garantizando transparencia, robustez y sostenibilidad. Cuenta con manual de usuario interactivo y soporte para despliegue en Windows, Linux y macOS.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40" w:lineRule="auto"/>
        <w:rPr/>
      </w:pPr>
      <w:r w:rsidDel="00000000" w:rsidR="00000000" w:rsidRPr="00000000">
        <w:rPr>
          <w:color w:val="334155"/>
          <w:sz w:val="20"/>
          <w:szCs w:val="20"/>
          <w:rtl w:val="0"/>
        </w:rPr>
        <w:t xml:space="preserve">Quedamos a su entera disposición para coordinar una demostración práctica del sistema. Para una demo puede acceder a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https://carpincho2025.servidoronline.net</w:t>
        </w:r>
      </w:hyperlink>
      <w:r w:rsidDel="00000000" w:rsidR="00000000" w:rsidRPr="00000000">
        <w:rPr>
          <w:color w:val="334155"/>
          <w:sz w:val="20"/>
          <w:szCs w:val="20"/>
          <w:rtl w:val="0"/>
        </w:rPr>
        <w:t xml:space="preserve">. Ahí encontrará la versión 2.0 y el manual del usuario, Así como el telefono de contacto.</w:t>
        <w:br w:type="textWrapping"/>
        <w:br w:type="textWrapping"/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0f172a"/>
          <w:sz w:val="22"/>
          <w:szCs w:val="22"/>
          <w:rtl w:val="0"/>
        </w:rPr>
        <w:t xml:space="preserve">Adrian Tabak</w:t>
        <w:br w:type="textWrapping"/>
      </w:r>
      <w:r w:rsidDel="00000000" w:rsidR="00000000" w:rsidRPr="00000000">
        <w:rPr>
          <w:i w:val="1"/>
          <w:iCs w:val="1"/>
          <w:color w:val="2563eb"/>
          <w:sz w:val="19"/>
          <w:szCs w:val="19"/>
          <w:rtl w:val="0"/>
        </w:rPr>
        <w:t xml:space="preserve">Desarrollador de Software | Sistema de Automatización Notarial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rpincho2025.servidoronlin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v5i8HQsLWqS36L4yZquQKPbDA==">CgMxLjA4AHIhMUh6WmhTdW1VTzZoVWdyNkdJZ3FNNWhPOVFvZUpsM0tN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