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ПОЯСНИТЕЛЬНАЯ ЗАПИСКА</w:t>
        <w:br/>
        <w:t>о порядке комплектации исполнительной документации</w:t>
      </w:r>
    </w:p>
    <w:p>
      <w:pPr>
        <w:spacing w:before="0" w:after="120"/>
        <w:jc w:val="both"/>
      </w:pPr>
    </w:p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Московская область, муниципальный округ Шатура, г. Рошаль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1. Состав и основание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Комплект сформирован на монтаж и сварку двух резервуаров РВС-400 м³ по рабочей документации VZRK-012.ТВС.772-КМ и VZRK-012.ТВС.772-КМД, проекту производства работ VZRK-012.ТВС.772-ППР и договору строительного подряда № 93 от 29.09.2025.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Формы актов приняты по приложениям к приказу Минстроя России от 16.05.2023 № 344/пр, действующему с 01.09.2023 взамен РД-11-02-2006: акт разбивки осей — приложение № 2, акт освидетельствования скрытых работ — приложение № 3, акт освидетельствования ответственных конструкций — приложение № 4. Форма общего журнала работ — по приказу Минстроя России от 02.12.2022 № 1026/пр. Технические требования, объёмы и методы контроля — по ГОСТ 31385-2023, СП 365.1325800.2017, СП 70.13330.2012 и ППР.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2. Что заполняется при оформлении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номера и даты актов, даты начала и окончания работ;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реквизиты организаций: ОГРН, ИНН, адреса, телефоны, сведения о членстве в СРО;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должности и фамилии представителей, подписи;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номера и даты сертификатов, паспортов и заключений — по фактически полученным документам (реестр приложен);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фактические результаты измерений, контроля и испытаний;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количество экземпляров и листов приложений.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20"/>
          <w:u w:val="none"/>
        </w:rPr>
        <w:t>Пустые строки и графы оставлены намеренно: вносить в них сведения допускается только по фактически выполненным работам и фактически полученным документам.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3. Порядок оформления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1) Акт составляется в день фактического завершения соответствующего этапа работ, до начала работ, закрывающих результат от осмотра.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2) Освидетельствование проводится с обязательным участием представителя застройщика (технического заказчика); подрядчик извещает его заблаговременно.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3) К каждому акту подшиваются приложения, перечисленные в самом акте (схемы, заключения, копии сертификатов).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4) Акты нумеруются сквозной нумерацией отдельно по каждому резервуару и вносятся в раздел 5 общего журнала работ.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5) Комплект подписывается всеми участниками и передаётся застройщику по описи.</w:t>
      </w:r>
    </w:p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4. Ключевые технические параметры резервуара (КМ, лист 1.2)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Хранимый продукт / плотность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спирты / 1,0 т/м³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Внутренний диаметр / высота стенки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8,53 м (внутренний) / 7,45 м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5 поясов × 1490 мм, толщина стенки 5 мм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Ø 8630 мм, толщина 5 мм, рулонной сборки (2 полотнища)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бескаркасная коническая, уклон 30°, толщина 5 мм, рулонной сборки (2 полотна)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Номинальный / расчётный объём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425,7 м³ (при Н = 7,45 м) / 374,3 м³ (при Н = 6,55 м)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Расчётная высота налива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Избыточное давление / вакуум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 / 0,25 кПа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Класс ответственности / срок службы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КС-2б / 20 лет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Анкерное крепление / заземление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 шт., анкерное крепление М24 / 4 шт.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Антикоррозионная защита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грунт-эмаль 3 в 1 по ГОСТ Р 51693-2008, толщина покрытия 100 мкм (наружная поверхность); внутреннее покрытие резервуара отсутствует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Масса конструкций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16 697 кг конструкций (16,512 т металла) на один резервуар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5. Что необходимо собрать дополнительно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Документы о качестве материалов и изделий (сертификаты, паспорта) выдаются изготовителями и поставщиками; в проектной документации их реквизитов нет. Перечень того, что должно быть собрано, приведён в файле «Реестр сертификатов, паспортов и документов о качестве» с указанием марки, стандарта и элемента конструкции, где материал применён. Реестр заполняется по мере поступления документов и служит описью раздела II комплекта.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Отдельно собираются документы о квалификации и допуске (раздел I описи): приказы о назначении ответственных, аттестационные удостоверения сварщиков НАКС, свидетельства об аттестации технологии сварки, сварочного оборудования и сварочных материалов, свидетельство об аттестации лаборатории неразрушающего контроля, свидетельства о поверке средств измерений.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6. Ограничение</w:t>
      </w:r>
    </w:p>
    <w:p>
      <w:pPr>
        <w:spacing w:before="0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Настоящий комплект — подготовленные к заполнению формы. Он не подтверждает выполнение работ и не заменяет освидетельствование: фактические результаты, даты и подписи вносят ответственные лица, проводившие работы и контроль.</w:t>
      </w: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