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Приложение № 2</w:t>
        <w:br/>
        <w:t>к приказу Минстроя России от 16.05.2023 № 344/пр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разбивки осей объекта капитального строительства на местности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Комиссия в составе представителей застройщика (технического заказчика), лица, осуществляющего строительство, и лица, осуществляющего строительный контроль, составила настоящий акт о том, что на местности произведена разбивка осей резервуара и закрепление знаками разбивочной основы.</w:t>
      </w: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Разбивка выполнена от пунктов геодезической разбивочной основы, переданных застройщиком по акту от «_____» ______________ 20____ г.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Ведомость закрепления осей и высотных отметок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78"/>
        <w:gridCol w:w="2693"/>
        <w:gridCol w:w="2095"/>
        <w:gridCol w:w="1317"/>
        <w:gridCol w:w="2693"/>
        <w:gridCol w:w="1197"/>
      </w:tblGrid>
      <w:t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 п/п</w:t>
            </w:r>
          </w:p>
        </w:tc>
        <w:tc>
          <w:tcPr>
            <w:tcW w:type="dxa" w:w="26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 знака (оси)</w:t>
            </w:r>
          </w:p>
        </w:tc>
        <w:tc>
          <w:tcPr>
            <w:tcW w:type="dxa" w:w="20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Координаты X, Y</w:t>
            </w:r>
          </w:p>
        </w:tc>
        <w:tc>
          <w:tcPr>
            <w:tcW w:type="dxa" w:w="131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Отметка Н, м</w:t>
            </w:r>
          </w:p>
        </w:tc>
        <w:tc>
          <w:tcPr>
            <w:tcW w:type="dxa" w:w="26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Тип знака и способ закрепления</w:t>
            </w:r>
          </w:p>
        </w:tc>
        <w:tc>
          <w:tcPr>
            <w:tcW w:type="dxa" w:w="119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Примечание</w:t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82" w:hRule="atLeast"/>
        </w:trPr>
        <w:tc>
          <w:tcPr>
            <w:tcW w:type="dxa" w:w="77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31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9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Оси резервуара РВС-400 м³ № 1 (0°, 90°, 180°, 270°) закреплены в соответствии с КМ, лист 2 «Общий вид». Ось монтажного стыка стенки и ось монтажного стыка крыши приняты по КМ, листы 2, 4, 5.1.</w:t>
      </w: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Работы выполнены в соответствии с СП 126.13330.2017 «Геодезические работы в строительстве», СП 48.13330.2019, ГОСТ 31385-2023.</w:t>
      </w:r>
    </w:p>
    <w:p>
      <w:pPr>
        <w:spacing w:before="0" w:after="20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Приложение: исполнительная схема разбивки осей на ______ л.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 геодезических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