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уторного уголка (элемента жёсткости) по периметру верха стенки и его приварка; раскатка и подъём полотен крыши, сборка развёрнутого конуса, сварка монтажного стыка крыши и сопряжения крыши со стенкой, зачистка швов, устранение выявленных дефектов. Крыша бескаркасная коническая, уклон 30°, Ø 8530 мм, толщина 5 мм, два полотна рулонной сборки.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5.1 «Крыша резервуара. Развёртка оболочки», лист 5.2 «Узлы 1, 2»; лист 2 «Общий вид»;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19281-2014, t = 5 мм; уголок L75×6 09Г2С-сб ГОСТ 8509-93 (уторный уголок);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швов кровли (100 %); журнал сварочных работ. Контроль герметичности швов кровли избыточным давлением воздуха 2 кПа выполняется в процессе гидравлического испытания (отдельный акт).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(разд. 8, табл. 13); СП 365.1325800.2017; ГОСТ 5264-80; ГОСТ 14771-76; ППР (разд. 6, 7).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стенке и крыше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заключение ВИК;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