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3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6"/>
          <w:u w:val="none"/>
        </w:rPr>
        <w:t>АКТ</w:t>
        <w:br/>
        <w:t>освидетельствования скрытых работ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7"/>
          <w:u w:val="none"/>
        </w:rPr>
        <w:t>(работ, которые оказывают влияние на безопасность объекта капитального строительства и контроль за выполнением которых не может быть проведён после выполнения других работ)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Нанесение антикоррозионного покрытия на подготовленные наружные металлические поверхности резервуара: грунт-эмаль 3 в 1 по ГОСТ Р 51693-2008, общая толщина сухой плёнки 100 мкм. Сушка покрытия, контроль сплошности и толщины покрытия. Внутреннее покрытие резервуара проектом не предусмотрено.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ППР VZRK-012.ТВС.772-ППР, п. 6.5; КМ, лист 1.5 «Рекомендации по АК защите резервуара»; Договор строительного подряда № 93 от 29.09.2025; техническая документация изготовителя ЛКМ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Грунт-эмаль 3 в 1 ГОСТ Р 51693-2008, толщина покрытия 100 мкм; растворитель по технической документации изготовителя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 освидетельствования скрытых работ по подготовке поверхности; журнал производства антикоррозионных работ; протокол (акт) измерения толщины сухой плёнки покрытия; протокол (акт) контроля сплошности покрытия; сертификат соответствия и паспорт качества на лакокрасочный материал.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Р 51693-2008; ГОСТ 9.402-2004; ГОСТ 31993-2013 (измерение толщины покрытия); СП 28.13330.2017; ГОСТ 31385-2023 (разд. 10); ППР (п. 6.5). Гарантированный срок службы антикоррозионной защиты — не менее 10 лет (КМ, л. 1.5, п. 10.1).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Предъявление резервуара к приёмке; оформление акта освидетельствования ответственных конструкций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Журнал антикоррозионных работ; протоколы контроля толщины и сплошности покрытия; сертификат соответствия и паспорт качества на ЛКМ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