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 (ЗАКЛЮЧЕНИЕ)</w:t>
        <w:br/>
        <w:t>визуально-измерительного контроля сварных соединений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35"/>
        <w:gridCol w:w="10469"/>
      </w:tblGrid>
      <w:tr>
        <w:tc>
          <w:tcPr>
            <w:tcW w:type="dxa" w:w="52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1046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1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Визуально-измерительный контроль выполнен в объёме 100 % длины всех сварных соединений в соответствии с РД 03-606-03 и ГОСТ 31385-2023 (табл. 13). Перед контролем шов и прилегающие участки очищены на ширину 20 мм по обе стороны от оси шва.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Результаты контроля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60"/>
        <w:gridCol w:w="3884"/>
        <w:gridCol w:w="1689"/>
        <w:gridCol w:w="1435"/>
        <w:gridCol w:w="1689"/>
        <w:gridCol w:w="1857"/>
        <w:gridCol w:w="2871"/>
        <w:gridCol w:w="1520"/>
      </w:tblGrid>
      <w:t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№</w:t>
            </w:r>
          </w:p>
        </w:tc>
        <w:tc>
          <w:tcPr>
            <w:tcW w:type="dxa" w:w="388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Обозначение (зона) сварного соединения</w:t>
            </w:r>
          </w:p>
        </w:tc>
        <w:tc>
          <w:tcPr>
            <w:tcW w:type="dxa" w:w="168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Тип шва</w:t>
            </w:r>
          </w:p>
        </w:tc>
        <w:tc>
          <w:tcPr>
            <w:tcW w:type="dxa" w:w="14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Толщина, мм</w:t>
            </w:r>
          </w:p>
        </w:tc>
        <w:tc>
          <w:tcPr>
            <w:tcW w:type="dxa" w:w="168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Длина шва, мм</w:t>
            </w:r>
          </w:p>
        </w:tc>
        <w:tc>
          <w:tcPr>
            <w:tcW w:type="dxa" w:w="185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Клеймо сварщика</w:t>
            </w:r>
          </w:p>
        </w:tc>
        <w:tc>
          <w:tcPr>
            <w:tcW w:type="dxa" w:w="287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Выявленные дефекты</w:t>
            </w:r>
          </w:p>
        </w:tc>
        <w:tc>
          <w:tcPr>
            <w:tcW w:type="dxa" w:w="15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Оценка</w:t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5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6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7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8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9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10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11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12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13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14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15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Нормы оценки (ППР, листы 18, 19, 33; ГОСТ 31385-2023)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8"/>
          <w:u w:val="none"/>
        </w:rPr>
        <w:t>— не допускаются: трещины всех видов и направлений, несплавления, наплывы, прожоги, свищи, незаваренные кратеры, наружные поры и цепочки пор, грубая чешуйчатость;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8"/>
          <w:u w:val="none"/>
        </w:rPr>
        <w:t>— смещение стыкуемых кромок — не более 10 % толщины наиболее тонкого листа (при t ≤ 10 мм — не более 1,0 мм);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8"/>
          <w:u w:val="none"/>
        </w:rPr>
        <w:t>— подрезы: вертикальные поясные швы и соединение стенки с днищем — до 0,2 мм; горизонтальные швы между поясами — до 0,3 мм; прочие соединения — до 5 % толщины, но не более 0,5 мм; длина подреза — не более 10 % длины шва;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8"/>
          <w:u w:val="none"/>
        </w:rPr>
        <w:t>— выпуклость (усиление) стыковых швов: вертикальные соединения стенки при t ≤ 12 мм — не более 1,5 мм; прочие соединения при t ≤ 12 мм — не более 2,0 мм;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8"/>
          <w:u w:val="none"/>
        </w:rPr>
        <w:t>— глубина и высота впадин при чешуйчатости — не более 1 мм; шов должен плавно сопрягаться с основным металлом.</w:t>
      </w:r>
    </w:p>
    <w:p>
      <w:pPr>
        <w:spacing w:before="0" w:after="120"/>
        <w:jc w:val="both"/>
      </w:pPr>
    </w:p>
    <w:p>
      <w:pPr>
        <w:spacing w:before="0" w:after="8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3. Заключение: сварные соединения удовлетворяют / не удовлетворяют требованиям РД 03-606-03, ГОСТ 31385-2023 и проектной документации.</w:t>
      </w:r>
    </w:p>
    <w:p>
      <w:pPr>
        <w:spacing w:before="0" w:after="20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Выявленные дефекты устранены по технологической карте на устранение дефектов, участки повторно проконтролированы (акт № ______ от ____________).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Специалист визуально-измерительного контроля (уровень, № удостоверения):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Руководитель лаборатории неразрушающего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строительный контроль: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6838" w:h="11906" w:orient="landscape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