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стенке резервуара, установка усиливающих листов (воротников) и патрубков (люков) по проектным отметкам и угловым координатам, сварка соединений «патрубок — стенка», «воротник — стенка», «патрубок — воротник», зачистка швов. Люк-лаз Ду600, патрубки по схеме расположения (позиции М1, М2, С1, С2, К1).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 «Спецификация люков и патрубков. Схема расположения анкеров, люков и патрубков на развёртке стенки резервуара», лист 9.3 «Патрубки в стенке и крыше», лист 9.4 «Люк-лаз Ду600», лист 9.5 «Патрубок зачистки Ду50»;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09Г2С ГОСТ 8732-78 (ГОСТ 8731-74); крепёж по ГОСТ 7798-70, ГОСТ 5915-70, ГОСТ 11371-78 с покрытием 19.хр;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шва между воротником патрубка (люка) и 1-м поясом стенки (100 %); акт контроля герметичности шва «патрубок — стенка» пробой «мел-керосин» (100 %); акт контроля герметичности шва «воротник — стенка» (кроме 1-го пояса) избыточным давлением через контрольное отверстие М10×1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(п. 6.1.7.4, табл. 13); ГОСТ 7512-82; ГОСТ 3242-79; ГОСТ 5264-80; ГОСТ 14771-76; ППР (разд. 6, 7). Расстояние от привариваемых к стенке деталей патрубков или люков до оси горизонтальных швов стенки или до днища — не менее 100 мм, до оси вертикальных швов стенки — не менее 250 мм. Усиливающие листы должны иметь контрольное отверстие М10×1.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крыше резервуара, монтаж лестницы и площадок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ВИК, РК,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