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замеров осадки основания и отклонений образующих стенки от вертикали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Замеры выполнены в соответствии с ППР, п. 6.2, и ГОСТ 31385-2023: до начала гидравлического испытания, при проведении гидравлического испытания и после его проведения со сливом воды из резервуара.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Замеры отметок наружного контура днища (осадка основания), мм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11"/>
        <w:gridCol w:w="1412"/>
        <w:gridCol w:w="1412"/>
        <w:gridCol w:w="1412"/>
        <w:gridCol w:w="1412"/>
        <w:gridCol w:w="1412"/>
        <w:gridCol w:w="1412"/>
        <w:gridCol w:w="1412"/>
        <w:gridCol w:w="1412"/>
      </w:tblGrid>
      <w:tr>
        <w:tc>
          <w:tcPr>
            <w:tcW w:type="dxa" w:w="441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Точка (угол по окружности)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45°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90°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135°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180°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225°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270°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315°</w:t>
            </w:r>
          </w:p>
        </w:tc>
      </w:tr>
      <w:tr>
        <w:trPr>
          <w:trHeight w:val="510" w:hRule="atLeast"/>
        </w:trPr>
        <w:tc>
          <w:tcPr>
            <w:tcW w:type="dxa" w:w="441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До начала испытания</w:t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trHeight w:val="510" w:hRule="atLeast"/>
        </w:trPr>
        <w:tc>
          <w:tcPr>
            <w:tcW w:type="dxa" w:w="441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При заполнении на 1/2 высоты</w:t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trHeight w:val="510" w:hRule="atLeast"/>
        </w:trPr>
        <w:tc>
          <w:tcPr>
            <w:tcW w:type="dxa" w:w="441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При максимальном уровне налива 6,55 м</w:t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trHeight w:val="510" w:hRule="atLeast"/>
        </w:trPr>
        <w:tc>
          <w:tcPr>
            <w:tcW w:type="dxa" w:w="441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После слива воды</w:t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trHeight w:val="510" w:hRule="atLeast"/>
        </w:trPr>
        <w:tc>
          <w:tcPr>
            <w:tcW w:type="dxa" w:w="441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Осадка (разность), мм</w:t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Отклонения образующих стенки от вертикали, мм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34"/>
        <w:gridCol w:w="1362"/>
        <w:gridCol w:w="1362"/>
        <w:gridCol w:w="1362"/>
        <w:gridCol w:w="1362"/>
        <w:gridCol w:w="1362"/>
        <w:gridCol w:w="1362"/>
        <w:gridCol w:w="1362"/>
        <w:gridCol w:w="1362"/>
        <w:gridCol w:w="3177"/>
      </w:tblGrid>
      <w:tr>
        <w:tc>
          <w:tcPr>
            <w:tcW w:type="dxa" w:w="16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Пояс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45°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90°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135°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180°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225°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270°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315°</w:t>
            </w:r>
          </w:p>
        </w:tc>
        <w:tc>
          <w:tcPr>
            <w:tcW w:type="dxa" w:w="31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Допуск по ГОСТ 31385-2023</w:t>
            </w:r>
          </w:p>
        </w:tc>
      </w:tr>
      <w:tr>
        <w:trPr>
          <w:trHeight w:val="510" w:hRule="atLeast"/>
        </w:trPr>
        <w:tc>
          <w:tcPr>
            <w:tcW w:type="dxa" w:w="16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1 пояс</w:t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табл. 19</w:t>
            </w:r>
          </w:p>
        </w:tc>
      </w:tr>
      <w:tr>
        <w:trPr>
          <w:trHeight w:val="510" w:hRule="atLeast"/>
        </w:trPr>
        <w:tc>
          <w:tcPr>
            <w:tcW w:type="dxa" w:w="16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2 пояс</w:t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табл. 19</w:t>
            </w:r>
          </w:p>
        </w:tc>
      </w:tr>
      <w:tr>
        <w:trPr>
          <w:trHeight w:val="510" w:hRule="atLeast"/>
        </w:trPr>
        <w:tc>
          <w:tcPr>
            <w:tcW w:type="dxa" w:w="16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3 пояс</w:t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табл. 19</w:t>
            </w:r>
          </w:p>
        </w:tc>
      </w:tr>
      <w:tr>
        <w:trPr>
          <w:trHeight w:val="510" w:hRule="atLeast"/>
        </w:trPr>
        <w:tc>
          <w:tcPr>
            <w:tcW w:type="dxa" w:w="16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4 пояс</w:t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табл. 19</w:t>
            </w:r>
          </w:p>
        </w:tc>
      </w:tr>
      <w:tr>
        <w:trPr>
          <w:trHeight w:val="510" w:hRule="atLeast"/>
        </w:trPr>
        <w:tc>
          <w:tcPr>
            <w:tcW w:type="dxa" w:w="16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5 пояс</w:t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табл. 19</w:t>
            </w:r>
          </w:p>
        </w:tc>
      </w:tr>
    </w:tbl>
    <w:p>
      <w:pPr>
        <w:spacing w:before="0" w:after="120"/>
        <w:jc w:val="both"/>
      </w:pPr>
    </w:p>
    <w:p>
      <w:pPr>
        <w:spacing w:before="0" w:after="16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Заключение: осадка основания стабилизировалась / не стабилизировалась; предельные отклонения формы и размеров металлоконструкций и фундамента не превышают / превышают установленные ГОСТ 31385-2023.</w:t>
      </w: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Приложение: исполнительные геодезические схемы замеров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 геодезических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6838" w:h="11906" w:orient="landscape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