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Karma Konu — Uzun Metin III · 2026</w:t>
            </w:r>
          </w:p>
          <w:p>
            <w:pPr>
              <w:keepLines/>
              <w:spacing w:before="0" w:after="0" w:line="240" w:lineRule="auto"/>
              <w:ind w:left="0" w:right="0"/>
              <w:jc w:val="center"/>
            </w:pPr>
            <w:r>
              <w:rPr>
                <w:rFonts w:ascii="Arial" w:hAnsi="Arial"/>
                <w:b/>
                <w:i w:val="0"/>
                <w:color w:val="141C2B"/>
                <w:sz w:val="26"/>
              </w:rPr>
              <w:t>Kit 10 / 12 — Level: C1 Entry</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10 / 12</w:t>
      </w:r>
    </w:p>
    <w:p>
      <w:pPr>
        <w:keepLines/>
        <w:spacing w:before="0" w:after="80" w:line="245" w:lineRule="auto"/>
        <w:ind w:left="0" w:right="0"/>
        <w:jc w:val="center"/>
      </w:pPr>
      <w:r>
        <w:rPr>
          <w:rFonts w:ascii="Arial" w:hAnsi="Arial"/>
          <w:b/>
          <w:i w:val="0"/>
          <w:color w:val="141C2B"/>
          <w:sz w:val="23"/>
        </w:rPr>
        <w:t>Seviye: B2 (19 soru) / C1 (35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Although the open poll was defended at the time as the honest way of voting, and secrecy as something only a dishonest man could want,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poll books went on being published in most constituencies for decades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clerk recorded each declaration in front of the whole room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the openness itself that made a voter's choice worth buying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was the secrecy of the ballot that made a voter's choice worth buying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argument took the better part of the nineteenth century to win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Because a man who buys a vote needs some proof that the vote was actually delivered to him,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making that proof impossible destroys the market without any policing at all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employers were able to watch the voting from the back of the room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spoiled ballot is replaced by the clerk rather than corrected by him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open poll was abolished in most countries during the same decade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making that proof impossible requires the state to police every polling station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Not only did the mark on an industrial product tell a buyer whom to blame if the contents failed,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the courts of the period treated it as a form of property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presence of the seller was no longer of any importance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but it also guaranteed that the contents were of a certain quality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but it also gave the maker a reputation that could afterwards be lost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although most goods were still bought from the person who made them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 the law would never have developed the doctrines of dilution and tarnishment that it now applies.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Although no customer in an unrelated trade could possibly be confused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Had a trademark remained nothing more than a warning to the buyer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Had a trademark been treated as an asset from the very beginning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a mark with a reputation is worth a great deal of money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If the courts of the nineteenth century had cared less about deception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So much of the information in an archaeological site lies in the arrangement of its contents rather than in the objects themselves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digging it up recovers everything that was there to be learned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excavators of the 1930s shovelled a great deal of it away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the objects afterwards sit in the cases of a museum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the soil above and below a find has been disturbed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digging it up destroys most of what was there to be learned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Leaving part of a famous site undug is a decision that would look like negligence in any other discipline,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whereas in archaeology it is regarded as the gravest kind of negligence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and several of the best-known sites have in fact been treated in this way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because the record an excavator makes can never afterwards be checked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whereas in archaeology it counts as a respectable piece of research policy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since future methods will extract more from the same soil than present ones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Given that the regions in which the great famines occurred were holding enough food to feed everybody in them,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shopkeepers and labourers were affected by the crisis to the same degree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explanation has to be sought in who was able to command any of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price of grain rose very steeply in the first weeks of the shortage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explanation has to be sought in how much of it was being produced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importing grain is the quickest way of bringing such a famine to an end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If a famine were really a matter of there being too little food in the region at all,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putting money into people's hands would do nothing whatever to stop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public works have been used to end famines in a number of countries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putting money into people's hands would be the quickest way of stopping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price of grain would have fallen as the shortage grew more severe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labourers of the district would have been the last of all to suffer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However thoroughly deaf children were drilled in speech during the century in which signing was forbidden,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congress of 1880 had resolved that speech was preferable to signs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deaf teachers were removed from the schools that had employed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most of them left school with speech that strangers could not follow</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of them left school speaking as clearly as their hearing contemporaries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languages survived because the children taught them to one another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Once linguists had shown that the signed languages were languages in the full sense and not gestures attached to speech,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children had gone on signing to each other out of sight of the staff</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educational argument had to be conducted on quite different ground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congress of 1880 was attended almost entirely by hearing teachers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policy of oralism had already been in force for about a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educational argument went on being conducted in exactly the old terms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Secrecy here is not a right the voter may waive but a duty the state imposes on him for everybody else's protection.</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Gizlilik hem seçmenin bir hakkı hem de devletin ona yüklediği bir ödev sayılmaktadır.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Seçmen gizlilik hakkından vazgeçtiğinde devlet onu herkesin korunması adına cezalandırır.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Burada gizlilik, seçmenin vazgeçebileceği bir hak değil, devletin herkesin korunması için ona yüklediği bir ödevdir.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Burada gizlilik, devletin seçmene yüklediği bir ödev değil, onun dilerse vazgeçebileceği bir haktır.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Devlet, seçmenin gizlilik hakkını korumakla yükümlüdür ve bu yükümlülükten vazgeçemez.</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The wrong being punished was deceiving the public, not taking something from the manufacturer.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Üreticiden bir şey almak, halkı yanıltmaktan daha ağır bir haksızlık sayılıyordu.</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Cezalandırılan haksızlık, halkı yanıltmak değil, üreticiden bir şey almaktı.</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Halkı yanıltan üreticiler, kendilerinden bir şey alınarak cezalandırılıyordu.</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Cezalandırılan haksızlık, üreticiden bir şey almak değil, halkı yanıltmaktı.</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Halkın yanıltılması, üreticinin uğradığı zarar kanıtlanmadıkça cezalandırılmıyordu.</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No later scholar can go back and check a question that the excavator did not think to ask.</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Sonraki hiçbir araştırmacı geri dönüp kazıcının sormayı akıl etmediği bir soruyu denetleyemez.</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Sonradan sorulan sorular, kazı sırasında sorulanlardan daha güvenilir sayılmaz.</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Sonraki araştırmacılar geri dönüp kazıcının sormayı akıl etmediği soruları denetleyebilir.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Kazıcının sorduğu soruları sonraki araştırmacıların denetlemesi mümkün değildir.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Kazıcı, sonraki araştırmacıların soracağı soruları önceden kestirmek zorundadır.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Kıtlık, hasadın değil hak ediş düzeninin çökmesidir; bu yüzden bölgelere değil meslek gruplarına iner.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Occupational groups suffer in a famine only when the harvest of their own region has failed.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famine collapses both the harvest and the system of entitlement, and falls on regions and occupational groups alike.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Where the harvest fails, the system of entitlement collapses with it and whole regions are affected.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 famine is the collapse not of the system of entitlement but of the harvest, which is why it falls on regions rather than on occupational groups.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famine is the collapse not of the harvest but of the system of entitlement, which is why it falls on occupational groups rather than on regions.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1880'de toplanan kongrede oy kullananların neredeyse hiçbiri sağır değildi.</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Almost none of those who voted at the congress held in 1880 were themselves deaf.</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Hardly anybody who was deaf was allowed to attend the congress held in 1880.</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Almost all of those who voted at the congress held in 1880 were themselves deaf.</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congress of 1880 was the first at which deaf teachers were able to vote.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Those who were deaf voted against the resolution passed by the congress of 1880.</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Bir dili başka bir dille değiştirme siyaseti, el hareketlerini konuşmayla değiştirme siyasetinden başka bir zeminde savunulmak zorundadır.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policy of replacing gestures with speech cannot be defended on any ground whatever.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policy of replacing gestures with speech has to be defended on quite different ground from a policy of replacing one language with another.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policy of replacing one language with another has to be defended on quite different ground from a policy of replacing gestures with speech.</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Those who defend the replacing of one language with another rarely mention gestures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Replacing one language with another and replacing gestures with speech are defended on precisely the same ground.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Voting in public was once defended as the honest way of doing it. A man who would not say aloud which candidate he supported was thought to have something to hide, and the open poll, in which each voter declared his choice to a clerk in front of the room, was presented as a safeguard against fraud. It had the opposite effect, and everybody involved knew as much. An employer could stand at the back and watch; a landlord could read the published poll book afterwards and see how his tenants had voted; a creditor could make the connection between a vote and a debt without ever having to say so. The argument for secrecy therefore had to be made against a genuine principle rather than against plain corruption, and it took the better part of the nineteenth century. What carried it in the end was not an appeal to privacy but an observation about power. A vote that can be seen is a vote that can be bought, because the buyer needs proof of delivery; make the proof impossible and the market collapses of its own accord. The modern ballot is built around that insight and not around the voter's feelings. The booth, the uniform paper, the ban on photographing a marked paper and the rule that a spoiled ballot is replaced rather than corrected all exist to make it impossible for a voter to prove how he voted, even when he wants to. Secrecy here is not a right the voter may waive. It is a duty the state imposes on him for everybody else's protection.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the open poll was originally presented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concession demanded by employers and creditors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means of letting landlords know how tenants voted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temporary arrangement until secrecy could be organised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cheapest way of conducting a large election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protection against fraud at the polling place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the argument for a secret ballot was hard to win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landlords and employers controlled the legislature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had to be made against a principle people genuinely held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most voters preferred to declare their choice in public</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printing of uniform ballot papers was expensive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corruption it was meant to end was difficult to prove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the rule replacing a spoiled ballot rather than correcting 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makes the counting of votes considerably quicker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was introduced before the secret ballot itself was adopted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exists to spare the voter the embarrassment of a mistake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exists to stop a voter from producing evidence of his choice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little to do with the design of the modern ballot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secret ballot was adopted to make vote-buying unprovable, and its rules bind the voter as well as everybody else.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open poll survived for so long because nobody had thought of an alternative.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Elections became honest only once poll books ceased to be published.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Privacy at the polling station is a right that every voter is entitled to give up.</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Voters in the nineteenth century were intimidated by employers, landlords and creditors alike.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trademark looks like a piece of property and began as a piece of consumer protection. Before the nineteenth century most goods were bought from a person who had made them or who could at least be found if they failed, and the buyer's protection was the seller's presence. Industrial production removed that protection. A tin of something arrived in a town from a factory three hundred miles away, and the question of whom to blame if the contents were bad had no obvious answer. The mark on the tin was the answer. It did not say that the contents were good; it said who was answerable for them, which allowed a reputation to be built and, far more importantly, to be lost. Courts that enforced marks in this period said as much explicitly: the wrong being punished was deceiving the public, not taking something from the manufacturer. Modern law has been pulled a long way from that position by a simple commercial fact, which is that a mark with a reputation is worth money in itself. Once that is true the mark is defended as an asset, and arguments appear that have nothing to do with any buyer being misled: dilution, tarnishment, protection against uses in unrelated trades where no customer could possibly be confused. None of this is absurd and some of it is necessary. But it is worth noticing how far the justification has travelled, because the public interest that produced the law in the first place is now one consideration among several, and it is not always the one that wins.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It is clear from the passage that what industrial production took away from the buyer was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ability to judge the quality of goods by inspection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right to bring an action in the courts of the day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chance to buy goods made in his own district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somebody who could be found and held answerable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any choice between competing makers of the same article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mark on a product told the buyer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whether the article had been inspected before sale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of several competing articles was the cheaper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good the contents were, not who would answer for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where the factory that had made it was situated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who would answer for the contents, not how good they were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can be inferred from the passage that doctrines such as dilution are difficult to justify by the original purpose of the law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were invented by courts rather than by legislatures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operate where no buyer stands to be misled at all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apply only to goods sold a long way from the factory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make a mark harder to enforce than it once was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protect manufacturers who have no reputation to lose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Trademark law should be repealed, since it no longer protects anybody from being deceived.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Nineteenth-century courts understood trademarks better than modern ones do.</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law made to protect buyers now protects a valuable asset, and the two purposes no longer point the same way.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Industrial production made it impossible for buyers to know who had made their goods.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mark with a reputation is the most valuable property a company can own.</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Every other experimental discipline can repeat its experiments. Archaeology cannot, because the act of excavating a site is the act of taking it apart. The information is not in the objects but in their arrangement: which layer a thing lay in, what was above it and below it, how the soil around it had been disturbed. Once the trench is open and the earth has been removed, that arrangement exists only in the record the excavator chose to make, and no later scholar can go back and check a question the excavator did not think to ask. This is why the discipline is so preoccupied with documentation that outsiders find it eccentric, and why it is the only field in which deliberately not working on a site is a respectable research decision. Several of the best-known sites have been left partly undug, on the explicit ground that future methods will extract more from the same soil than present ones can. That judgement has been vindicated more than once already: material shovelled away as spoil in the 1930s would now yield seeds, pollen, residues and dates. The uncomfortable corollary is that a great deal of what was excavated in the first century of the discipline is, for most purposes, lost. The objects sit in museum cases and the sites are gone, and what we have of their context is whatever one person wrote in one notebook, by the standards of a time that could not know what would later be worth recording.</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According to the passage, the information an archaeological site carries lies chiefly in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dates that modern methods are able to establish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objects that are eventually placed in museum cases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seeds, pollen and residues recovered from the soil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way its contents are positioned in relation to one another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notebooks kept by the excavators of the 1930s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It can be inferred from the passage that leaving a site partly undug is defended on the ground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earlier excavations of the 1930s were carried out illegally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sites in question are too large to be dug in one season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later excavators will be able to read more from the same soil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public interest in such sites has declined in recent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museums have no room for the objects that would be found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is clear from the passage that the writer regards much early excavation as a loss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sites were dug more slowly than they would be now</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what remains of the context is one person's notebook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finds were divided between too many museums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objects recovered then have since been destroyed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excavators of the period worked without permission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Archaeological methods have improved so much that earlier excavations should be repeated.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Documentation has become an obsession that slows the discipline down.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Soil analysis has replaced the study of objects as the central technique.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Objects recovered from a site are of little value once they reach a museum.</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Because excavation cannot be repeated, archaeology has to treat recording, and refusing to dig, as part of its method.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common-sense account of famine is that there is not enough food. It is very often wrong, and the mistake has cost a great many lives. Detailed studies of the major famines of the last two centuries have repeatedly found that the region concerned held enough food to feed everybody in it through the worst months, and in several cases went on exporting food while people were dying. What had collapsed was not supply but the ability of particular groups to command any part of it. A labourer whose wage is fixed and whose employer has no work for him cannot buy grain at any price, and if a rumour of shortage has doubled the price he is priced out long before the last sack has left the market. Famine on this account is a failure of entitlement rather than of harvest, and it falls on occupational groups rather than on regions: the landless labourer starves while the shopkeeper in the same street does not. The practical consequence is a large one. If the problem is absolute shortage, the response is to bring food in and wait. If the problem is purchasing power, the food is already in the region and the response is to put money or employment into the hands of the people who have lost theirs, which can usually be done faster and more cheaply. Governments that have understood this have stopped famines with public works and cash. Governments that have not have waited for ships.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It is clear from the passage that a rumour of shortage harms a labourer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raises the price beyond what his fixed wage will reach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persuades his employer to dismiss him without notice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stops grain from being exported out of the region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makes the government delay the shipments it had ordered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empties the market of grain before he can get there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According to the passage, studies of the major famines have repeatedly found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shopkeepers suffered as severely as landless labourers did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governments had been warned of the shortage in advance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region held enough food throughout the worst of the crisis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imports of grain arrived too late to be of any use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harvest in the region had failed in the preceding season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public works stop a famine because they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restore the claim on food that a group of people had lost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keep the price of grain from rising any further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provide a reason for merchants to stop exporting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bring additional grain into a region that has run short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employ the shopkeepers whose trade has collapsed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Governments have consistently been too slow to order food from abroad.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Rumours do more damage during a food crisis than any real shortage does.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Landless labourers are the poorest group in almost every agricultural economy.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Famine is usually a collapse of purchasing power rather than of supply, and the remedy follows from that.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Famines could be prevented altogether if grain exports were banned during a shortage.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For about a century, deaf children in most of Europe and North America were forbidden to sign. The policy had a name, oralism, and a date: an international congress of teachers of the deaf in 1880 resolved that speech was preferable to signs and that the two should never be combined. Almost none of the people who voted were themselves deaf. What followed was not a neglect of sign language but a sustained attempt to suppress it. Children were taught to lip-read and to produce sounds they could not hear, hands were tied or struck, and deaf teachers were removed from the schools that had employed them. The results were measured eventually, and they were poor: most pupils left with speech that strangers could not follow and a level of literacy well below that of their hearing contemporaries. The languages themselves survived, because the children taught them to one another in dormitories and playgrounds, out of sight of the staff. The reversal, when it came, was driven by linguists rather than by educators. Work from the 1960s onwards established what signers had always said and nobody in authority had troubled to test: that these were full languages, with grammar, with regional variation and with a history of their own, and not gestures accompanying a spoken language they imitated. Once that had been established the educational argument changed shape altogether, because a policy of replacing one language with another must be defended on quite different ground from a policy of replacing gestures with speech.</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According to the passage, the congress of 1880 resolved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each country should settle the question for itself</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signs were to be used wherever speech could not be taught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deaf teachers should be appointed to every school for the deaf</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literacy mattered more than the ability to produce speech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speech was to be preferred to signs and the two never combined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It is clear from the passage that the signed languages survived the period of oralism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parents of deaf children refused to accept the resolution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children went on passing them to each other away from the staff</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policy was never enforced outside Europe and North America</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linguists had recorded them before the policy was introduced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few schools continued to employ deaf teachers throughout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can be inferred from the passage that the linguistic work of the 1960s mattered because it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persuaded the congress of 1880 to reverse its resolution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showed that deaf children could not be taught to lip-read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recovered languages that had already died out in the schools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produced a method of teaching speech that actually worked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tested a claim that authority had never thought worth testing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Linguists have discovered that signed languages vary from one region to another.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Deaf children should be taught to lip-read as well as to sign wherever this is possible.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century-long policy of suppressing sign language failed on its own terms and was overturned by evidence about what those languages are.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Literacy among deaf pupils has improved steadily since the 1960s.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Teachers of the deaf in the nineteenth century were indifferent to their pupils' welfare.</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run elections for a living. What is the booth actually for?</w:t>
            </w:r>
          </w:p>
          <w:p>
            <w:pPr>
              <w:keepNext/>
              <w:keepLines/>
              <w:spacing w:before="60" w:after="0" w:line="252" w:lineRule="auto"/>
              <w:ind w:left="454" w:right="0"/>
            </w:pPr>
            <w:r>
              <w:rPr>
                <w:rFonts w:ascii="Arial" w:hAnsi="Arial"/>
                <w:b w:val="0"/>
                <w:i w:val="0"/>
                <w:color w:val="141C2B"/>
                <w:sz w:val="19"/>
              </w:rPr>
              <w:t>Official:</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 privacy. People assume privacy, and privacy is a by-product. The booth is there so that a voter cannot prove anything to anybody afterwards.</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Official:</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he can sell it. The buyer will not pay without evidence, and the moment a voter is able to supply evidence, somebody will be standing outside the door asking for it.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Do voters themselves understand the reason for the arrangement?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these rules written before or after the poll books stopped?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is a voter not entitled to give up his own privacy?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And what happens if a voter is able to prove how he voted?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many booths does a polling station of that size need?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Lawyer: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Because it was never meant to be one. It began as a way of telling a customer whom to complain to, and complaining is not a property right.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But your clients treat it as property.</w:t>
            </w:r>
          </w:p>
          <w:p>
            <w:pPr>
              <w:keepNext/>
              <w:keepLines/>
              <w:spacing w:before="60" w:after="0" w:line="252" w:lineRule="auto"/>
              <w:ind w:left="454" w:right="0"/>
            </w:pPr>
            <w:r>
              <w:rPr>
                <w:rFonts w:ascii="Arial" w:hAnsi="Arial"/>
                <w:b w:val="0"/>
                <w:i w:val="0"/>
                <w:color w:val="141C2B"/>
                <w:sz w:val="19"/>
              </w:rPr>
              <w:t>Lawyer: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They do, and the law has moved a long way towards them. I am not saying they are wrong. I am saying that the reason the law exists and the reason they value it are two different reasons.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Why do your clients spend so much on registering their trademarks?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Why do you say that a trademark is not really a piece of property?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long does it take to register a mark in this country?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of your cases turned on a customer being deceived?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the law on dilution been applied outside unrelated trades?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have been working on the same site for eleven years and you have dug about a fifth of it.</w:t>
            </w:r>
          </w:p>
          <w:p>
            <w:pPr>
              <w:keepNext/>
              <w:keepLines/>
              <w:spacing w:before="60" w:after="0" w:line="252" w:lineRule="auto"/>
              <w:ind w:left="454" w:right="0"/>
            </w:pPr>
            <w:r>
              <w:rPr>
                <w:rFonts w:ascii="Arial" w:hAnsi="Arial"/>
                <w:b w:val="0"/>
                <w:i w:val="0"/>
                <w:color w:val="141C2B"/>
                <w:sz w:val="19"/>
              </w:rPr>
              <w:t>Archaeologist: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 fifth is a lot. I would be happier if it were a tenth.</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funders presumably would not.</w:t>
            </w:r>
          </w:p>
          <w:p>
            <w:pPr>
              <w:keepNext/>
              <w:keepLines/>
              <w:spacing w:before="60" w:after="0" w:line="252" w:lineRule="auto"/>
              <w:ind w:left="454" w:right="0"/>
            </w:pPr>
            <w:r>
              <w:rPr>
                <w:rFonts w:ascii="Arial" w:hAnsi="Arial"/>
                <w:b w:val="0"/>
                <w:i w:val="0"/>
                <w:color w:val="141C2B"/>
                <w:sz w:val="19"/>
              </w:rPr>
              <w:t>Archaeologist: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They would not, until I remind them that whatever I dig this year is gone for good.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are perfectly happy, since the objects we find go straight to the museum.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would not, which is why we expect to finish the whole site next season.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fund the recording rather than the digging, so the question does not arise.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have never asked me how much of the site remains untouched.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team recommended cash payments in a district where people were going hungry. The obvious objection is that you cannot eat money.</w:t>
            </w:r>
          </w:p>
          <w:p>
            <w:pPr>
              <w:keepNext/>
              <w:keepLines/>
              <w:spacing w:before="60" w:after="0" w:line="252" w:lineRule="auto"/>
              <w:ind w:left="454" w:right="0"/>
            </w:pPr>
            <w:r>
              <w:rPr>
                <w:rFonts w:ascii="Arial" w:hAnsi="Arial"/>
                <w:b w:val="0"/>
                <w:i w:val="0"/>
                <w:color w:val="141C2B"/>
                <w:sz w:val="19"/>
              </w:rPr>
              <w:t>Economist: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And it was there?</w:t>
            </w:r>
          </w:p>
          <w:p>
            <w:pPr>
              <w:keepNext/>
              <w:keepLines/>
              <w:spacing w:before="60" w:after="0" w:line="252" w:lineRule="auto"/>
              <w:ind w:left="454" w:right="0"/>
            </w:pPr>
            <w:r>
              <w:rPr>
                <w:rFonts w:ascii="Arial" w:hAnsi="Arial"/>
                <w:b w:val="0"/>
                <w:i w:val="0"/>
                <w:color w:val="141C2B"/>
                <w:sz w:val="19"/>
              </w:rPr>
              <w:t>Economist: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was in the market, in the same street, at a price nobody in the district could reach. The grain never left. What had left was the wage.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objection has been made for a century and nobody has answered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district had been exporting grain for most of the preceding year.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You cannot, which is why we also arranged for grain to be shipped 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You cannot, but you can buy food with it, provided the food is there.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Cash payments are cheaper to administer than any other kind of relief.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grandmother was taught in a school where signing was punished. Did she stop?</w:t>
            </w:r>
          </w:p>
          <w:p>
            <w:pPr>
              <w:keepNext/>
              <w:keepLines/>
              <w:spacing w:before="60" w:after="0" w:line="252" w:lineRule="auto"/>
              <w:ind w:left="454" w:right="0"/>
            </w:pPr>
            <w:r>
              <w:rPr>
                <w:rFonts w:ascii="Arial" w:hAnsi="Arial"/>
                <w:b w:val="0"/>
                <w:i w:val="0"/>
                <w:color w:val="141C2B"/>
                <w:sz w:val="19"/>
              </w:rPr>
              <w:t>Linguist: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She signed every day of her life. She just did it where the teachers were not looking, which is how the language reached me.</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So the policy failed.</w:t>
            </w:r>
          </w:p>
          <w:p>
            <w:pPr>
              <w:keepNext/>
              <w:keepLines/>
              <w:spacing w:before="60" w:after="0" w:line="252" w:lineRule="auto"/>
              <w:ind w:left="454" w:right="0"/>
            </w:pPr>
            <w:r>
              <w:rPr>
                <w:rFonts w:ascii="Arial" w:hAnsi="Arial"/>
                <w:b w:val="0"/>
                <w:i w:val="0"/>
                <w:color w:val="141C2B"/>
                <w:sz w:val="19"/>
              </w:rPr>
              <w:t>Linguist: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succeeded, which is why so few people of her age sign today.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failed at what it was trying to do and succeeded at a great deal it was not.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failed completely, and left no mark on the generation that went through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was never really applied in the schools of her own country.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abandoned in her lifetime, so the question hardly arises.</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At no point in the nineteenth century was the case for secrecy easier to make than the case against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Nobody in the nineteenth century was able to argue either for or against secrecy.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Secrecy was defended more often than it was attacked during the nineteenth century.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By the end of the nineteenth century, arguing for secrecy had become easier than arguing against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case against secrecy was never made at any point during the nineteenth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Throughout the nineteenth century, arguing for secrecy was never less difficult than arguing against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Rather than say that the goods were good, the mark said who would answer for them.</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mark said nothing about the goods and nothing about the person who made them.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What the mark stated was not the identity of the person responsible for the goods but their quality.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What the mark stated was not the quality of the goods but the identity of the person responsible for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mark stated both the quality of the goods and the identity of the person responsible.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Goods carrying a mark were of better quality than goods carrying none.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So little of a site's context survives excavation that what the digger failed to record is simply gone.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excavation leaves so little of a site's context behind, anything the digger did not record is lost for good.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excavation leaves so much of a site's context behind, anything the digger did not record can still be recovered.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site's context survives excavation provided that the digger has recorded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What the digger records is of less value than the context that survives.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Diggers record so little of a site's context that excavation has become pointless.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Not one of the major famines studied occurred in a region that lacked the food to feed its own people.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Only one of the major famines studied took place in a region that had enough food for its people.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Every one of the major famines studied took place in a region that had enough food for its people.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Regions that lacked food were not included among the famines studied.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None of the regions studied was able to feed its own people during a famine.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major famines studied occurred in regions where the harvest had failed.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A sign that has to be understood by somebody who is frightened cannot afford to rely on reading. ---- A person leaving a burning building is not scanning for words; the eyes are moving fast and the brain is doing something else, and a word in the wrong language, or in any language, is one step too many. The running figure and the arrow work because they are recognised rather than read, and because the recognition survives smoke, distance and panic.</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colour green was agreed on by international convention.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Architects rarely decide where these signs are to be placed.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This is why exit signs are now printed in several languages.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buildings are required to test their alarms once a month.</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This is why the exit sign is a picture and not a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Passengers complain that bus timetables lie, and in a narrow sense they are right. ---- The time printed against a stop is the earliest moment at which the bus is permitted to leave it, not the moment at which it will arrive. A driver who reaches the stop early is required to wait; a driver who is late cannot make the time up without breaking the same rule somewhere else. The document is a set of promises not to go too soon, and it is read as a set of promises to be there.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What is printed is not quite what the passenger assumes.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Few passengers carry a printed timetable any longer.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Bus companies are fined when their services run late.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Most delays are caused by traffic rather than by drivers.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Timetables are revised twice a year in most cities.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A survey that asks customers whether they were satisfied will almost always report that they were. ---- The people who were angry enough to answer are outnumbered by the people who were content enough to answer, and both are outnumbered by the people who simply left and will never be asked anything again. An organisation that manages itself by such a figure is steering by a measurement taken only from those who stayed.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difficulty is that the questions are too vaguely worded.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Customers are often offered a small reward for replying.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Satisfaction is in any case difficult to define precisely.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difficulty is not the question but who is left to answer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Response rates to such surveys have fallen for twenty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queue is a machine for turning a crowd into an order, and it runs on a belief rather than on a rule. ---- Nobody is holding anybody back; the person at the front could be pushed aside by the twenty behind him at any moment, and is not. What keeps the line straight is each person's expectation that the others will go on behaving as though it were binding, which is why a queue collapses all at once when it collapses at all.</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There is usually no authority present and no penalty for leaving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Queueing is often said to be a national habit in some countries.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long queue outside a building attracts further customers.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Shops have experimented with numbered tickets instead of lines.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people join a queue without noticing that they have done so.</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zip fastener was patented in the 1890s and spent the next twenty years failing to find anybody who wanted it. </w:t>
            </w:r>
            <w:r>
              <w:rPr>
                <w:rFonts w:ascii="Arial" w:hAnsi="Arial"/>
                <w:b/>
                <w:i w:val="0"/>
                <w:color w:val="141C2B"/>
                <w:sz w:val="19"/>
              </w:rPr>
              <w:t xml:space="preserve">(II) </w:t>
            </w:r>
            <w:r>
              <w:rPr>
                <w:rFonts w:ascii="Arial" w:hAnsi="Arial"/>
                <w:b w:val="0"/>
                <w:i w:val="0"/>
                <w:color w:val="141C2B"/>
                <w:sz w:val="19"/>
              </w:rPr>
              <w:t xml:space="preserve">It was sold first for tobacco pouches and for boots, where nobody much minded if it jammed. </w:t>
            </w:r>
            <w:r>
              <w:rPr>
                <w:rFonts w:ascii="Arial" w:hAnsi="Arial"/>
                <w:b/>
                <w:i w:val="0"/>
                <w:color w:val="141C2B"/>
                <w:sz w:val="19"/>
              </w:rPr>
              <w:t xml:space="preserve">(III) </w:t>
            </w:r>
            <w:r>
              <w:rPr>
                <w:rFonts w:ascii="Arial" w:hAnsi="Arial"/>
                <w:b w:val="0"/>
                <w:i w:val="0"/>
                <w:color w:val="141C2B"/>
                <w:sz w:val="19"/>
              </w:rPr>
              <w:t xml:space="preserve">Tobacco consumption in the United States rose sharply in the same decades. </w:t>
            </w:r>
            <w:r>
              <w:rPr>
                <w:rFonts w:ascii="Arial" w:hAnsi="Arial"/>
                <w:b/>
                <w:i w:val="0"/>
                <w:color w:val="141C2B"/>
                <w:sz w:val="19"/>
              </w:rPr>
              <w:t xml:space="preserve">(IV) </w:t>
            </w:r>
            <w:r>
              <w:rPr>
                <w:rFonts w:ascii="Arial" w:hAnsi="Arial"/>
                <w:b w:val="0"/>
                <w:i w:val="0"/>
                <w:color w:val="141C2B"/>
                <w:sz w:val="19"/>
              </w:rPr>
              <w:t xml:space="preserve">Clothing manufacturers would not touch it until the fastening could be trusted not to open by itself. </w:t>
            </w:r>
            <w:r>
              <w:rPr>
                <w:rFonts w:ascii="Arial" w:hAnsi="Arial"/>
                <w:b/>
                <w:i w:val="0"/>
                <w:color w:val="141C2B"/>
                <w:sz w:val="19"/>
              </w:rPr>
              <w:t xml:space="preserve">(V) </w:t>
            </w:r>
            <w:r>
              <w:rPr>
                <w:rFonts w:ascii="Arial" w:hAnsi="Arial"/>
                <w:b w:val="0"/>
                <w:i w:val="0"/>
                <w:color w:val="141C2B"/>
                <w:sz w:val="19"/>
              </w:rPr>
              <w:t>What changed was not the idea, which was unaltered, but the reliability of the manufacture.</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public drinking fountains that appeared in British cities after 1859 were not built by the water companies. </w:t>
            </w:r>
            <w:r>
              <w:rPr>
                <w:rFonts w:ascii="Arial" w:hAnsi="Arial"/>
                <w:b/>
                <w:i w:val="0"/>
                <w:color w:val="141C2B"/>
                <w:sz w:val="19"/>
              </w:rPr>
              <w:t xml:space="preserve">(II) </w:t>
            </w:r>
            <w:r>
              <w:rPr>
                <w:rFonts w:ascii="Arial" w:hAnsi="Arial"/>
                <w:b w:val="0"/>
                <w:i w:val="0"/>
                <w:color w:val="141C2B"/>
                <w:sz w:val="19"/>
              </w:rPr>
              <w:t xml:space="preserve">They were paid for by temperance societies, whose object was to give a working man somewhere to drink that was not a public house. </w:t>
            </w:r>
            <w:r>
              <w:rPr>
                <w:rFonts w:ascii="Arial" w:hAnsi="Arial"/>
                <w:b/>
                <w:i w:val="0"/>
                <w:color w:val="141C2B"/>
                <w:sz w:val="19"/>
              </w:rPr>
              <w:t xml:space="preserve">(III) </w:t>
            </w:r>
            <w:r>
              <w:rPr>
                <w:rFonts w:ascii="Arial" w:hAnsi="Arial"/>
                <w:b w:val="0"/>
                <w:i w:val="0"/>
                <w:color w:val="141C2B"/>
                <w:sz w:val="19"/>
              </w:rPr>
              <w:t xml:space="preserve">The inscriptions on them are accordingly moral rather than practical, and several mention the evils they were meant to displace. </w:t>
            </w:r>
            <w:r>
              <w:rPr>
                <w:rFonts w:ascii="Arial" w:hAnsi="Arial"/>
                <w:b/>
                <w:i w:val="0"/>
                <w:color w:val="141C2B"/>
                <w:sz w:val="19"/>
              </w:rPr>
              <w:t xml:space="preserve">(IV) </w:t>
            </w:r>
            <w:r>
              <w:rPr>
                <w:rFonts w:ascii="Arial" w:hAnsi="Arial"/>
                <w:b w:val="0"/>
                <w:i w:val="0"/>
                <w:color w:val="141C2B"/>
                <w:sz w:val="19"/>
              </w:rPr>
              <w:t xml:space="preserve">Cholera had been shown to travel through contaminated water a few years earlier. </w:t>
            </w:r>
            <w:r>
              <w:rPr>
                <w:rFonts w:ascii="Arial" w:hAnsi="Arial"/>
                <w:b/>
                <w:i w:val="0"/>
                <w:color w:val="141C2B"/>
                <w:sz w:val="19"/>
              </w:rPr>
              <w:t xml:space="preserve">(V) </w:t>
            </w:r>
            <w:r>
              <w:rPr>
                <w:rFonts w:ascii="Arial" w:hAnsi="Arial"/>
                <w:b w:val="0"/>
                <w:i w:val="0"/>
                <w:color w:val="141C2B"/>
                <w:sz w:val="19"/>
              </w:rPr>
              <w:t>A piece of street furniture that now reads as plain civic provision was in its own time an argument.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Before the filing cabinet, a letter received by an office was folded, endorsed on the outside with a word or two and pushed into a pigeonhole. </w:t>
            </w:r>
            <w:r>
              <w:rPr>
                <w:rFonts w:ascii="Arial" w:hAnsi="Arial"/>
                <w:b/>
                <w:i w:val="0"/>
                <w:color w:val="141C2B"/>
                <w:sz w:val="19"/>
              </w:rPr>
              <w:t xml:space="preserve">(II) </w:t>
            </w:r>
            <w:r>
              <w:rPr>
                <w:rFonts w:ascii="Arial" w:hAnsi="Arial"/>
                <w:b w:val="0"/>
                <w:i w:val="0"/>
                <w:color w:val="141C2B"/>
                <w:sz w:val="19"/>
              </w:rPr>
              <w:t xml:space="preserve">Offices of the period employed a great many more clerks than they do today. </w:t>
            </w:r>
            <w:r>
              <w:rPr>
                <w:rFonts w:ascii="Arial" w:hAnsi="Arial"/>
                <w:b/>
                <w:i w:val="0"/>
                <w:color w:val="141C2B"/>
                <w:sz w:val="19"/>
              </w:rPr>
              <w:t xml:space="preserve">(III) </w:t>
            </w:r>
            <w:r>
              <w:rPr>
                <w:rFonts w:ascii="Arial" w:hAnsi="Arial"/>
                <w:b w:val="0"/>
                <w:i w:val="0"/>
                <w:color w:val="141C2B"/>
                <w:sz w:val="19"/>
              </w:rPr>
              <w:t xml:space="preserve">Finding it again meant remembering roughly when it had arrived and who had dealt with it, which worked while the office was small and failed as soon as it was not. </w:t>
            </w:r>
            <w:r>
              <w:rPr>
                <w:rFonts w:ascii="Arial" w:hAnsi="Arial"/>
                <w:b/>
                <w:i w:val="0"/>
                <w:color w:val="141C2B"/>
                <w:sz w:val="19"/>
              </w:rPr>
              <w:t xml:space="preserve">(IV) </w:t>
            </w:r>
            <w:r>
              <w:rPr>
                <w:rFonts w:ascii="Arial" w:hAnsi="Arial"/>
                <w:b w:val="0"/>
                <w:i w:val="0"/>
                <w:color w:val="141C2B"/>
                <w:sz w:val="19"/>
              </w:rPr>
              <w:t xml:space="preserve">Standing the papers on edge in drawers, unfolded and in alphabetical order, sounds like a trivial change and was not. </w:t>
            </w:r>
            <w:r>
              <w:rPr>
                <w:rFonts w:ascii="Arial" w:hAnsi="Arial"/>
                <w:b/>
                <w:i w:val="0"/>
                <w:color w:val="141C2B"/>
                <w:sz w:val="19"/>
              </w:rPr>
              <w:t xml:space="preserve">(V) </w:t>
            </w:r>
            <w:r>
              <w:rPr>
                <w:rFonts w:ascii="Arial" w:hAnsi="Arial"/>
                <w:b w:val="0"/>
                <w:i w:val="0"/>
                <w:color w:val="141C2B"/>
                <w:sz w:val="19"/>
              </w:rPr>
              <w:t>It made a firm's memory independent of the memory of any particular clerk, which is what allowed firms to grow past the size of a room.</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Before the blackboard, a teacher worked through the room one pupil at a time, hearing each in turn while the rest waited. </w:t>
            </w:r>
            <w:r>
              <w:rPr>
                <w:rFonts w:ascii="Arial" w:hAnsi="Arial"/>
                <w:b/>
                <w:i w:val="0"/>
                <w:color w:val="141C2B"/>
                <w:sz w:val="19"/>
              </w:rPr>
              <w:t xml:space="preserve">(II) </w:t>
            </w:r>
            <w:r>
              <w:rPr>
                <w:rFonts w:ascii="Arial" w:hAnsi="Arial"/>
                <w:b w:val="0"/>
                <w:i w:val="0"/>
                <w:color w:val="141C2B"/>
                <w:sz w:val="19"/>
              </w:rPr>
              <w:t xml:space="preserve">A surface the whole room could see at once made it possible to address forty children as though they were one. </w:t>
            </w:r>
            <w:r>
              <w:rPr>
                <w:rFonts w:ascii="Arial" w:hAnsi="Arial"/>
                <w:b/>
                <w:i w:val="0"/>
                <w:color w:val="141C2B"/>
                <w:sz w:val="19"/>
              </w:rPr>
              <w:t xml:space="preserve">(III) </w:t>
            </w:r>
            <w:r>
              <w:rPr>
                <w:rFonts w:ascii="Arial" w:hAnsi="Arial"/>
                <w:b w:val="0"/>
                <w:i w:val="0"/>
                <w:color w:val="141C2B"/>
                <w:sz w:val="19"/>
              </w:rPr>
              <w:t xml:space="preserve">Slate was quarried in large quantities in Wales throughout the nineteenth century. </w:t>
            </w:r>
            <w:r>
              <w:rPr>
                <w:rFonts w:ascii="Arial" w:hAnsi="Arial"/>
                <w:b/>
                <w:i w:val="0"/>
                <w:color w:val="141C2B"/>
                <w:sz w:val="19"/>
              </w:rPr>
              <w:t xml:space="preserve">(IV) </w:t>
            </w:r>
            <w:r>
              <w:rPr>
                <w:rFonts w:ascii="Arial" w:hAnsi="Arial"/>
                <w:b w:val="0"/>
                <w:i w:val="0"/>
                <w:color w:val="141C2B"/>
                <w:sz w:val="19"/>
              </w:rPr>
              <w:t xml:space="preserve">The class, as a unit that moves through a subject together, is a consequence of that surface rather than of any theory of education. </w:t>
            </w:r>
            <w:r>
              <w:rPr>
                <w:rFonts w:ascii="Arial" w:hAnsi="Arial"/>
                <w:b/>
                <w:i w:val="0"/>
                <w:color w:val="141C2B"/>
                <w:sz w:val="19"/>
              </w:rPr>
              <w:t xml:space="preserve">(V) </w:t>
            </w:r>
            <w:r>
              <w:rPr>
                <w:rFonts w:ascii="Arial" w:hAnsi="Arial"/>
                <w:b w:val="0"/>
                <w:i w:val="0"/>
                <w:color w:val="141C2B"/>
                <w:sz w:val="19"/>
              </w:rPr>
              <w:t>Almost everything that is now taken for granted about a lesson follows from it.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man carrying an umbrella in London in the 1750s was understood to be announcing that he could not afford a carriage. </w:t>
            </w:r>
            <w:r>
              <w:rPr>
                <w:rFonts w:ascii="Arial" w:hAnsi="Arial"/>
                <w:b/>
                <w:i w:val="0"/>
                <w:color w:val="141C2B"/>
                <w:sz w:val="19"/>
              </w:rPr>
              <w:t xml:space="preserve">(II) </w:t>
            </w:r>
            <w:r>
              <w:rPr>
                <w:rFonts w:ascii="Arial" w:hAnsi="Arial"/>
                <w:b w:val="0"/>
                <w:i w:val="0"/>
                <w:color w:val="141C2B"/>
                <w:sz w:val="19"/>
              </w:rPr>
              <w:t xml:space="preserve">Jonas Hanway carried one anyway, for some thirty years, and was shouted at in the street by coachmen for most of them. </w:t>
            </w:r>
            <w:r>
              <w:rPr>
                <w:rFonts w:ascii="Arial" w:hAnsi="Arial"/>
                <w:b/>
                <w:i w:val="0"/>
                <w:color w:val="141C2B"/>
                <w:sz w:val="19"/>
              </w:rPr>
              <w:t xml:space="preserve">(III) </w:t>
            </w:r>
            <w:r>
              <w:rPr>
                <w:rFonts w:ascii="Arial" w:hAnsi="Arial"/>
                <w:b w:val="0"/>
                <w:i w:val="0"/>
                <w:color w:val="141C2B"/>
                <w:sz w:val="19"/>
              </w:rPr>
              <w:t xml:space="preserve">The objection was never about the rain; it was about what being seen to shelter from rain implied about a man's means. </w:t>
            </w:r>
            <w:r>
              <w:rPr>
                <w:rFonts w:ascii="Arial" w:hAnsi="Arial"/>
                <w:b/>
                <w:i w:val="0"/>
                <w:color w:val="141C2B"/>
                <w:sz w:val="19"/>
              </w:rPr>
              <w:t xml:space="preserve">(IV) </w:t>
            </w:r>
            <w:r>
              <w:rPr>
                <w:rFonts w:ascii="Arial" w:hAnsi="Arial"/>
                <w:b w:val="0"/>
                <w:i w:val="0"/>
                <w:color w:val="141C2B"/>
                <w:sz w:val="19"/>
              </w:rPr>
              <w:t xml:space="preserve">By the end of the century the thing had become unremarkable, which is the usual fate of an object that outlives the signal it once carried. </w:t>
            </w:r>
            <w:r>
              <w:rPr>
                <w:rFonts w:ascii="Arial" w:hAnsi="Arial"/>
                <w:b/>
                <w:i w:val="0"/>
                <w:color w:val="141C2B"/>
                <w:sz w:val="19"/>
              </w:rPr>
              <w:t xml:space="preserve">(V) </w:t>
            </w:r>
            <w:r>
              <w:rPr>
                <w:rFonts w:ascii="Arial" w:hAnsi="Arial"/>
                <w:b w:val="0"/>
                <w:i w:val="0"/>
                <w:color w:val="141C2B"/>
                <w:sz w:val="19"/>
              </w:rPr>
              <w:t>Umbrellas of the period were made with whalebone ribs and a covering of oiled silk.</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10</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C. </w:t>
      </w:r>
      <w:r>
        <w:rPr>
          <w:rFonts w:ascii="Arial" w:hAnsi="Arial"/>
          <w:b w:val="0"/>
          <w:i w:val="0"/>
          <w:color w:val="141C2B"/>
          <w:sz w:val="17"/>
        </w:rPr>
        <w:t xml:space="preserve">Ödün bağlacı beklenenin tersini ister: açıklık dürüstlük değil, oyu satın alınabilir kılan şeydir. </w:t>
      </w:r>
      <w:r>
        <w:rPr>
          <w:rFonts w:ascii="Arial" w:hAnsi="Arial"/>
          <w:b/>
          <w:i w:val="0"/>
          <w:color w:val="1B335F"/>
          <w:sz w:val="17"/>
        </w:rPr>
        <w:t xml:space="preserve">Tuzak (D): </w:t>
      </w:r>
      <w:r>
        <w:rPr>
          <w:rFonts w:ascii="Arial" w:hAnsi="Arial"/>
          <w:b w:val="0"/>
          <w:i w:val="0"/>
          <w:color w:val="141C2B"/>
          <w:sz w:val="17"/>
        </w:rPr>
        <w:t>Açıklıkla gizliliği değiştirir; parçanın bütün savı, satın almayı mümkün kılanın görünürlük olduğudur.</w:t>
      </w:r>
    </w:p>
    <w:p>
      <w:pPr>
        <w:keepLines/>
        <w:spacing w:before="0" w:after="80" w:line="252" w:lineRule="auto"/>
        <w:ind w:left="0" w:right="0"/>
        <w:jc w:val="both"/>
      </w:pPr>
      <w:r>
        <w:rPr>
          <w:rFonts w:ascii="Arial" w:hAnsi="Arial"/>
          <w:b/>
          <w:i w:val="0"/>
          <w:color w:val="1B335F"/>
          <w:sz w:val="17"/>
        </w:rPr>
        <w:t xml:space="preserve">Q28 — Doğru: A. </w:t>
      </w:r>
      <w:r>
        <w:rPr>
          <w:rFonts w:ascii="Arial" w:hAnsi="Arial"/>
          <w:b w:val="0"/>
          <w:i w:val="0"/>
          <w:color w:val="141C2B"/>
          <w:sz w:val="17"/>
        </w:rPr>
        <w:t xml:space="preserve">Alıcının kanıta muhtaç olması, kanıtı olanaksız kılmanın piyasayı kendiliğinden bitireceği anlamına gelir. </w:t>
      </w:r>
      <w:r>
        <w:rPr>
          <w:rFonts w:ascii="Arial" w:hAnsi="Arial"/>
          <w:b/>
          <w:i w:val="0"/>
          <w:color w:val="1B335F"/>
          <w:sz w:val="17"/>
        </w:rPr>
        <w:t xml:space="preserve">Tuzak (E): </w:t>
      </w:r>
      <w:r>
        <w:rPr>
          <w:rFonts w:ascii="Arial" w:hAnsi="Arial"/>
          <w:b w:val="0"/>
          <w:i w:val="0"/>
          <w:color w:val="141C2B"/>
          <w:sz w:val="17"/>
        </w:rPr>
        <w:t>Aynı öncülden denetim gereğini çıkarır; oysa kanıtsızlık tam da denetime gerek bırakmayan çözümdür.</w:t>
      </w:r>
    </w:p>
    <w:p>
      <w:pPr>
        <w:keepLines/>
        <w:spacing w:before="0" w:after="80" w:line="252" w:lineRule="auto"/>
        <w:ind w:left="0" w:right="0"/>
        <w:jc w:val="both"/>
      </w:pPr>
      <w:r>
        <w:rPr>
          <w:rFonts w:ascii="Arial" w:hAnsi="Arial"/>
          <w:b/>
          <w:i w:val="0"/>
          <w:color w:val="1B335F"/>
          <w:sz w:val="17"/>
        </w:rPr>
        <w:t xml:space="preserve">Q29 — Doğru: D. </w:t>
      </w:r>
      <w:r>
        <w:rPr>
          <w:rFonts w:ascii="Arial" w:hAnsi="Arial"/>
          <w:b w:val="0"/>
          <w:i w:val="0"/>
          <w:color w:val="141C2B"/>
          <w:sz w:val="17"/>
        </w:rPr>
        <w:t xml:space="preserve">Not only ... but also kalıbı ikinci bir işlev ister; markanın ikinci işlevi kaybedilebilir bir itibar kurmaktır. </w:t>
      </w:r>
      <w:r>
        <w:rPr>
          <w:rFonts w:ascii="Arial" w:hAnsi="Arial"/>
          <w:b/>
          <w:i w:val="0"/>
          <w:color w:val="1B335F"/>
          <w:sz w:val="17"/>
        </w:rPr>
        <w:t xml:space="preserve">Tuzak (C): </w:t>
      </w:r>
      <w:r>
        <w:rPr>
          <w:rFonts w:ascii="Arial" w:hAnsi="Arial"/>
          <w:b w:val="0"/>
          <w:i w:val="0"/>
          <w:color w:val="141C2B"/>
          <w:sz w:val="17"/>
        </w:rPr>
        <w:t>Parçanın açıkça reddettiği şeyi söyler: marka içeriğin iyi olduğunu değil, kimin sorumlu olduğunu bildirir.</w:t>
      </w:r>
    </w:p>
    <w:p>
      <w:pPr>
        <w:keepLines/>
        <w:spacing w:before="0" w:after="80" w:line="252" w:lineRule="auto"/>
        <w:ind w:left="0" w:right="0"/>
        <w:jc w:val="both"/>
      </w:pPr>
      <w:r>
        <w:rPr>
          <w:rFonts w:ascii="Arial" w:hAnsi="Arial"/>
          <w:b/>
          <w:i w:val="0"/>
          <w:color w:val="1B335F"/>
          <w:sz w:val="17"/>
        </w:rPr>
        <w:t xml:space="preserve">Q30 — Doğru: B. </w:t>
      </w:r>
      <w:r>
        <w:rPr>
          <w:rFonts w:ascii="Arial" w:hAnsi="Arial"/>
          <w:b w:val="0"/>
          <w:i w:val="0"/>
          <w:color w:val="141C2B"/>
          <w:sz w:val="17"/>
        </w:rPr>
        <w:t xml:space="preserve">Had + özne + V3 üçüncü tip koşuldur; bu doktrinler markanın mülk sayılmasından doğduğuna göre, uyarı olarak kalsaydı doğmazlardı. </w:t>
      </w:r>
      <w:r>
        <w:rPr>
          <w:rFonts w:ascii="Arial" w:hAnsi="Arial"/>
          <w:b/>
          <w:i w:val="0"/>
          <w:color w:val="1B335F"/>
          <w:sz w:val="17"/>
        </w:rPr>
        <w:t xml:space="preserve">Tuzak (C): </w:t>
      </w:r>
      <w:r>
        <w:rPr>
          <w:rFonts w:ascii="Arial" w:hAnsi="Arial"/>
          <w:b w:val="0"/>
          <w:i w:val="0"/>
          <w:color w:val="141C2B"/>
          <w:sz w:val="17"/>
        </w:rPr>
        <w:t>Koşulu tersine çevirir: markanın baştan varlık sayılması bu doktrinleri engellemez, tam tersine üretir.</w:t>
      </w:r>
    </w:p>
    <w:p>
      <w:pPr>
        <w:keepLines/>
        <w:spacing w:before="0" w:after="80" w:line="252" w:lineRule="auto"/>
        <w:ind w:left="0" w:right="0"/>
        <w:jc w:val="both"/>
      </w:pPr>
      <w:r>
        <w:rPr>
          <w:rFonts w:ascii="Arial" w:hAnsi="Arial"/>
          <w:b/>
          <w:i w:val="0"/>
          <w:color w:val="1B335F"/>
          <w:sz w:val="17"/>
        </w:rPr>
        <w:t xml:space="preserve">Q31 — Doğru: E. </w:t>
      </w:r>
      <w:r>
        <w:rPr>
          <w:rFonts w:ascii="Arial" w:hAnsi="Arial"/>
          <w:b w:val="0"/>
          <w:i w:val="0"/>
          <w:color w:val="141C2B"/>
          <w:sz w:val="17"/>
        </w:rPr>
        <w:t xml:space="preserve">So + nicelik yapısı that ile tamamlanır ve bir sonuç bildirir: bilgi düzendeyse, düzeni bozmak bilgiyi yok eder. </w:t>
      </w:r>
      <w:r>
        <w:rPr>
          <w:rFonts w:ascii="Arial" w:hAnsi="Arial"/>
          <w:b/>
          <w:i w:val="0"/>
          <w:color w:val="1B335F"/>
          <w:sz w:val="17"/>
        </w:rPr>
        <w:t xml:space="preserve">Tuzak (A): </w:t>
      </w:r>
      <w:r>
        <w:rPr>
          <w:rFonts w:ascii="Arial" w:hAnsi="Arial"/>
          <w:b w:val="0"/>
          <w:i w:val="0"/>
          <w:color w:val="141C2B"/>
          <w:sz w:val="17"/>
        </w:rPr>
        <w:t>Yapıyı doğru tamamlar ama sonucu tersine çevirir; parçanın bütün sorunu kazının geri alınamaz oluşudur.</w:t>
      </w:r>
    </w:p>
    <w:p>
      <w:pPr>
        <w:keepLines/>
        <w:spacing w:before="0" w:after="80" w:line="252" w:lineRule="auto"/>
        <w:ind w:left="0" w:right="0"/>
        <w:jc w:val="both"/>
      </w:pPr>
      <w:r>
        <w:rPr>
          <w:rFonts w:ascii="Arial" w:hAnsi="Arial"/>
          <w:b/>
          <w:i w:val="0"/>
          <w:color w:val="1B335F"/>
          <w:sz w:val="17"/>
        </w:rPr>
        <w:t xml:space="preserve">Q32 — Doğru: D. </w:t>
      </w:r>
      <w:r>
        <w:rPr>
          <w:rFonts w:ascii="Arial" w:hAnsi="Arial"/>
          <w:b w:val="0"/>
          <w:i w:val="0"/>
          <w:color w:val="141C2B"/>
          <w:sz w:val="17"/>
        </w:rPr>
        <w:t xml:space="preserve">whereas iki alanı karşı karşıya koyar; boşluk, başka yerde ihmal sayılacak kararın arkeolojideki karşılığını vermelidir. </w:t>
      </w:r>
      <w:r>
        <w:rPr>
          <w:rFonts w:ascii="Arial" w:hAnsi="Arial"/>
          <w:b/>
          <w:i w:val="0"/>
          <w:color w:val="1B335F"/>
          <w:sz w:val="17"/>
        </w:rPr>
        <w:t xml:space="preserve">Tuzak (A): </w:t>
      </w:r>
      <w:r>
        <w:rPr>
          <w:rFonts w:ascii="Arial" w:hAnsi="Arial"/>
          <w:b w:val="0"/>
          <w:i w:val="0"/>
          <w:color w:val="141C2B"/>
          <w:sz w:val="17"/>
        </w:rPr>
        <w:t>Karşıtlık yerine aynılık kurar; whereas'ın istediği zıtlık ortadan kalkar.</w:t>
      </w:r>
    </w:p>
    <w:p>
      <w:pPr>
        <w:keepLines/>
        <w:spacing w:before="0" w:after="80" w:line="252" w:lineRule="auto"/>
        <w:ind w:left="0" w:right="0"/>
        <w:jc w:val="both"/>
      </w:pPr>
      <w:r>
        <w:rPr>
          <w:rFonts w:ascii="Arial" w:hAnsi="Arial"/>
          <w:b/>
          <w:i w:val="0"/>
          <w:color w:val="1B335F"/>
          <w:sz w:val="17"/>
        </w:rPr>
        <w:t xml:space="preserve">Q33 — Doğru: B. </w:t>
      </w:r>
      <w:r>
        <w:rPr>
          <w:rFonts w:ascii="Arial" w:hAnsi="Arial"/>
          <w:b w:val="0"/>
          <w:i w:val="0"/>
          <w:color w:val="141C2B"/>
          <w:sz w:val="17"/>
        </w:rPr>
        <w:t xml:space="preserve">Yiyecek bölgede varsa açıklama miktarda olamaz; geriye ona kimin ulaşabildiği sorusu kalır. </w:t>
      </w:r>
      <w:r>
        <w:rPr>
          <w:rFonts w:ascii="Arial" w:hAnsi="Arial"/>
          <w:b/>
          <w:i w:val="0"/>
          <w:color w:val="1B335F"/>
          <w:sz w:val="17"/>
        </w:rPr>
        <w:t xml:space="preserve">Tuzak (D): </w:t>
      </w:r>
      <w:r>
        <w:rPr>
          <w:rFonts w:ascii="Arial" w:hAnsi="Arial"/>
          <w:b w:val="0"/>
          <w:i w:val="0"/>
          <w:color w:val="141C2B"/>
          <w:sz w:val="17"/>
        </w:rPr>
        <w:t>Öncülü yok sayar: öncül tam da üretim miktarının yeterli olduğunu söylemektedir.</w:t>
      </w:r>
    </w:p>
    <w:p>
      <w:pPr>
        <w:keepLines/>
        <w:spacing w:before="0" w:after="80" w:line="252" w:lineRule="auto"/>
        <w:ind w:left="0" w:right="0"/>
        <w:jc w:val="both"/>
      </w:pPr>
      <w:r>
        <w:rPr>
          <w:rFonts w:ascii="Arial" w:hAnsi="Arial"/>
          <w:b/>
          <w:i w:val="0"/>
          <w:color w:val="1B335F"/>
          <w:sz w:val="17"/>
        </w:rPr>
        <w:t xml:space="preserve">Q34 — Doğru: A. </w:t>
      </w:r>
      <w:r>
        <w:rPr>
          <w:rFonts w:ascii="Arial" w:hAnsi="Arial"/>
          <w:b w:val="0"/>
          <w:i w:val="0"/>
          <w:color w:val="141C2B"/>
          <w:sz w:val="17"/>
        </w:rPr>
        <w:t xml:space="preserve">İkinci tip koşul gerçeğe aykırı bir varsayım kurar: sorun gerçekten mutlak kıtlık olsaydı, para yaratmak bir şey çözmezdi. </w:t>
      </w:r>
      <w:r>
        <w:rPr>
          <w:rFonts w:ascii="Arial" w:hAnsi="Arial"/>
          <w:b/>
          <w:i w:val="0"/>
          <w:color w:val="1B335F"/>
          <w:sz w:val="17"/>
        </w:rPr>
        <w:t xml:space="preserve">Tuzak (C): </w:t>
      </w:r>
      <w:r>
        <w:rPr>
          <w:rFonts w:ascii="Arial" w:hAnsi="Arial"/>
          <w:b w:val="0"/>
          <w:i w:val="0"/>
          <w:color w:val="141C2B"/>
          <w:sz w:val="17"/>
        </w:rPr>
        <w:t>Parçanın asıl savını yanlış koşula bağlar; para çözümü, sorun kıtlık değil alım gücü olduğu için işe yarar.</w:t>
      </w:r>
    </w:p>
    <w:p>
      <w:pPr>
        <w:keepLines/>
        <w:spacing w:before="0" w:after="80" w:line="252" w:lineRule="auto"/>
        <w:ind w:left="0" w:right="0"/>
        <w:jc w:val="both"/>
      </w:pPr>
      <w:r>
        <w:rPr>
          <w:rFonts w:ascii="Arial" w:hAnsi="Arial"/>
          <w:b/>
          <w:i w:val="0"/>
          <w:color w:val="1B335F"/>
          <w:sz w:val="17"/>
        </w:rPr>
        <w:t xml:space="preserve">Q35 — Doğru: C. </w:t>
      </w:r>
      <w:r>
        <w:rPr>
          <w:rFonts w:ascii="Arial" w:hAnsi="Arial"/>
          <w:b w:val="0"/>
          <w:i w:val="0"/>
          <w:color w:val="141C2B"/>
          <w:sz w:val="17"/>
        </w:rPr>
        <w:t xml:space="preserve">However + zarf bir ödün kurar: çalışmanın yoğunluğu ne olursa olsun sonuç değişmemiştir. </w:t>
      </w:r>
      <w:r>
        <w:rPr>
          <w:rFonts w:ascii="Arial" w:hAnsi="Arial"/>
          <w:b/>
          <w:i w:val="0"/>
          <w:color w:val="1B335F"/>
          <w:sz w:val="17"/>
        </w:rPr>
        <w:t xml:space="preserve">Tuzak (D): </w:t>
      </w:r>
      <w:r>
        <w:rPr>
          <w:rFonts w:ascii="Arial" w:hAnsi="Arial"/>
          <w:b w:val="0"/>
          <w:i w:val="0"/>
          <w:color w:val="141C2B"/>
          <w:sz w:val="17"/>
        </w:rPr>
        <w:t>Ödünü sonuçsuz bırakır; parça sonuçların kötü olduğunu ölçülmüş bir bulgu olarak verir.</w:t>
      </w:r>
    </w:p>
    <w:p>
      <w:pPr>
        <w:keepLines/>
        <w:spacing w:before="0" w:after="80" w:line="252" w:lineRule="auto"/>
        <w:ind w:left="0" w:right="0"/>
        <w:jc w:val="both"/>
      </w:pPr>
      <w:r>
        <w:rPr>
          <w:rFonts w:ascii="Arial" w:hAnsi="Arial"/>
          <w:b/>
          <w:i w:val="0"/>
          <w:color w:val="1B335F"/>
          <w:sz w:val="17"/>
        </w:rPr>
        <w:t xml:space="preserve">Q36 — Doğru: B. </w:t>
      </w:r>
      <w:r>
        <w:rPr>
          <w:rFonts w:ascii="Arial" w:hAnsi="Arial"/>
          <w:b w:val="0"/>
          <w:i w:val="0"/>
          <w:color w:val="141C2B"/>
          <w:sz w:val="17"/>
        </w:rPr>
        <w:t xml:space="preserve">Parçanın son cümlesi bunu söyler: bir dili başka bir dille değiştirmek, el hareketlerini konuşmayla değiştirmekten başka bir zemin ister. </w:t>
      </w:r>
      <w:r>
        <w:rPr>
          <w:rFonts w:ascii="Arial" w:hAnsi="Arial"/>
          <w:b/>
          <w:i w:val="0"/>
          <w:color w:val="1B335F"/>
          <w:sz w:val="17"/>
        </w:rPr>
        <w:t xml:space="preserve">Tuzak (E): </w:t>
      </w:r>
      <w:r>
        <w:rPr>
          <w:rFonts w:ascii="Arial" w:hAnsi="Arial"/>
          <w:b w:val="0"/>
          <w:i w:val="0"/>
          <w:color w:val="141C2B"/>
          <w:sz w:val="17"/>
        </w:rPr>
        <w:t>Bulgunun sonucunu siler; kanıt değiştiğinde tartışmanın zemini de değişmek zorundadır.</w:t>
      </w:r>
    </w:p>
    <w:p>
      <w:pPr>
        <w:keepLines/>
        <w:spacing w:before="0" w:after="80" w:line="252" w:lineRule="auto"/>
        <w:ind w:left="0" w:right="0"/>
        <w:jc w:val="both"/>
      </w:pPr>
      <w:r>
        <w:rPr>
          <w:rFonts w:ascii="Arial" w:hAnsi="Arial"/>
          <w:b/>
          <w:i w:val="0"/>
          <w:color w:val="1B335F"/>
          <w:sz w:val="17"/>
        </w:rPr>
        <w:t xml:space="preserve">Q37 — Doğru: C. </w:t>
      </w:r>
      <w:r>
        <w:rPr>
          <w:rFonts w:ascii="Arial" w:hAnsi="Arial"/>
          <w:b w:val="0"/>
          <w:i w:val="0"/>
          <w:color w:val="141C2B"/>
          <w:sz w:val="17"/>
        </w:rPr>
        <w:t xml:space="preserve">not X but Y kalıbı hakkı dışlar, ödevi koyar; çeviride bu sıra korunmalıdır. </w:t>
      </w:r>
      <w:r>
        <w:rPr>
          <w:rFonts w:ascii="Arial" w:hAnsi="Arial"/>
          <w:b/>
          <w:i w:val="0"/>
          <w:color w:val="1B335F"/>
          <w:sz w:val="17"/>
        </w:rPr>
        <w:t xml:space="preserve">Tuzak (D): </w:t>
      </w:r>
      <w:r>
        <w:rPr>
          <w:rFonts w:ascii="Arial" w:hAnsi="Arial"/>
          <w:b w:val="0"/>
          <w:i w:val="0"/>
          <w:color w:val="141C2B"/>
          <w:sz w:val="17"/>
        </w:rPr>
        <w:t>Kalıbın iki ucunu değiştirir; aynı sözcüklerle cümlenin tersi söylenmiş olur.</w:t>
      </w:r>
    </w:p>
    <w:p>
      <w:pPr>
        <w:keepLines/>
        <w:spacing w:before="0" w:after="80" w:line="252" w:lineRule="auto"/>
        <w:ind w:left="0" w:right="0"/>
        <w:jc w:val="both"/>
      </w:pPr>
      <w:r>
        <w:rPr>
          <w:rFonts w:ascii="Arial" w:hAnsi="Arial"/>
          <w:b/>
          <w:i w:val="0"/>
          <w:color w:val="1B335F"/>
          <w:sz w:val="17"/>
        </w:rPr>
        <w:t xml:space="preserve">Q38 — Doğru: D. </w:t>
      </w:r>
      <w:r>
        <w:rPr>
          <w:rFonts w:ascii="Arial" w:hAnsi="Arial"/>
          <w:b w:val="0"/>
          <w:i w:val="0"/>
          <w:color w:val="141C2B"/>
          <w:sz w:val="17"/>
        </w:rPr>
        <w:t xml:space="preserve">Cümle neyin cezalandırıldığını açıkça ayırır: haksızlık halka karşıdır, üreticiye karşı değil. </w:t>
      </w:r>
      <w:r>
        <w:rPr>
          <w:rFonts w:ascii="Arial" w:hAnsi="Arial"/>
          <w:b/>
          <w:i w:val="0"/>
          <w:color w:val="1B335F"/>
          <w:sz w:val="17"/>
        </w:rPr>
        <w:t xml:space="preserve">Tuzak (B): </w:t>
      </w:r>
      <w:r>
        <w:rPr>
          <w:rFonts w:ascii="Arial" w:hAnsi="Arial"/>
          <w:b w:val="0"/>
          <w:i w:val="0"/>
          <w:color w:val="141C2B"/>
          <w:sz w:val="17"/>
        </w:rPr>
        <w:t>İki haksızlığı yer değiştirir; markanın tüketici korumasından mülkiyete kayışı tam da bu ayrımda saklıdır.</w:t>
      </w:r>
    </w:p>
    <w:p>
      <w:pPr>
        <w:keepLines/>
        <w:spacing w:before="0" w:after="80" w:line="252" w:lineRule="auto"/>
        <w:ind w:left="0" w:right="0"/>
        <w:jc w:val="both"/>
      </w:pPr>
      <w:r>
        <w:rPr>
          <w:rFonts w:ascii="Arial" w:hAnsi="Arial"/>
          <w:b/>
          <w:i w:val="0"/>
          <w:color w:val="1B335F"/>
          <w:sz w:val="17"/>
        </w:rPr>
        <w:t xml:space="preserve">Q39 — Doğru: A. </w:t>
      </w:r>
      <w:r>
        <w:rPr>
          <w:rFonts w:ascii="Arial" w:hAnsi="Arial"/>
          <w:b w:val="0"/>
          <w:i w:val="0"/>
          <w:color w:val="141C2B"/>
          <w:sz w:val="17"/>
        </w:rPr>
        <w:t xml:space="preserve">Cümle mutlak bir olanaksızlık bildirir: kayda geçmemiş bir soru sonradan denetlenemez. </w:t>
      </w:r>
      <w:r>
        <w:rPr>
          <w:rFonts w:ascii="Arial" w:hAnsi="Arial"/>
          <w:b/>
          <w:i w:val="0"/>
          <w:color w:val="1B335F"/>
          <w:sz w:val="17"/>
        </w:rPr>
        <w:t xml:space="preserve">Tuzak (C): </w:t>
      </w:r>
      <w:r>
        <w:rPr>
          <w:rFonts w:ascii="Arial" w:hAnsi="Arial"/>
          <w:b w:val="0"/>
          <w:i w:val="0"/>
          <w:color w:val="141C2B"/>
          <w:sz w:val="17"/>
        </w:rPr>
        <w:t>Olumsuzluğu düşürür; aynı cümleyi bir olanak bildirisine çevirince parçanın savı yok olur.</w:t>
      </w:r>
    </w:p>
    <w:p>
      <w:pPr>
        <w:keepLines/>
        <w:spacing w:before="0" w:after="80" w:line="252" w:lineRule="auto"/>
        <w:ind w:left="0" w:right="0"/>
        <w:jc w:val="both"/>
      </w:pPr>
      <w:r>
        <w:rPr>
          <w:rFonts w:ascii="Arial" w:hAnsi="Arial"/>
          <w:b/>
          <w:i w:val="0"/>
          <w:color w:val="1B335F"/>
          <w:sz w:val="17"/>
        </w:rPr>
        <w:t xml:space="preserve">Q40 — Doğru: E. </w:t>
      </w:r>
      <w:r>
        <w:rPr>
          <w:rFonts w:ascii="Arial" w:hAnsi="Arial"/>
          <w:b w:val="0"/>
          <w:i w:val="0"/>
          <w:color w:val="141C2B"/>
          <w:sz w:val="17"/>
        </w:rPr>
        <w:t xml:space="preserve">Cümlede iki karşıtlık art arda gelir ve ikincisi birincinin sonucudur; çeviri ikisini de aynı yönde taşımalıdır. </w:t>
      </w:r>
      <w:r>
        <w:rPr>
          <w:rFonts w:ascii="Arial" w:hAnsi="Arial"/>
          <w:b/>
          <w:i w:val="0"/>
          <w:color w:val="1B335F"/>
          <w:sz w:val="17"/>
        </w:rPr>
        <w:t xml:space="preserve">Tuzak (D): </w:t>
      </w:r>
      <w:r>
        <w:rPr>
          <w:rFonts w:ascii="Arial" w:hAnsi="Arial"/>
          <w:b w:val="0"/>
          <w:i w:val="0"/>
          <w:color w:val="141C2B"/>
          <w:sz w:val="17"/>
        </w:rPr>
        <w:t>Her iki karşıtlığı birden ters çevirir; yapı aynı kaldığı için değişiklik gözden kaçar.</w:t>
      </w:r>
    </w:p>
    <w:p>
      <w:pPr>
        <w:keepLines/>
        <w:spacing w:before="0" w:after="80" w:line="252" w:lineRule="auto"/>
        <w:ind w:left="0" w:right="0"/>
        <w:jc w:val="both"/>
      </w:pPr>
      <w:r>
        <w:rPr>
          <w:rFonts w:ascii="Arial" w:hAnsi="Arial"/>
          <w:b/>
          <w:i w:val="0"/>
          <w:color w:val="1B335F"/>
          <w:sz w:val="17"/>
        </w:rPr>
        <w:t xml:space="preserve">Q41 — Doğru: A. </w:t>
      </w:r>
      <w:r>
        <w:rPr>
          <w:rFonts w:ascii="Arial" w:hAnsi="Arial"/>
          <w:b w:val="0"/>
          <w:i w:val="0"/>
          <w:color w:val="141C2B"/>
          <w:sz w:val="17"/>
        </w:rPr>
        <w:t xml:space="preserve">'Neredeyse hiçbiri ... değildi' yapısı bir yokluk bildirir; İngilizcede bunu almost none karşılar. </w:t>
      </w:r>
      <w:r>
        <w:rPr>
          <w:rFonts w:ascii="Arial" w:hAnsi="Arial"/>
          <w:b/>
          <w:i w:val="0"/>
          <w:color w:val="1B335F"/>
          <w:sz w:val="17"/>
        </w:rPr>
        <w:t xml:space="preserve">Tuzak (C): </w:t>
      </w:r>
      <w:r>
        <w:rPr>
          <w:rFonts w:ascii="Arial" w:hAnsi="Arial"/>
          <w:b w:val="0"/>
          <w:i w:val="0"/>
          <w:color w:val="141C2B"/>
          <w:sz w:val="17"/>
        </w:rPr>
        <w:t>Niceliği tersine çevirir; almost none ile almost all arasındaki fark cümlenin bütün yükünü taşır.</w:t>
      </w:r>
    </w:p>
    <w:p>
      <w:pPr>
        <w:keepLines/>
        <w:spacing w:before="0" w:after="80" w:line="252" w:lineRule="auto"/>
        <w:ind w:left="0" w:right="0"/>
        <w:jc w:val="both"/>
      </w:pPr>
      <w:r>
        <w:rPr>
          <w:rFonts w:ascii="Arial" w:hAnsi="Arial"/>
          <w:b/>
          <w:i w:val="0"/>
          <w:color w:val="1B335F"/>
          <w:sz w:val="17"/>
        </w:rPr>
        <w:t xml:space="preserve">Q42 — Doğru: C. </w:t>
      </w:r>
      <w:r>
        <w:rPr>
          <w:rFonts w:ascii="Arial" w:hAnsi="Arial"/>
          <w:b w:val="0"/>
          <w:i w:val="0"/>
          <w:color w:val="141C2B"/>
          <w:sz w:val="17"/>
        </w:rPr>
        <w:t xml:space="preserve">Cümlede savunma yükü dilin yerine başka bir dil koyan siyasete aittir; karşılaştırmanın yönü korunmalıdır. </w:t>
      </w:r>
      <w:r>
        <w:rPr>
          <w:rFonts w:ascii="Arial" w:hAnsi="Arial"/>
          <w:b/>
          <w:i w:val="0"/>
          <w:color w:val="1B335F"/>
          <w:sz w:val="17"/>
        </w:rPr>
        <w:t xml:space="preserve">Tuzak (B): </w:t>
      </w:r>
      <w:r>
        <w:rPr>
          <w:rFonts w:ascii="Arial" w:hAnsi="Arial"/>
          <w:b w:val="0"/>
          <w:i w:val="0"/>
          <w:color w:val="141C2B"/>
          <w:sz w:val="17"/>
        </w:rPr>
        <w:t>Karşılaştırmanın iki ucunu değiştirir; hangi siyasetin daha ağır bir gerekçe istediği tersine döner.</w:t>
      </w:r>
    </w:p>
    <w:p>
      <w:pPr>
        <w:keepLines/>
        <w:spacing w:before="0" w:after="80" w:line="252" w:lineRule="auto"/>
        <w:ind w:left="0" w:right="0"/>
        <w:jc w:val="both"/>
      </w:pPr>
      <w:r>
        <w:rPr>
          <w:rFonts w:ascii="Arial" w:hAnsi="Arial"/>
          <w:b/>
          <w:i w:val="0"/>
          <w:color w:val="1B335F"/>
          <w:sz w:val="17"/>
        </w:rPr>
        <w:t xml:space="preserve">Q43 — Doğru: E. </w:t>
      </w:r>
      <w:r>
        <w:rPr>
          <w:rFonts w:ascii="Arial" w:hAnsi="Arial"/>
          <w:b w:val="0"/>
          <w:i w:val="0"/>
          <w:color w:val="141C2B"/>
          <w:sz w:val="17"/>
        </w:rPr>
        <w:t xml:space="preserve">Parça açık oylamanın sunuluş biçimini verir: sahteciliğe karşı bir güvence olarak savunulmuştur. </w:t>
      </w:r>
      <w:r>
        <w:rPr>
          <w:rFonts w:ascii="Arial" w:hAnsi="Arial"/>
          <w:b/>
          <w:i w:val="0"/>
          <w:color w:val="1B335F"/>
          <w:sz w:val="17"/>
        </w:rPr>
        <w:t xml:space="preserve">Tuzak (B): </w:t>
      </w:r>
      <w:r>
        <w:rPr>
          <w:rFonts w:ascii="Arial" w:hAnsi="Arial"/>
          <w:b w:val="0"/>
          <w:i w:val="0"/>
          <w:color w:val="141C2B"/>
          <w:sz w:val="17"/>
        </w:rPr>
        <w:t>Açık oylamanın gerçek sonucunu, savunulma gerekçesi sanır; parça bunu 'tam tersi etki' diye ayırır.</w:t>
      </w:r>
    </w:p>
    <w:p>
      <w:pPr>
        <w:keepLines/>
        <w:spacing w:before="0" w:after="80" w:line="252" w:lineRule="auto"/>
        <w:ind w:left="0" w:right="0"/>
        <w:jc w:val="both"/>
      </w:pPr>
      <w:r>
        <w:rPr>
          <w:rFonts w:ascii="Arial" w:hAnsi="Arial"/>
          <w:b/>
          <w:i w:val="0"/>
          <w:color w:val="1B335F"/>
          <w:sz w:val="17"/>
        </w:rPr>
        <w:t xml:space="preserve">Q44 — Doğru: B. </w:t>
      </w:r>
      <w:r>
        <w:rPr>
          <w:rFonts w:ascii="Arial" w:hAnsi="Arial"/>
          <w:b w:val="0"/>
          <w:i w:val="0"/>
          <w:color w:val="141C2B"/>
          <w:sz w:val="17"/>
        </w:rPr>
        <w:t xml:space="preserve">Parça güçlüğü adlandırır: savunulan şey basit bir yolsuzluk değil, gerçekten benimsenmiş bir dürüstlük ilkesiydi. </w:t>
      </w:r>
      <w:r>
        <w:rPr>
          <w:rFonts w:ascii="Arial" w:hAnsi="Arial"/>
          <w:b/>
          <w:i w:val="0"/>
          <w:color w:val="1B335F"/>
          <w:sz w:val="17"/>
        </w:rPr>
        <w:t xml:space="preserve">Tuzak (E): </w:t>
      </w:r>
      <w:r>
        <w:rPr>
          <w:rFonts w:ascii="Arial" w:hAnsi="Arial"/>
          <w:b w:val="0"/>
          <w:i w:val="0"/>
          <w:color w:val="141C2B"/>
          <w:sz w:val="17"/>
        </w:rPr>
        <w:t>Güçlüğü kanıt sorununa bağlar; parça ise karşı tarafta ilkeli bir sav bulunduğunu söyler.</w:t>
      </w:r>
    </w:p>
    <w:p>
      <w:pPr>
        <w:keepLines/>
        <w:spacing w:before="0" w:after="80" w:line="252" w:lineRule="auto"/>
        <w:ind w:left="0" w:right="0"/>
        <w:jc w:val="both"/>
      </w:pPr>
      <w:r>
        <w:rPr>
          <w:rFonts w:ascii="Arial" w:hAnsi="Arial"/>
          <w:b/>
          <w:i w:val="0"/>
          <w:color w:val="1B335F"/>
          <w:sz w:val="17"/>
        </w:rPr>
        <w:t xml:space="preserve">Q45 — Doğru: D. </w:t>
      </w:r>
      <w:r>
        <w:rPr>
          <w:rFonts w:ascii="Arial" w:hAnsi="Arial"/>
          <w:b w:val="0"/>
          <w:i w:val="0"/>
          <w:color w:val="141C2B"/>
          <w:sz w:val="17"/>
        </w:rPr>
        <w:t xml:space="preserve">Parça sayılan kuralların ortak amacını verir: seçmenin nasıl oy verdiğini kanıtlayamaması. </w:t>
      </w:r>
      <w:r>
        <w:rPr>
          <w:rFonts w:ascii="Arial" w:hAnsi="Arial"/>
          <w:b/>
          <w:i w:val="0"/>
          <w:color w:val="1B335F"/>
          <w:sz w:val="17"/>
        </w:rPr>
        <w:t xml:space="preserve">Tuzak (C): </w:t>
      </w:r>
      <w:r>
        <w:rPr>
          <w:rFonts w:ascii="Arial" w:hAnsi="Arial"/>
          <w:b w:val="0"/>
          <w:i w:val="0"/>
          <w:color w:val="141C2B"/>
          <w:sz w:val="17"/>
        </w:rPr>
        <w:t>Kuralı seçmenin duygularıyla açıklar; parça 'seçmenin duyguları etrafında kurulmamıştır' diyerek bunu dışlar.</w:t>
      </w:r>
    </w:p>
    <w:p>
      <w:pPr>
        <w:keepLines/>
        <w:spacing w:before="0" w:after="80" w:line="252" w:lineRule="auto"/>
        <w:ind w:left="0" w:right="0"/>
        <w:jc w:val="both"/>
      </w:pPr>
      <w:r>
        <w:rPr>
          <w:rFonts w:ascii="Arial" w:hAnsi="Arial"/>
          <w:b/>
          <w:i w:val="0"/>
          <w:color w:val="1B335F"/>
          <w:sz w:val="17"/>
        </w:rPr>
        <w:t xml:space="preserve">Q46 — Doğru: A. </w:t>
      </w:r>
      <w:r>
        <w:rPr>
          <w:rFonts w:ascii="Arial" w:hAnsi="Arial"/>
          <w:b w:val="0"/>
          <w:i w:val="0"/>
          <w:color w:val="141C2B"/>
          <w:sz w:val="17"/>
        </w:rPr>
        <w:t xml:space="preserve">Parça iki şeyi birlikte kurar: kanıtı olanaksız kılma mantığı ve gizliliğin vazgeçilemez bir ödeve dönüşmesi. </w:t>
      </w:r>
      <w:r>
        <w:rPr>
          <w:rFonts w:ascii="Arial" w:hAnsi="Arial"/>
          <w:b/>
          <w:i w:val="0"/>
          <w:color w:val="1B335F"/>
          <w:sz w:val="17"/>
        </w:rPr>
        <w:t xml:space="preserve">Tuzak (E): </w:t>
      </w:r>
      <w:r>
        <w:rPr>
          <w:rFonts w:ascii="Arial" w:hAnsi="Arial"/>
          <w:b w:val="0"/>
          <w:i w:val="0"/>
          <w:color w:val="141C2B"/>
          <w:sz w:val="17"/>
        </w:rPr>
        <w:t>Parçadaki örnekleri ana fikir yerine koyar; baskı, savın kendisi değil, dayanağıdır.</w:t>
      </w:r>
    </w:p>
    <w:p>
      <w:pPr>
        <w:keepLines/>
        <w:spacing w:before="0" w:after="80" w:line="252" w:lineRule="auto"/>
        <w:ind w:left="0" w:right="0"/>
        <w:jc w:val="both"/>
      </w:pPr>
      <w:r>
        <w:rPr>
          <w:rFonts w:ascii="Arial" w:hAnsi="Arial"/>
          <w:b/>
          <w:i w:val="0"/>
          <w:color w:val="1B335F"/>
          <w:sz w:val="17"/>
        </w:rPr>
        <w:t xml:space="preserve">Q47 — Doğru: D. </w:t>
      </w:r>
      <w:r>
        <w:rPr>
          <w:rFonts w:ascii="Arial" w:hAnsi="Arial"/>
          <w:b w:val="0"/>
          <w:i w:val="0"/>
          <w:color w:val="141C2B"/>
          <w:sz w:val="17"/>
        </w:rPr>
        <w:t xml:space="preserve">Parça alıcının korumasını satıcının varlığına bağlar; sanayi üretimi tam da bu varlığı ortadan kaldırmıştır. </w:t>
      </w:r>
      <w:r>
        <w:rPr>
          <w:rFonts w:ascii="Arial" w:hAnsi="Arial"/>
          <w:b/>
          <w:i w:val="0"/>
          <w:color w:val="1B335F"/>
          <w:sz w:val="17"/>
        </w:rPr>
        <w:t xml:space="preserve">Tuzak (A): </w:t>
      </w:r>
      <w:r>
        <w:rPr>
          <w:rFonts w:ascii="Arial" w:hAnsi="Arial"/>
          <w:b w:val="0"/>
          <w:i w:val="0"/>
          <w:color w:val="141C2B"/>
          <w:sz w:val="17"/>
        </w:rPr>
        <w:t>Kaybı muayene becerisine bağlar; parçada korumanın kaynağı muayene değil, sorumlunun bulunabilmesidir.</w:t>
      </w:r>
    </w:p>
    <w:p>
      <w:pPr>
        <w:keepLines/>
        <w:spacing w:before="0" w:after="80" w:line="252" w:lineRule="auto"/>
        <w:ind w:left="0" w:right="0"/>
        <w:jc w:val="both"/>
      </w:pPr>
      <w:r>
        <w:rPr>
          <w:rFonts w:ascii="Arial" w:hAnsi="Arial"/>
          <w:b/>
          <w:i w:val="0"/>
          <w:color w:val="1B335F"/>
          <w:sz w:val="17"/>
        </w:rPr>
        <w:t xml:space="preserve">Q48 — Doğru: E. </w:t>
      </w:r>
      <w:r>
        <w:rPr>
          <w:rFonts w:ascii="Arial" w:hAnsi="Arial"/>
          <w:b w:val="0"/>
          <w:i w:val="0"/>
          <w:color w:val="141C2B"/>
          <w:sz w:val="17"/>
        </w:rPr>
        <w:t xml:space="preserve">Parça bunu doğrudan yazar: marka içeriğin iyi olduğunu söylemez, kimin sorumlu olduğunu söyler. </w:t>
      </w:r>
      <w:r>
        <w:rPr>
          <w:rFonts w:ascii="Arial" w:hAnsi="Arial"/>
          <w:b/>
          <w:i w:val="0"/>
          <w:color w:val="1B335F"/>
          <w:sz w:val="17"/>
        </w:rPr>
        <w:t xml:space="preserve">Tuzak (C): </w:t>
      </w:r>
      <w:r>
        <w:rPr>
          <w:rFonts w:ascii="Arial" w:hAnsi="Arial"/>
          <w:b w:val="0"/>
          <w:i w:val="0"/>
          <w:color w:val="141C2B"/>
          <w:sz w:val="17"/>
        </w:rPr>
        <w:t>İki işlevi değiştirir; markanın kalite güvencesi sayılması parçanın düzelttiği yaygın yanılgıdır.</w:t>
      </w:r>
    </w:p>
    <w:p>
      <w:pPr>
        <w:keepLines/>
        <w:spacing w:before="0" w:after="80" w:line="252" w:lineRule="auto"/>
        <w:ind w:left="0" w:right="0"/>
        <w:jc w:val="both"/>
      </w:pPr>
      <w:r>
        <w:rPr>
          <w:rFonts w:ascii="Arial" w:hAnsi="Arial"/>
          <w:b/>
          <w:i w:val="0"/>
          <w:color w:val="1B335F"/>
          <w:sz w:val="17"/>
        </w:rPr>
        <w:t xml:space="preserve">Q49 — Doğru: B. </w:t>
      </w:r>
      <w:r>
        <w:rPr>
          <w:rFonts w:ascii="Arial" w:hAnsi="Arial"/>
          <w:b w:val="0"/>
          <w:i w:val="0"/>
          <w:color w:val="141C2B"/>
          <w:sz w:val="17"/>
        </w:rPr>
        <w:t xml:space="preserve">Yasanın kökenindeki amaç halkın yanıltılmasını önlemektir; sulandırma ise kimsenin yanılmadığı yerde işler. </w:t>
      </w:r>
      <w:r>
        <w:rPr>
          <w:rFonts w:ascii="Arial" w:hAnsi="Arial"/>
          <w:b/>
          <w:i w:val="0"/>
          <w:color w:val="1B335F"/>
          <w:sz w:val="17"/>
        </w:rPr>
        <w:t xml:space="preserve">Tuzak (E): </w:t>
      </w:r>
      <w:r>
        <w:rPr>
          <w:rFonts w:ascii="Arial" w:hAnsi="Arial"/>
          <w:b w:val="0"/>
          <w:i w:val="0"/>
          <w:color w:val="141C2B"/>
          <w:sz w:val="17"/>
        </w:rPr>
        <w:t>Güçlüğü itibarsız üreticilere bağlar; parçanın sorunu korunanın kim olduğu değil, ortada yanıltılan bir alıcının bulunmayışıdır.</w:t>
      </w:r>
    </w:p>
    <w:p>
      <w:pPr>
        <w:keepLines/>
        <w:spacing w:before="0" w:after="80" w:line="252" w:lineRule="auto"/>
        <w:ind w:left="0" w:right="0"/>
        <w:jc w:val="both"/>
      </w:pPr>
      <w:r>
        <w:rPr>
          <w:rFonts w:ascii="Arial" w:hAnsi="Arial"/>
          <w:b/>
          <w:i w:val="0"/>
          <w:color w:val="1B335F"/>
          <w:sz w:val="17"/>
        </w:rPr>
        <w:t xml:space="preserve">Q50 — Doğru: C. </w:t>
      </w:r>
      <w:r>
        <w:rPr>
          <w:rFonts w:ascii="Arial" w:hAnsi="Arial"/>
          <w:b w:val="0"/>
          <w:i w:val="0"/>
          <w:color w:val="141C2B"/>
          <w:sz w:val="17"/>
        </w:rPr>
        <w:t xml:space="preserve">Parça yasanın kökenini ve bugünkü gerekçesini karşılaştırır ve ikisinin artık her zaman örtüşmediğini söyler. </w:t>
      </w:r>
      <w:r>
        <w:rPr>
          <w:rFonts w:ascii="Arial" w:hAnsi="Arial"/>
          <w:b/>
          <w:i w:val="0"/>
          <w:color w:val="1B335F"/>
          <w:sz w:val="17"/>
        </w:rPr>
        <w:t xml:space="preserve">Tuzak (A): </w:t>
      </w:r>
      <w:r>
        <w:rPr>
          <w:rFonts w:ascii="Arial" w:hAnsi="Arial"/>
          <w:b w:val="0"/>
          <w:i w:val="0"/>
          <w:color w:val="141C2B"/>
          <w:sz w:val="17"/>
        </w:rPr>
        <w:t>Parçanın vermediği sonuca atlar: metin bazı yeni doktrinlerin gerekli olduğunu açıkça kabul eder.</w:t>
      </w:r>
    </w:p>
    <w:p>
      <w:pPr>
        <w:keepLines/>
        <w:spacing w:before="0" w:after="80" w:line="252" w:lineRule="auto"/>
        <w:ind w:left="0" w:right="0"/>
        <w:jc w:val="both"/>
      </w:pPr>
      <w:r>
        <w:rPr>
          <w:rFonts w:ascii="Arial" w:hAnsi="Arial"/>
          <w:b/>
          <w:i w:val="0"/>
          <w:color w:val="1B335F"/>
          <w:sz w:val="17"/>
        </w:rPr>
        <w:t xml:space="preserve">Q51 — Doğru: D. </w:t>
      </w:r>
      <w:r>
        <w:rPr>
          <w:rFonts w:ascii="Arial" w:hAnsi="Arial"/>
          <w:b w:val="0"/>
          <w:i w:val="0"/>
          <w:color w:val="141C2B"/>
          <w:sz w:val="17"/>
        </w:rPr>
        <w:t xml:space="preserve">Parça ayrımı açıkça kurar: bilgi nesnelerde değil, nesnelerin düzeninde, yani katman ve ilişkilerdedir. </w:t>
      </w:r>
      <w:r>
        <w:rPr>
          <w:rFonts w:ascii="Arial" w:hAnsi="Arial"/>
          <w:b/>
          <w:i w:val="0"/>
          <w:color w:val="1B335F"/>
          <w:sz w:val="17"/>
        </w:rPr>
        <w:t xml:space="preserve">Tuzak (B): </w:t>
      </w:r>
      <w:r>
        <w:rPr>
          <w:rFonts w:ascii="Arial" w:hAnsi="Arial"/>
          <w:b w:val="0"/>
          <w:i w:val="0"/>
          <w:color w:val="141C2B"/>
          <w:sz w:val="17"/>
        </w:rPr>
        <w:t>Nesneleri bilginin kendisi sanır; parça bunları bağlamından koparılmış kalıntılar olarak anar.</w:t>
      </w:r>
    </w:p>
    <w:p>
      <w:pPr>
        <w:keepLines/>
        <w:spacing w:before="0" w:after="80" w:line="252" w:lineRule="auto"/>
        <w:ind w:left="0" w:right="0"/>
        <w:jc w:val="both"/>
      </w:pPr>
      <w:r>
        <w:rPr>
          <w:rFonts w:ascii="Arial" w:hAnsi="Arial"/>
          <w:b/>
          <w:i w:val="0"/>
          <w:color w:val="1B335F"/>
          <w:sz w:val="17"/>
        </w:rPr>
        <w:t xml:space="preserve">Q52 — Doğru: C. </w:t>
      </w:r>
      <w:r>
        <w:rPr>
          <w:rFonts w:ascii="Arial" w:hAnsi="Arial"/>
          <w:b w:val="0"/>
          <w:i w:val="0"/>
          <w:color w:val="141C2B"/>
          <w:sz w:val="17"/>
        </w:rPr>
        <w:t xml:space="preserve">Parça gerekçeyi açıkça verir ve bunun daha önce birden çok kez doğrulandığını ekler. </w:t>
      </w:r>
      <w:r>
        <w:rPr>
          <w:rFonts w:ascii="Arial" w:hAnsi="Arial"/>
          <w:b/>
          <w:i w:val="0"/>
          <w:color w:val="1B335F"/>
          <w:sz w:val="17"/>
        </w:rPr>
        <w:t xml:space="preserve">Tuzak (B): </w:t>
      </w:r>
      <w:r>
        <w:rPr>
          <w:rFonts w:ascii="Arial" w:hAnsi="Arial"/>
          <w:b w:val="0"/>
          <w:i w:val="0"/>
          <w:color w:val="141C2B"/>
          <w:sz w:val="17"/>
        </w:rPr>
        <w:t>Bilinçli bir araştırma kararını bir kaynak sıkıntısına indirger; parça kararı yöntem beklentisine bağlar.</w:t>
      </w:r>
    </w:p>
    <w:p>
      <w:pPr>
        <w:keepLines/>
        <w:spacing w:before="0" w:after="80" w:line="252" w:lineRule="auto"/>
        <w:ind w:left="0" w:right="0"/>
        <w:jc w:val="both"/>
      </w:pPr>
      <w:r>
        <w:rPr>
          <w:rFonts w:ascii="Arial" w:hAnsi="Arial"/>
          <w:b/>
          <w:i w:val="0"/>
          <w:color w:val="1B335F"/>
          <w:sz w:val="17"/>
        </w:rPr>
        <w:t xml:space="preserve">Q53 — Doğru: B. </w:t>
      </w:r>
      <w:r>
        <w:rPr>
          <w:rFonts w:ascii="Arial" w:hAnsi="Arial"/>
          <w:b w:val="0"/>
          <w:i w:val="0"/>
          <w:color w:val="141C2B"/>
          <w:sz w:val="17"/>
        </w:rPr>
        <w:t xml:space="preserve">Parça kaybı tanımlar: nesneler duruyor ama bağlamdan geriye tek bir defterde yazılanlar kalmıştır. </w:t>
      </w:r>
      <w:r>
        <w:rPr>
          <w:rFonts w:ascii="Arial" w:hAnsi="Arial"/>
          <w:b/>
          <w:i w:val="0"/>
          <w:color w:val="1B335F"/>
          <w:sz w:val="17"/>
        </w:rPr>
        <w:t xml:space="preserve">Tuzak (D): </w:t>
      </w:r>
      <w:r>
        <w:rPr>
          <w:rFonts w:ascii="Arial" w:hAnsi="Arial"/>
          <w:b w:val="0"/>
          <w:i w:val="0"/>
          <w:color w:val="141C2B"/>
          <w:sz w:val="17"/>
        </w:rPr>
        <w:t>Kaybı nesnelere taşır; oysa parça nesnelerin müze vitrinlerinde durduğunu söyler.</w:t>
      </w:r>
    </w:p>
    <w:p>
      <w:pPr>
        <w:keepLines/>
        <w:spacing w:before="0" w:after="80" w:line="252" w:lineRule="auto"/>
        <w:ind w:left="0" w:right="0"/>
        <w:jc w:val="both"/>
      </w:pPr>
      <w:r>
        <w:rPr>
          <w:rFonts w:ascii="Arial" w:hAnsi="Arial"/>
          <w:b/>
          <w:i w:val="0"/>
          <w:color w:val="1B335F"/>
          <w:sz w:val="17"/>
        </w:rPr>
        <w:t xml:space="preserve">Q54 — Doğru: E. </w:t>
      </w:r>
      <w:r>
        <w:rPr>
          <w:rFonts w:ascii="Arial" w:hAnsi="Arial"/>
          <w:b w:val="0"/>
          <w:i w:val="0"/>
          <w:color w:val="141C2B"/>
          <w:sz w:val="17"/>
        </w:rPr>
        <w:t xml:space="preserve">Parça geri alınamazlıktan yola çıkar ve iki sonucu türetir: kayıt saplantısı ve kazmama kararı. </w:t>
      </w:r>
      <w:r>
        <w:rPr>
          <w:rFonts w:ascii="Arial" w:hAnsi="Arial"/>
          <w:b/>
          <w:i w:val="0"/>
          <w:color w:val="1B335F"/>
          <w:sz w:val="17"/>
        </w:rPr>
        <w:t xml:space="preserve">Tuzak (A): </w:t>
      </w:r>
      <w:r>
        <w:rPr>
          <w:rFonts w:ascii="Arial" w:hAnsi="Arial"/>
          <w:b w:val="0"/>
          <w:i w:val="0"/>
          <w:color w:val="141C2B"/>
          <w:sz w:val="17"/>
        </w:rPr>
        <w:t>Parçanın olanaksız dediği şeyi önerir: kazılmış bir yer yeniden kazılamaz, çünkü artık yerinde değildir.</w:t>
      </w:r>
    </w:p>
    <w:p>
      <w:pPr>
        <w:keepLines/>
        <w:spacing w:before="0" w:after="80" w:line="252" w:lineRule="auto"/>
        <w:ind w:left="0" w:right="0"/>
        <w:jc w:val="both"/>
      </w:pPr>
      <w:r>
        <w:rPr>
          <w:rFonts w:ascii="Arial" w:hAnsi="Arial"/>
          <w:b/>
          <w:i w:val="0"/>
          <w:color w:val="1B335F"/>
          <w:sz w:val="17"/>
        </w:rPr>
        <w:t xml:space="preserve">Q55 — Doğru: A. </w:t>
      </w:r>
      <w:r>
        <w:rPr>
          <w:rFonts w:ascii="Arial" w:hAnsi="Arial"/>
          <w:b w:val="0"/>
          <w:i w:val="0"/>
          <w:color w:val="141C2B"/>
          <w:sz w:val="17"/>
        </w:rPr>
        <w:t xml:space="preserve">Parça mekanizmayı yazar: söylenti fiyatı ikiye katlar ve işçi son çuval satılmadan çok önce piyasanın dışına düşer. </w:t>
      </w:r>
      <w:r>
        <w:rPr>
          <w:rFonts w:ascii="Arial" w:hAnsi="Arial"/>
          <w:b/>
          <w:i w:val="0"/>
          <w:color w:val="1B335F"/>
          <w:sz w:val="17"/>
        </w:rPr>
        <w:t xml:space="preserve">Tuzak (E): </w:t>
      </w:r>
      <w:r>
        <w:rPr>
          <w:rFonts w:ascii="Arial" w:hAnsi="Arial"/>
          <w:b w:val="0"/>
          <w:i w:val="0"/>
          <w:color w:val="141C2B"/>
          <w:sz w:val="17"/>
        </w:rPr>
        <w:t>Sorunu fiziksel tükenmeye bağlar; parçanın vurgusu malın bitmesi değil, fiyatın erişilemez olmasıdır.</w:t>
      </w:r>
    </w:p>
    <w:p>
      <w:pPr>
        <w:keepLines/>
        <w:spacing w:before="0" w:after="80" w:line="252" w:lineRule="auto"/>
        <w:ind w:left="0" w:right="0"/>
        <w:jc w:val="both"/>
      </w:pPr>
      <w:r>
        <w:rPr>
          <w:rFonts w:ascii="Arial" w:hAnsi="Arial"/>
          <w:b/>
          <w:i w:val="0"/>
          <w:color w:val="1B335F"/>
          <w:sz w:val="17"/>
        </w:rPr>
        <w:t xml:space="preserve">Q56 — Doğru: C. </w:t>
      </w:r>
      <w:r>
        <w:rPr>
          <w:rFonts w:ascii="Arial" w:hAnsi="Arial"/>
          <w:b w:val="0"/>
          <w:i w:val="0"/>
          <w:color w:val="141C2B"/>
          <w:sz w:val="17"/>
        </w:rPr>
        <w:t xml:space="preserve">Parça bulgunun kendisini verir: bölgede herkesi doyuracak kadar yiyecek vardı, hatta dışarı satılıyordu. </w:t>
      </w:r>
      <w:r>
        <w:rPr>
          <w:rFonts w:ascii="Arial" w:hAnsi="Arial"/>
          <w:b/>
          <w:i w:val="0"/>
          <w:color w:val="1B335F"/>
          <w:sz w:val="17"/>
        </w:rPr>
        <w:t xml:space="preserve">Tuzak (E): </w:t>
      </w:r>
      <w:r>
        <w:rPr>
          <w:rFonts w:ascii="Arial" w:hAnsi="Arial"/>
          <w:b w:val="0"/>
          <w:i w:val="0"/>
          <w:color w:val="141C2B"/>
          <w:sz w:val="17"/>
        </w:rPr>
        <w:t>Sağduyunun beklediği bulguyu seçer; parça tam da bu beklentinin yanlış olduğunu göstermek için yazılmıştır.</w:t>
      </w:r>
    </w:p>
    <w:p>
      <w:pPr>
        <w:keepLines/>
        <w:spacing w:before="0" w:after="80" w:line="252" w:lineRule="auto"/>
        <w:ind w:left="0" w:right="0"/>
        <w:jc w:val="both"/>
      </w:pPr>
      <w:r>
        <w:rPr>
          <w:rFonts w:ascii="Arial" w:hAnsi="Arial"/>
          <w:b/>
          <w:i w:val="0"/>
          <w:color w:val="1B335F"/>
          <w:sz w:val="17"/>
        </w:rPr>
        <w:t xml:space="preserve">Q57 — Doğru: A. </w:t>
      </w:r>
      <w:r>
        <w:rPr>
          <w:rFonts w:ascii="Arial" w:hAnsi="Arial"/>
          <w:b w:val="0"/>
          <w:i w:val="0"/>
          <w:color w:val="141C2B"/>
          <w:sz w:val="17"/>
        </w:rPr>
        <w:t xml:space="preserve">Sorun alım gücü olduğuna göre çözüm de alım gücünü geri vermektir; bayındırlık işleri parayı doğrudan o ellere koyar. </w:t>
      </w:r>
      <w:r>
        <w:rPr>
          <w:rFonts w:ascii="Arial" w:hAnsi="Arial"/>
          <w:b/>
          <w:i w:val="0"/>
          <w:color w:val="1B335F"/>
          <w:sz w:val="17"/>
        </w:rPr>
        <w:t xml:space="preserve">Tuzak (D): </w:t>
      </w:r>
      <w:r>
        <w:rPr>
          <w:rFonts w:ascii="Arial" w:hAnsi="Arial"/>
          <w:b w:val="0"/>
          <w:i w:val="0"/>
          <w:color w:val="141C2B"/>
          <w:sz w:val="17"/>
        </w:rPr>
        <w:t>Çözümü arza bağlar; parçaya göre yiyecek zaten bölgededir ve getirilecek bir şey yoktur.</w:t>
      </w:r>
    </w:p>
    <w:p>
      <w:pPr>
        <w:keepLines/>
        <w:spacing w:before="0" w:after="80" w:line="252" w:lineRule="auto"/>
        <w:ind w:left="0" w:right="0"/>
        <w:jc w:val="both"/>
      </w:pPr>
      <w:r>
        <w:rPr>
          <w:rFonts w:ascii="Arial" w:hAnsi="Arial"/>
          <w:b/>
          <w:i w:val="0"/>
          <w:color w:val="1B335F"/>
          <w:sz w:val="17"/>
        </w:rPr>
        <w:t xml:space="preserve">Q58 — Doğru: D. </w:t>
      </w:r>
      <w:r>
        <w:rPr>
          <w:rFonts w:ascii="Arial" w:hAnsi="Arial"/>
          <w:b w:val="0"/>
          <w:i w:val="0"/>
          <w:color w:val="141C2B"/>
          <w:sz w:val="17"/>
        </w:rPr>
        <w:t xml:space="preserve">Parça önce yaygın açıklamayı çürütür, sonra doğru teşhisin pratikte ne anlama geldiğini gösterir. </w:t>
      </w:r>
      <w:r>
        <w:rPr>
          <w:rFonts w:ascii="Arial" w:hAnsi="Arial"/>
          <w:b/>
          <w:i w:val="0"/>
          <w:color w:val="1B335F"/>
          <w:sz w:val="17"/>
        </w:rPr>
        <w:t xml:space="preserve">Tuzak (E): </w:t>
      </w:r>
      <w:r>
        <w:rPr>
          <w:rFonts w:ascii="Arial" w:hAnsi="Arial"/>
          <w:b w:val="0"/>
          <w:i w:val="0"/>
          <w:color w:val="141C2B"/>
          <w:sz w:val="17"/>
        </w:rPr>
        <w:t>Parçadaki bir ayrıntıdan politika önerisi üretir; metin ihracat yasağı önermez, teşhisi düzeltir.</w:t>
      </w:r>
    </w:p>
    <w:p>
      <w:pPr>
        <w:keepLines/>
        <w:spacing w:before="0" w:after="80" w:line="252" w:lineRule="auto"/>
        <w:ind w:left="0" w:right="0"/>
        <w:jc w:val="both"/>
      </w:pPr>
      <w:r>
        <w:rPr>
          <w:rFonts w:ascii="Arial" w:hAnsi="Arial"/>
          <w:b/>
          <w:i w:val="0"/>
          <w:color w:val="1B335F"/>
          <w:sz w:val="17"/>
        </w:rPr>
        <w:t xml:space="preserve">Q59 — Doğru: E. </w:t>
      </w:r>
      <w:r>
        <w:rPr>
          <w:rFonts w:ascii="Arial" w:hAnsi="Arial"/>
          <w:b w:val="0"/>
          <w:i w:val="0"/>
          <w:color w:val="141C2B"/>
          <w:sz w:val="17"/>
        </w:rPr>
        <w:t xml:space="preserve">Parça kararı birebir aktarır: konuşma yeğlenecek ve ikisi birleştirilmeyecekti. </w:t>
      </w:r>
      <w:r>
        <w:rPr>
          <w:rFonts w:ascii="Arial" w:hAnsi="Arial"/>
          <w:b/>
          <w:i w:val="0"/>
          <w:color w:val="1B335F"/>
          <w:sz w:val="17"/>
        </w:rPr>
        <w:t xml:space="preserve">Tuzak (B): </w:t>
      </w:r>
      <w:r>
        <w:rPr>
          <w:rFonts w:ascii="Arial" w:hAnsi="Arial"/>
          <w:b w:val="0"/>
          <w:i w:val="0"/>
          <w:color w:val="141C2B"/>
          <w:sz w:val="17"/>
        </w:rPr>
        <w:t>Kararı bir uzlaşma gibi okur; oysa metnin vurgusu ikisinin birleştirilmesinin de yasaklanmış olmasıdır.</w:t>
      </w:r>
    </w:p>
    <w:p>
      <w:pPr>
        <w:keepLines/>
        <w:spacing w:before="0" w:after="80" w:line="252" w:lineRule="auto"/>
        <w:ind w:left="0" w:right="0"/>
        <w:jc w:val="both"/>
      </w:pPr>
      <w:r>
        <w:rPr>
          <w:rFonts w:ascii="Arial" w:hAnsi="Arial"/>
          <w:b/>
          <w:i w:val="0"/>
          <w:color w:val="1B335F"/>
          <w:sz w:val="17"/>
        </w:rPr>
        <w:t xml:space="preserve">Q60 — Doğru: B. </w:t>
      </w:r>
      <w:r>
        <w:rPr>
          <w:rFonts w:ascii="Arial" w:hAnsi="Arial"/>
          <w:b w:val="0"/>
          <w:i w:val="0"/>
          <w:color w:val="141C2B"/>
          <w:sz w:val="17"/>
        </w:rPr>
        <w:t xml:space="preserve">Parça hayatta kalmanın yolunu verir: yatakhanelerde ve oyun alanlarında, görevlilerin görmediği yerde çocuktan çocuğa. </w:t>
      </w:r>
      <w:r>
        <w:rPr>
          <w:rFonts w:ascii="Arial" w:hAnsi="Arial"/>
          <w:b/>
          <w:i w:val="0"/>
          <w:color w:val="1B335F"/>
          <w:sz w:val="17"/>
        </w:rPr>
        <w:t xml:space="preserve">Tuzak (E): </w:t>
      </w:r>
      <w:r>
        <w:rPr>
          <w:rFonts w:ascii="Arial" w:hAnsi="Arial"/>
          <w:b w:val="0"/>
          <w:i w:val="0"/>
          <w:color w:val="141C2B"/>
          <w:sz w:val="17"/>
        </w:rPr>
        <w:t>Parçanın tersini söyler: sağır öğretmenler okullardan uzaklaştırılmıştır.</w:t>
      </w:r>
    </w:p>
    <w:p>
      <w:pPr>
        <w:keepLines/>
        <w:spacing w:before="0" w:after="80" w:line="252" w:lineRule="auto"/>
        <w:ind w:left="0" w:right="0"/>
        <w:jc w:val="both"/>
      </w:pPr>
      <w:r>
        <w:rPr>
          <w:rFonts w:ascii="Arial" w:hAnsi="Arial"/>
          <w:b/>
          <w:i w:val="0"/>
          <w:color w:val="1B335F"/>
          <w:sz w:val="17"/>
        </w:rPr>
        <w:t xml:space="preserve">Q61 — Doğru: E. </w:t>
      </w:r>
      <w:r>
        <w:rPr>
          <w:rFonts w:ascii="Arial" w:hAnsi="Arial"/>
          <w:b w:val="0"/>
          <w:i w:val="0"/>
          <w:color w:val="141C2B"/>
          <w:sz w:val="17"/>
        </w:rPr>
        <w:t xml:space="preserve">Parça bulguyu böyle tanımlar: işaret edenlerin hep söylediği, yetkililerin ise sınamaya değer bulmadığı şey kanıtlanmıştır. </w:t>
      </w:r>
      <w:r>
        <w:rPr>
          <w:rFonts w:ascii="Arial" w:hAnsi="Arial"/>
          <w:b/>
          <w:i w:val="0"/>
          <w:color w:val="1B335F"/>
          <w:sz w:val="17"/>
        </w:rPr>
        <w:t xml:space="preserve">Tuzak (D): </w:t>
      </w:r>
      <w:r>
        <w:rPr>
          <w:rFonts w:ascii="Arial" w:hAnsi="Arial"/>
          <w:b w:val="0"/>
          <w:i w:val="0"/>
          <w:color w:val="141C2B"/>
          <w:sz w:val="17"/>
        </w:rPr>
        <w:t>Dilbilim çalışmasını bir öğretim yöntemiyle karıştırır; parçada sözü edilen şey bir kanıt, bir yöntem değil.</w:t>
      </w:r>
    </w:p>
    <w:p>
      <w:pPr>
        <w:keepLines/>
        <w:spacing w:before="0" w:after="80" w:line="252" w:lineRule="auto"/>
        <w:ind w:left="0" w:right="0"/>
        <w:jc w:val="both"/>
      </w:pPr>
      <w:r>
        <w:rPr>
          <w:rFonts w:ascii="Arial" w:hAnsi="Arial"/>
          <w:b/>
          <w:i w:val="0"/>
          <w:color w:val="1B335F"/>
          <w:sz w:val="17"/>
        </w:rPr>
        <w:t xml:space="preserve">Q62 — Doğru: C. </w:t>
      </w:r>
      <w:r>
        <w:rPr>
          <w:rFonts w:ascii="Arial" w:hAnsi="Arial"/>
          <w:b w:val="0"/>
          <w:i w:val="0"/>
          <w:color w:val="141C2B"/>
          <w:sz w:val="17"/>
        </w:rPr>
        <w:t xml:space="preserve">Parça üç adımı izler: yasak, ölçülen başarısızlık ve dilbilimsel kanıtla gelen dönüş. </w:t>
      </w:r>
      <w:r>
        <w:rPr>
          <w:rFonts w:ascii="Arial" w:hAnsi="Arial"/>
          <w:b/>
          <w:i w:val="0"/>
          <w:color w:val="1B335F"/>
          <w:sz w:val="17"/>
        </w:rPr>
        <w:t xml:space="preserve">Tuzak (B): </w:t>
      </w:r>
      <w:r>
        <w:rPr>
          <w:rFonts w:ascii="Arial" w:hAnsi="Arial"/>
          <w:b w:val="0"/>
          <w:i w:val="0"/>
          <w:color w:val="141C2B"/>
          <w:sz w:val="17"/>
        </w:rPr>
        <w:t>Parçanın vermediği bir öğretim önerisine atlar; metin ne yapılması gerektiğini değil, zeminin nasıl değiştiğini anlatır.</w:t>
      </w:r>
    </w:p>
    <w:p>
      <w:pPr>
        <w:keepLines/>
        <w:spacing w:before="0" w:after="80" w:line="252" w:lineRule="auto"/>
        <w:ind w:left="0" w:right="0"/>
        <w:jc w:val="both"/>
      </w:pPr>
      <w:r>
        <w:rPr>
          <w:rFonts w:ascii="Arial" w:hAnsi="Arial"/>
          <w:b/>
          <w:i w:val="0"/>
          <w:color w:val="1B335F"/>
          <w:sz w:val="17"/>
        </w:rPr>
        <w:t xml:space="preserve">Q63 — Doğru: D. </w:t>
      </w:r>
      <w:r>
        <w:rPr>
          <w:rFonts w:ascii="Arial" w:hAnsi="Arial"/>
          <w:b w:val="0"/>
          <w:i w:val="0"/>
          <w:color w:val="141C2B"/>
          <w:sz w:val="17"/>
        </w:rPr>
        <w:t xml:space="preserve">Yanıt 'o zaman satabilir' diye başlar ve kanıt üretebilen bir seçmenin başına geleni anlatır; boşluk bu durumu sormalıdır. </w:t>
      </w:r>
      <w:r>
        <w:rPr>
          <w:rFonts w:ascii="Arial" w:hAnsi="Arial"/>
          <w:b/>
          <w:i w:val="0"/>
          <w:color w:val="1B335F"/>
          <w:sz w:val="17"/>
        </w:rPr>
        <w:t xml:space="preserve">Tuzak (C): </w:t>
      </w:r>
      <w:r>
        <w:rPr>
          <w:rFonts w:ascii="Arial" w:hAnsi="Arial"/>
          <w:b w:val="0"/>
          <w:i w:val="0"/>
          <w:color w:val="141C2B"/>
          <w:sz w:val="17"/>
        </w:rPr>
        <w:t>Mahremiyet sorusu konuyla ilgilidir ama görevli bir önceki replikte mahremiyeti yan ürün sayıp konuyu kanıta çevirmiştir.</w:t>
      </w:r>
    </w:p>
    <w:p>
      <w:pPr>
        <w:keepLines/>
        <w:spacing w:before="0" w:after="80" w:line="252" w:lineRule="auto"/>
        <w:ind w:left="0" w:right="0"/>
        <w:jc w:val="both"/>
      </w:pPr>
      <w:r>
        <w:rPr>
          <w:rFonts w:ascii="Arial" w:hAnsi="Arial"/>
          <w:b/>
          <w:i w:val="0"/>
          <w:color w:val="1B335F"/>
          <w:sz w:val="17"/>
        </w:rPr>
        <w:t xml:space="preserve">Q64 — Doğru: B. </w:t>
      </w:r>
      <w:r>
        <w:rPr>
          <w:rFonts w:ascii="Arial" w:hAnsi="Arial"/>
          <w:b w:val="0"/>
          <w:i w:val="0"/>
          <w:color w:val="141C2B"/>
          <w:sz w:val="17"/>
        </w:rPr>
        <w:t xml:space="preserve">Yanıt 'Because it was never meant to be one' der; boşluktaki soru markanın bir mülk olmadığı yargısını içermelidir. </w:t>
      </w:r>
      <w:r>
        <w:rPr>
          <w:rFonts w:ascii="Arial" w:hAnsi="Arial"/>
          <w:b/>
          <w:i w:val="0"/>
          <w:color w:val="1B335F"/>
          <w:sz w:val="17"/>
        </w:rPr>
        <w:t xml:space="preserve">Tuzak (A): </w:t>
      </w:r>
      <w:r>
        <w:rPr>
          <w:rFonts w:ascii="Arial" w:hAnsi="Arial"/>
          <w:b w:val="0"/>
          <w:i w:val="0"/>
          <w:color w:val="141C2B"/>
          <w:sz w:val="17"/>
        </w:rPr>
        <w:t>Maliyeti sorar; yanıtın tamamı ise markanın hukuki doğasıyla ilgilidir, müvekkillerin harcamasıyla değil.</w:t>
      </w:r>
    </w:p>
    <w:p>
      <w:pPr>
        <w:keepLines/>
        <w:spacing w:before="0" w:after="80" w:line="252" w:lineRule="auto"/>
        <w:ind w:left="0" w:right="0"/>
        <w:jc w:val="both"/>
      </w:pPr>
      <w:r>
        <w:rPr>
          <w:rFonts w:ascii="Arial" w:hAnsi="Arial"/>
          <w:b/>
          <w:i w:val="0"/>
          <w:color w:val="1B335F"/>
          <w:sz w:val="17"/>
        </w:rPr>
        <w:t xml:space="preserve">Q65 — Doğru: A. </w:t>
      </w:r>
      <w:r>
        <w:rPr>
          <w:rFonts w:ascii="Arial" w:hAnsi="Arial"/>
          <w:b w:val="0"/>
          <w:i w:val="0"/>
          <w:color w:val="141C2B"/>
          <w:sz w:val="17"/>
        </w:rPr>
        <w:t xml:space="preserve">Arkeolog az kazmayı savunmaktadır; yanıt fon verenlerin itirazını kabul edip gerekçesini, yani geri alınamazlığı vermelidir. </w:t>
      </w:r>
      <w:r>
        <w:rPr>
          <w:rFonts w:ascii="Arial" w:hAnsi="Arial"/>
          <w:b/>
          <w:i w:val="0"/>
          <w:color w:val="1B335F"/>
          <w:sz w:val="17"/>
        </w:rPr>
        <w:t xml:space="preserve">Tuzak (C): </w:t>
      </w:r>
      <w:r>
        <w:rPr>
          <w:rFonts w:ascii="Arial" w:hAnsi="Arial"/>
          <w:b w:val="0"/>
          <w:i w:val="0"/>
          <w:color w:val="141C2B"/>
          <w:sz w:val="17"/>
        </w:rPr>
        <w:t>Konuşmacının az önce savunduğunun tersini söyletir: bütün alanı bitirmek onun istemediği şeydir.</w:t>
      </w:r>
    </w:p>
    <w:p>
      <w:pPr>
        <w:keepLines/>
        <w:spacing w:before="0" w:after="80" w:line="252" w:lineRule="auto"/>
        <w:ind w:left="0" w:right="0"/>
        <w:jc w:val="both"/>
      </w:pPr>
      <w:r>
        <w:rPr>
          <w:rFonts w:ascii="Arial" w:hAnsi="Arial"/>
          <w:b/>
          <w:i w:val="0"/>
          <w:color w:val="1B335F"/>
          <w:sz w:val="17"/>
        </w:rPr>
        <w:t xml:space="preserve">Q66 — Doğru: D. </w:t>
      </w:r>
      <w:r>
        <w:rPr>
          <w:rFonts w:ascii="Arial" w:hAnsi="Arial"/>
          <w:b w:val="0"/>
          <w:i w:val="0"/>
          <w:color w:val="141C2B"/>
          <w:sz w:val="17"/>
        </w:rPr>
        <w:t xml:space="preserve">Sunucunun 'peki orada mıydı' sorusu, bir önceki repliğin yiyeceğin varlığını koşul olarak öne sürmüş olmasını gerektirir. </w:t>
      </w:r>
      <w:r>
        <w:rPr>
          <w:rFonts w:ascii="Arial" w:hAnsi="Arial"/>
          <w:b/>
          <w:i w:val="0"/>
          <w:color w:val="1B335F"/>
          <w:sz w:val="17"/>
        </w:rPr>
        <w:t xml:space="preserve">Tuzak (C): </w:t>
      </w:r>
      <w:r>
        <w:rPr>
          <w:rFonts w:ascii="Arial" w:hAnsi="Arial"/>
          <w:b w:val="0"/>
          <w:i w:val="0"/>
          <w:color w:val="141C2B"/>
          <w:sz w:val="17"/>
        </w:rPr>
        <w:t>Nakit çözümünü tahılla takviye eder; o zaman 'peki orada mıydı' sorusu anlamsız kalır.</w:t>
      </w:r>
    </w:p>
    <w:p>
      <w:pPr>
        <w:keepLines/>
        <w:spacing w:before="0" w:after="80" w:line="252" w:lineRule="auto"/>
        <w:ind w:left="0" w:right="0"/>
        <w:jc w:val="both"/>
      </w:pPr>
      <w:r>
        <w:rPr>
          <w:rFonts w:ascii="Arial" w:hAnsi="Arial"/>
          <w:b/>
          <w:i w:val="0"/>
          <w:color w:val="1B335F"/>
          <w:sz w:val="17"/>
        </w:rPr>
        <w:t xml:space="preserve">Q67 — Doğru: B. </w:t>
      </w:r>
      <w:r>
        <w:rPr>
          <w:rFonts w:ascii="Arial" w:hAnsi="Arial"/>
          <w:b w:val="0"/>
          <w:i w:val="0"/>
          <w:color w:val="141C2B"/>
          <w:sz w:val="17"/>
        </w:rPr>
        <w:t xml:space="preserve">Dil aktarılmıştır ama bedelsiz değil; dilbilimci sunucunun yargısını kabul edip ona bir karşı yarım eklemelidir. </w:t>
      </w:r>
      <w:r>
        <w:rPr>
          <w:rFonts w:ascii="Arial" w:hAnsi="Arial"/>
          <w:b/>
          <w:i w:val="0"/>
          <w:color w:val="1B335F"/>
          <w:sz w:val="17"/>
        </w:rPr>
        <w:t xml:space="preserve">Tuzak (C): </w:t>
      </w:r>
      <w:r>
        <w:rPr>
          <w:rFonts w:ascii="Arial" w:hAnsi="Arial"/>
          <w:b w:val="0"/>
          <w:i w:val="0"/>
          <w:color w:val="141C2B"/>
          <w:sz w:val="17"/>
        </w:rPr>
        <w:t>Başarısızlığı eksiksiz sayar; oysa konuşmacı dilin ancak gizlice aktarılabildiğini anlatmıştır.</w:t>
      </w:r>
    </w:p>
    <w:p>
      <w:pPr>
        <w:keepLines/>
        <w:spacing w:before="0" w:after="80" w:line="252" w:lineRule="auto"/>
        <w:ind w:left="0" w:right="0"/>
        <w:jc w:val="both"/>
      </w:pPr>
      <w:r>
        <w:rPr>
          <w:rFonts w:ascii="Arial" w:hAnsi="Arial"/>
          <w:b/>
          <w:i w:val="0"/>
          <w:color w:val="1B335F"/>
          <w:sz w:val="17"/>
        </w:rPr>
        <w:t xml:space="preserve">Q68 — Doğru: E. </w:t>
      </w:r>
      <w:r>
        <w:rPr>
          <w:rFonts w:ascii="Arial" w:hAnsi="Arial"/>
          <w:b w:val="0"/>
          <w:i w:val="0"/>
          <w:color w:val="141C2B"/>
          <w:sz w:val="17"/>
        </w:rPr>
        <w:t xml:space="preserve">At no point yapısı mutlak bir olumsuzluk kurar: yüzyıl boyunca hiçbir anda daha kolay olmamıştır. </w:t>
      </w:r>
      <w:r>
        <w:rPr>
          <w:rFonts w:ascii="Arial" w:hAnsi="Arial"/>
          <w:b/>
          <w:i w:val="0"/>
          <w:color w:val="1B335F"/>
          <w:sz w:val="17"/>
        </w:rPr>
        <w:t xml:space="preserve">Tuzak (C): </w:t>
      </w:r>
      <w:r>
        <w:rPr>
          <w:rFonts w:ascii="Arial" w:hAnsi="Arial"/>
          <w:b w:val="0"/>
          <w:i w:val="0"/>
          <w:color w:val="141C2B"/>
          <w:sz w:val="17"/>
        </w:rPr>
        <w:t>Mutlak olumsuzluğu bir gelişmeye çevirir; 'hiçbir anda' ifadesi tam da böyle bir dönüm noktasını dışlar.</w:t>
      </w:r>
    </w:p>
    <w:p>
      <w:pPr>
        <w:keepLines/>
        <w:spacing w:before="0" w:after="80" w:line="252" w:lineRule="auto"/>
        <w:ind w:left="0" w:right="0"/>
        <w:jc w:val="both"/>
      </w:pPr>
      <w:r>
        <w:rPr>
          <w:rFonts w:ascii="Arial" w:hAnsi="Arial"/>
          <w:b/>
          <w:i w:val="0"/>
          <w:color w:val="1B335F"/>
          <w:sz w:val="17"/>
        </w:rPr>
        <w:t xml:space="preserve">Q69 — Doğru: C. </w:t>
      </w:r>
      <w:r>
        <w:rPr>
          <w:rFonts w:ascii="Arial" w:hAnsi="Arial"/>
          <w:b w:val="0"/>
          <w:i w:val="0"/>
          <w:color w:val="141C2B"/>
          <w:sz w:val="17"/>
        </w:rPr>
        <w:t xml:space="preserve">Rather than X, Y kalıbında söylenen Y'dir: marka kaliteyi değil, sorumluyu bildirir. </w:t>
      </w:r>
      <w:r>
        <w:rPr>
          <w:rFonts w:ascii="Arial" w:hAnsi="Arial"/>
          <w:b/>
          <w:i w:val="0"/>
          <w:color w:val="1B335F"/>
          <w:sz w:val="17"/>
        </w:rPr>
        <w:t xml:space="preserve">Tuzak (B): </w:t>
      </w:r>
      <w:r>
        <w:rPr>
          <w:rFonts w:ascii="Arial" w:hAnsi="Arial"/>
          <w:b w:val="0"/>
          <w:i w:val="0"/>
          <w:color w:val="141C2B"/>
          <w:sz w:val="17"/>
        </w:rPr>
        <w:t>Kalıbın iki ucunu değiştirir ve markaya tam da reddedilen işlevi yükler.</w:t>
      </w:r>
    </w:p>
    <w:p>
      <w:pPr>
        <w:keepLines/>
        <w:spacing w:before="0" w:after="80" w:line="252" w:lineRule="auto"/>
        <w:ind w:left="0" w:right="0"/>
        <w:jc w:val="both"/>
      </w:pPr>
      <w:r>
        <w:rPr>
          <w:rFonts w:ascii="Arial" w:hAnsi="Arial"/>
          <w:b/>
          <w:i w:val="0"/>
          <w:color w:val="1B335F"/>
          <w:sz w:val="17"/>
        </w:rPr>
        <w:t xml:space="preserve">Q70 — Doğru: A. </w:t>
      </w:r>
      <w:r>
        <w:rPr>
          <w:rFonts w:ascii="Arial" w:hAnsi="Arial"/>
          <w:b w:val="0"/>
          <w:i w:val="0"/>
          <w:color w:val="141C2B"/>
          <w:sz w:val="17"/>
        </w:rPr>
        <w:t xml:space="preserve">So little ... that yapısı bir derece-sonuç ilişkisi kurar: bağlam kalmadığı için kaydedilmeyen şey geri gelmez. </w:t>
      </w:r>
      <w:r>
        <w:rPr>
          <w:rFonts w:ascii="Arial" w:hAnsi="Arial"/>
          <w:b/>
          <w:i w:val="0"/>
          <w:color w:val="1B335F"/>
          <w:sz w:val="17"/>
        </w:rPr>
        <w:t xml:space="preserve">Tuzak (B): </w:t>
      </w:r>
      <w:r>
        <w:rPr>
          <w:rFonts w:ascii="Arial" w:hAnsi="Arial"/>
          <w:b w:val="0"/>
          <w:i w:val="0"/>
          <w:color w:val="141C2B"/>
          <w:sz w:val="17"/>
        </w:rPr>
        <w:t>Niceliği tersine çevirir; 'so little' yerine 'so much' konunca cümle kurtarılabilir bir durum anlatır.</w:t>
      </w:r>
    </w:p>
    <w:p>
      <w:pPr>
        <w:keepLines/>
        <w:spacing w:before="0" w:after="80" w:line="252" w:lineRule="auto"/>
        <w:ind w:left="0" w:right="0"/>
        <w:jc w:val="both"/>
      </w:pPr>
      <w:r>
        <w:rPr>
          <w:rFonts w:ascii="Arial" w:hAnsi="Arial"/>
          <w:b/>
          <w:i w:val="0"/>
          <w:color w:val="1B335F"/>
          <w:sz w:val="17"/>
        </w:rPr>
        <w:t xml:space="preserve">Q71 — Doğru: B. </w:t>
      </w:r>
      <w:r>
        <w:rPr>
          <w:rFonts w:ascii="Arial" w:hAnsi="Arial"/>
          <w:b w:val="0"/>
          <w:i w:val="0"/>
          <w:color w:val="141C2B"/>
          <w:sz w:val="17"/>
        </w:rPr>
        <w:t xml:space="preserve">Not one ... lacked çifte olumsuzluktur: incelenen her kıtlık bölgesinde yeterli yiyecek bulunmuştur. </w:t>
      </w:r>
      <w:r>
        <w:rPr>
          <w:rFonts w:ascii="Arial" w:hAnsi="Arial"/>
          <w:b/>
          <w:i w:val="0"/>
          <w:color w:val="1B335F"/>
          <w:sz w:val="17"/>
        </w:rPr>
        <w:t xml:space="preserve">Tuzak (A): </w:t>
      </w:r>
      <w:r>
        <w:rPr>
          <w:rFonts w:ascii="Arial" w:hAnsi="Arial"/>
          <w:b w:val="0"/>
          <w:i w:val="0"/>
          <w:color w:val="141C2B"/>
          <w:sz w:val="17"/>
        </w:rPr>
        <w:t>'Not one' ifadesini 'yalnızca biri' diye okur; kalıp sayı değil, istisnasızlık bildirir.</w:t>
      </w:r>
    </w:p>
    <w:p>
      <w:pPr>
        <w:keepLines/>
        <w:spacing w:before="0" w:after="80" w:line="252" w:lineRule="auto"/>
        <w:ind w:left="0" w:right="0"/>
        <w:jc w:val="both"/>
      </w:pPr>
      <w:r>
        <w:rPr>
          <w:rFonts w:ascii="Arial" w:hAnsi="Arial"/>
          <w:b/>
          <w:i w:val="0"/>
          <w:color w:val="1B335F"/>
          <w:sz w:val="17"/>
        </w:rPr>
        <w:t xml:space="preserve">Q72 — Doğru: E. </w:t>
      </w:r>
      <w:r>
        <w:rPr>
          <w:rFonts w:ascii="Arial" w:hAnsi="Arial"/>
          <w:b w:val="0"/>
          <w:i w:val="0"/>
          <w:color w:val="141C2B"/>
          <w:sz w:val="17"/>
        </w:rPr>
        <w:t xml:space="preserve">Boşluktan sonrası okumanın neden işe yaramadığını anlatır; boşluk, tabelanın resim olmasını bu gerekçeye bağlamalıdır. </w:t>
      </w:r>
      <w:r>
        <w:rPr>
          <w:rFonts w:ascii="Arial" w:hAnsi="Arial"/>
          <w:b/>
          <w:i w:val="0"/>
          <w:color w:val="1B335F"/>
          <w:sz w:val="17"/>
        </w:rPr>
        <w:t xml:space="preserve">Tuzak (C): </w:t>
      </w:r>
      <w:r>
        <w:rPr>
          <w:rFonts w:ascii="Arial" w:hAnsi="Arial"/>
          <w:b w:val="0"/>
          <w:i w:val="0"/>
          <w:color w:val="141C2B"/>
          <w:sz w:val="17"/>
        </w:rPr>
        <w:t>Çözümü dil çoğaltmakta arar; paragraf ise 'herhangi bir dilde bir sözcük bile fazladır' diyerek bunu dışlar.</w:t>
      </w:r>
    </w:p>
    <w:p>
      <w:pPr>
        <w:keepLines/>
        <w:spacing w:before="0" w:after="80" w:line="252" w:lineRule="auto"/>
        <w:ind w:left="0" w:right="0"/>
        <w:jc w:val="both"/>
      </w:pPr>
      <w:r>
        <w:rPr>
          <w:rFonts w:ascii="Arial" w:hAnsi="Arial"/>
          <w:b/>
          <w:i w:val="0"/>
          <w:color w:val="1B335F"/>
          <w:sz w:val="17"/>
        </w:rPr>
        <w:t xml:space="preserve">Q73 — Doğru: A. </w:t>
      </w:r>
      <w:r>
        <w:rPr>
          <w:rFonts w:ascii="Arial" w:hAnsi="Arial"/>
          <w:b w:val="0"/>
          <w:i w:val="0"/>
          <w:color w:val="141C2B"/>
          <w:sz w:val="17"/>
        </w:rPr>
        <w:t xml:space="preserve">Boşluktan sonra basılı saatin gerçekte ne anlama geldiği açıklanır; boşluk, yazılanla sanılan arasındaki farkı haber vermelidir. </w:t>
      </w:r>
      <w:r>
        <w:rPr>
          <w:rFonts w:ascii="Arial" w:hAnsi="Arial"/>
          <w:b/>
          <w:i w:val="0"/>
          <w:color w:val="1B335F"/>
          <w:sz w:val="17"/>
        </w:rPr>
        <w:t xml:space="preserve">Tuzak (D): </w:t>
      </w:r>
      <w:r>
        <w:rPr>
          <w:rFonts w:ascii="Arial" w:hAnsi="Arial"/>
          <w:b w:val="0"/>
          <w:i w:val="0"/>
          <w:color w:val="141C2B"/>
          <w:sz w:val="17"/>
        </w:rPr>
        <w:t>Gecikmeyi dış bir nedene bağlar; paragrafın savı gecikmenin değil, belgenin yanlış okunmasının anlatılmasıdır.</w:t>
      </w:r>
    </w:p>
    <w:p>
      <w:pPr>
        <w:keepLines/>
        <w:spacing w:before="0" w:after="80" w:line="252" w:lineRule="auto"/>
        <w:ind w:left="0" w:right="0"/>
        <w:jc w:val="both"/>
      </w:pPr>
      <w:r>
        <w:rPr>
          <w:rFonts w:ascii="Arial" w:hAnsi="Arial"/>
          <w:b/>
          <w:i w:val="0"/>
          <w:color w:val="1B335F"/>
          <w:sz w:val="17"/>
        </w:rPr>
        <w:t xml:space="preserve">Q74 — Doğru: D. </w:t>
      </w:r>
      <w:r>
        <w:rPr>
          <w:rFonts w:ascii="Arial" w:hAnsi="Arial"/>
          <w:b w:val="0"/>
          <w:i w:val="0"/>
          <w:color w:val="141C2B"/>
          <w:sz w:val="17"/>
        </w:rPr>
        <w:t xml:space="preserve">Boşluktan sonrası kimlerin yanıtladığını sayar ve asıl kaybolanları anar; boşluk sorunu soruya değil, yanıtlayan kitleye bağlamalıdır. </w:t>
      </w:r>
      <w:r>
        <w:rPr>
          <w:rFonts w:ascii="Arial" w:hAnsi="Arial"/>
          <w:b/>
          <w:i w:val="0"/>
          <w:color w:val="1B335F"/>
          <w:sz w:val="17"/>
        </w:rPr>
        <w:t xml:space="preserve">Tuzak (A): </w:t>
      </w:r>
      <w:r>
        <w:rPr>
          <w:rFonts w:ascii="Arial" w:hAnsi="Arial"/>
          <w:b w:val="0"/>
          <w:i w:val="0"/>
          <w:color w:val="141C2B"/>
          <w:sz w:val="17"/>
        </w:rPr>
        <w:t>Kusuru sorunun ifadesinde arar; paragraf ise 'soru değil' diyerek bu açıklamayı peşinen eler.</w:t>
      </w:r>
    </w:p>
    <w:p>
      <w:pPr>
        <w:keepLines/>
        <w:spacing w:before="0" w:after="80" w:line="252" w:lineRule="auto"/>
        <w:ind w:left="0" w:right="0"/>
        <w:jc w:val="both"/>
      </w:pPr>
      <w:r>
        <w:rPr>
          <w:rFonts w:ascii="Arial" w:hAnsi="Arial"/>
          <w:b/>
          <w:i w:val="0"/>
          <w:color w:val="1B335F"/>
          <w:sz w:val="17"/>
        </w:rPr>
        <w:t xml:space="preserve">Q75 — Doğru: A. </w:t>
      </w:r>
      <w:r>
        <w:rPr>
          <w:rFonts w:ascii="Arial" w:hAnsi="Arial"/>
          <w:b w:val="0"/>
          <w:i w:val="0"/>
          <w:color w:val="141C2B"/>
          <w:sz w:val="17"/>
        </w:rPr>
        <w:t xml:space="preserve">Boşluktan sonrası kimsenin kimseyi tutmadığını anlatır; boşluk, kuyruğun arkasında bir zorlayıcı bulunmadığını söylemelidir. </w:t>
      </w:r>
      <w:r>
        <w:rPr>
          <w:rFonts w:ascii="Arial" w:hAnsi="Arial"/>
          <w:b/>
          <w:i w:val="0"/>
          <w:color w:val="1B335F"/>
          <w:sz w:val="17"/>
        </w:rPr>
        <w:t xml:space="preserve">Tuzak (E): </w:t>
      </w:r>
      <w:r>
        <w:rPr>
          <w:rFonts w:ascii="Arial" w:hAnsi="Arial"/>
          <w:b w:val="0"/>
          <w:i w:val="0"/>
          <w:color w:val="141C2B"/>
          <w:sz w:val="17"/>
        </w:rPr>
        <w:t>Dikkat ve alışkanlıktan söz eder; paragrafın konusu ise yaptırımın yokluğuna rağmen düzenin sürmesidir.</w:t>
      </w:r>
    </w:p>
    <w:p>
      <w:pPr>
        <w:keepLines/>
        <w:spacing w:before="0" w:after="80" w:line="252" w:lineRule="auto"/>
        <w:ind w:left="0" w:right="0"/>
        <w:jc w:val="both"/>
      </w:pPr>
      <w:r>
        <w:rPr>
          <w:rFonts w:ascii="Arial" w:hAnsi="Arial"/>
          <w:b/>
          <w:i w:val="0"/>
          <w:color w:val="1B335F"/>
          <w:sz w:val="17"/>
        </w:rPr>
        <w:t xml:space="preserve">Q76 — Doğru: C. </w:t>
      </w:r>
      <w:r>
        <w:rPr>
          <w:rFonts w:ascii="Arial" w:hAnsi="Arial"/>
          <w:b w:val="0"/>
          <w:i w:val="0"/>
          <w:color w:val="141C2B"/>
          <w:sz w:val="17"/>
        </w:rPr>
        <w:t xml:space="preserve">III. cümle tütün tüketiminin artışına geçer; paragrafın anlattığı şey fermuarın neden yıllarca kabul görmediğidir. </w:t>
      </w:r>
      <w:r>
        <w:rPr>
          <w:rFonts w:ascii="Arial" w:hAnsi="Arial"/>
          <w:b/>
          <w:i w:val="0"/>
          <w:color w:val="1B335F"/>
          <w:sz w:val="17"/>
        </w:rPr>
        <w:t xml:space="preserve">Tuzak (A): </w:t>
      </w:r>
      <w:r>
        <w:rPr>
          <w:rFonts w:ascii="Arial" w:hAnsi="Arial"/>
          <w:b w:val="0"/>
          <w:i w:val="0"/>
          <w:color w:val="141C2B"/>
          <w:sz w:val="17"/>
        </w:rPr>
        <w:t>I. cümle yalnızca bir tarih veriyor gibi görünür ama paragrafın bütün sorusunu kuran cümledir.</w:t>
      </w:r>
    </w:p>
    <w:p>
      <w:pPr>
        <w:keepLines/>
        <w:spacing w:before="0" w:after="80" w:line="252" w:lineRule="auto"/>
        <w:ind w:left="0" w:right="0"/>
        <w:jc w:val="both"/>
      </w:pPr>
      <w:r>
        <w:rPr>
          <w:rFonts w:ascii="Arial" w:hAnsi="Arial"/>
          <w:b/>
          <w:i w:val="0"/>
          <w:color w:val="1B335F"/>
          <w:sz w:val="17"/>
        </w:rPr>
        <w:t xml:space="preserve">Q77 — Doğru: D. </w:t>
      </w:r>
      <w:r>
        <w:rPr>
          <w:rFonts w:ascii="Arial" w:hAnsi="Arial"/>
          <w:b w:val="0"/>
          <w:i w:val="0"/>
          <w:color w:val="141C2B"/>
          <w:sz w:val="17"/>
        </w:rPr>
        <w:t xml:space="preserve">IV. cümle koleranın bulaşma yoluna geçer; paragraf ise çeşmelerin kim tarafından ve hangi amaçla yaptırıldığını anlatır. </w:t>
      </w:r>
      <w:r>
        <w:rPr>
          <w:rFonts w:ascii="Arial" w:hAnsi="Arial"/>
          <w:b/>
          <w:i w:val="0"/>
          <w:color w:val="1B335F"/>
          <w:sz w:val="17"/>
        </w:rPr>
        <w:t xml:space="preserve">Tuzak (B): </w:t>
      </w:r>
      <w:r>
        <w:rPr>
          <w:rFonts w:ascii="Arial" w:hAnsi="Arial"/>
          <w:b w:val="0"/>
          <w:i w:val="0"/>
          <w:color w:val="141C2B"/>
          <w:sz w:val="17"/>
        </w:rPr>
        <w:t>II. cümle konu dışı bir ayrıntı sanılır; oysa paragrafın savı tam olarak orada kurulur.</w:t>
      </w:r>
    </w:p>
    <w:p>
      <w:pPr>
        <w:keepLines/>
        <w:spacing w:before="0" w:after="80" w:line="252" w:lineRule="auto"/>
        <w:ind w:left="0" w:right="0"/>
        <w:jc w:val="both"/>
      </w:pPr>
      <w:r>
        <w:rPr>
          <w:rFonts w:ascii="Arial" w:hAnsi="Arial"/>
          <w:b/>
          <w:i w:val="0"/>
          <w:color w:val="1B335F"/>
          <w:sz w:val="17"/>
        </w:rPr>
        <w:t xml:space="preserve">Q78 — Doğru: B. </w:t>
      </w:r>
      <w:r>
        <w:rPr>
          <w:rFonts w:ascii="Arial" w:hAnsi="Arial"/>
          <w:b w:val="0"/>
          <w:i w:val="0"/>
          <w:color w:val="141C2B"/>
          <w:sz w:val="17"/>
        </w:rPr>
        <w:t xml:space="preserve">II. cümle kâtip sayısına geçer; paragrafın izlediği şey belgenin nasıl saklandığı ve bunun ne mümkün kıldığıdır. </w:t>
      </w:r>
      <w:r>
        <w:rPr>
          <w:rFonts w:ascii="Arial" w:hAnsi="Arial"/>
          <w:b/>
          <w:i w:val="0"/>
          <w:color w:val="1B335F"/>
          <w:sz w:val="17"/>
        </w:rPr>
        <w:t xml:space="preserve">Tuzak (D): </w:t>
      </w:r>
      <w:r>
        <w:rPr>
          <w:rFonts w:ascii="Arial" w:hAnsi="Arial"/>
          <w:b w:val="0"/>
          <w:i w:val="0"/>
          <w:color w:val="141C2B"/>
          <w:sz w:val="17"/>
        </w:rPr>
        <w:t>IV. cümle sıradan bir ayrıntı gibi durur ama paragrafın sonucunu hazırlayan değişikliğin kendisidir.</w:t>
      </w:r>
    </w:p>
    <w:p>
      <w:pPr>
        <w:keepLines/>
        <w:spacing w:before="0" w:after="80" w:line="252" w:lineRule="auto"/>
        <w:ind w:left="0" w:right="0"/>
        <w:jc w:val="both"/>
      </w:pPr>
      <w:r>
        <w:rPr>
          <w:rFonts w:ascii="Arial" w:hAnsi="Arial"/>
          <w:b/>
          <w:i w:val="0"/>
          <w:color w:val="1B335F"/>
          <w:sz w:val="17"/>
        </w:rPr>
        <w:t xml:space="preserve">Q79 — Doğru: C. </w:t>
      </w:r>
      <w:r>
        <w:rPr>
          <w:rFonts w:ascii="Arial" w:hAnsi="Arial"/>
          <w:b w:val="0"/>
          <w:i w:val="0"/>
          <w:color w:val="141C2B"/>
          <w:sz w:val="17"/>
        </w:rPr>
        <w:t xml:space="preserve">III. cümle arduvaz ocaklarına geçer; paragraf ise kara tahtanın sınıf denen birimi nasıl doğurduğunu anlatır. </w:t>
      </w:r>
      <w:r>
        <w:rPr>
          <w:rFonts w:ascii="Arial" w:hAnsi="Arial"/>
          <w:b/>
          <w:i w:val="0"/>
          <w:color w:val="1B335F"/>
          <w:sz w:val="17"/>
        </w:rPr>
        <w:t xml:space="preserve">Tuzak (A): </w:t>
      </w:r>
      <w:r>
        <w:rPr>
          <w:rFonts w:ascii="Arial" w:hAnsi="Arial"/>
          <w:b w:val="0"/>
          <w:i w:val="0"/>
          <w:color w:val="141C2B"/>
          <w:sz w:val="17"/>
        </w:rPr>
        <w:t>I. cümle eski uygulamayı anlattığı için konu dışı sanılır; oysa karşılaştırmanın bir ucudur.</w:t>
      </w:r>
    </w:p>
    <w:p>
      <w:pPr>
        <w:keepLines/>
        <w:spacing w:before="0" w:after="80" w:line="252" w:lineRule="auto"/>
        <w:ind w:left="0" w:right="0"/>
        <w:jc w:val="both"/>
      </w:pPr>
      <w:r>
        <w:rPr>
          <w:rFonts w:ascii="Arial" w:hAnsi="Arial"/>
          <w:b/>
          <w:i w:val="0"/>
          <w:color w:val="1B335F"/>
          <w:sz w:val="17"/>
        </w:rPr>
        <w:t xml:space="preserve">Q80 — Doğru: E. </w:t>
      </w:r>
      <w:r>
        <w:rPr>
          <w:rFonts w:ascii="Arial" w:hAnsi="Arial"/>
          <w:b w:val="0"/>
          <w:i w:val="0"/>
          <w:color w:val="141C2B"/>
          <w:sz w:val="17"/>
        </w:rPr>
        <w:t xml:space="preserve">V. cümle şemsiyenin yapım malzemesine geçer; paragraf ise şemsiyenin neyin işareti sayıldığını ve bu işaretin nasıl söndüğünü anlatır. </w:t>
      </w:r>
      <w:r>
        <w:rPr>
          <w:rFonts w:ascii="Arial" w:hAnsi="Arial"/>
          <w:b/>
          <w:i w:val="0"/>
          <w:color w:val="1B335F"/>
          <w:sz w:val="17"/>
        </w:rPr>
        <w:t xml:space="preserve">Tuzak (A): </w:t>
      </w:r>
      <w:r>
        <w:rPr>
          <w:rFonts w:ascii="Arial" w:hAnsi="Arial"/>
          <w:b w:val="0"/>
          <w:i w:val="0"/>
          <w:color w:val="141C2B"/>
          <w:sz w:val="17"/>
        </w:rPr>
        <w:t>I. cümle konuyla ilgisiz bir sınıf gözlemi gibi görünür; oysa paragrafın açıkladığı itirazın kaynağı tam olarak odur.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10</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27‑C   28‑A   29‑D   30‑B   31‑E   32‑D   33‑B   34‑A   35‑C   36‑B   37‑C   38‑D   39‑A   40‑E   41‑A   42‑C   43‑E   44‑B   45‑D   46‑A   47‑D   48‑E   49‑B   50‑C   51‑D   52‑C   53‑B   54‑E   55‑A   56‑C   57‑A   58‑D   59‑E   60‑B   61‑E   62‑C   63‑D   64‑B   65‑A   66‑D   67‑B   68‑E   69‑C   70‑A   71‑B   72‑E   73‑A   74‑D   75‑A   76‑C   77‑D   78‑B   79‑C   80‑E</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10</w:t>
      </w:r>
    </w:p>
    <w:p>
      <w:pPr>
        <w:keepLines/>
        <w:spacing w:before="0" w:after="160" w:line="245" w:lineRule="auto"/>
        <w:ind w:left="0" w:right="0"/>
      </w:pPr>
      <w:r>
        <w:rPr>
          <w:rFonts w:ascii="Arial" w:hAnsi="Arial"/>
          <w:b w:val="0"/>
          <w:i/>
          <w:color w:val="1B335F"/>
          <w:sz w:val="18"/>
        </w:rPr>
        <w:t>Testte geçen C1+ sözcük, kalıp ve eş dizimler; alfabetik sıra ile (147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abolish (abolished)</w:t>
            </w:r>
          </w:p>
        </w:tc>
        <w:tc>
          <w:tcPr>
            <w:tcW w:type="dxa" w:w="2665"/>
          </w:tcPr>
          <w:p>
            <w:pPr>
              <w:spacing w:before="20" w:after="20" w:line="240" w:lineRule="auto"/>
              <w:jc w:val="left"/>
            </w:pPr>
            <w:r>
              <w:rPr>
                <w:rFonts w:ascii="Arial" w:hAnsi="Arial"/>
                <w:b w:val="0"/>
                <w:i w:val="0"/>
                <w:color w:val="141C2B"/>
                <w:sz w:val="17"/>
              </w:rPr>
              <w:t>kaldırmak, ilga etmek</w:t>
            </w:r>
          </w:p>
        </w:tc>
        <w:tc>
          <w:tcPr>
            <w:tcW w:type="dxa" w:w="2438"/>
          </w:tcPr>
          <w:p>
            <w:pPr>
              <w:spacing w:before="20" w:after="20" w:line="240" w:lineRule="auto"/>
              <w:jc w:val="left"/>
            </w:pPr>
            <w:r>
              <w:rPr>
                <w:rFonts w:ascii="Arial" w:hAnsi="Arial"/>
                <w:b w:val="0"/>
                <w:i w:val="0"/>
                <w:color w:val="141C2B"/>
                <w:sz w:val="17"/>
              </w:rPr>
              <w:t>literacy</w:t>
            </w:r>
          </w:p>
        </w:tc>
        <w:tc>
          <w:tcPr>
            <w:tcW w:type="dxa" w:w="2665"/>
          </w:tcPr>
          <w:p>
            <w:pPr>
              <w:spacing w:before="20" w:after="20" w:line="240" w:lineRule="auto"/>
              <w:jc w:val="left"/>
            </w:pPr>
            <w:r>
              <w:rPr>
                <w:rFonts w:ascii="Arial" w:hAnsi="Arial"/>
                <w:b w:val="0"/>
                <w:i w:val="0"/>
                <w:color w:val="141C2B"/>
                <w:sz w:val="17"/>
              </w:rPr>
              <w:t>okuryazarlık</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manufacturer</w:t>
            </w:r>
          </w:p>
        </w:tc>
        <w:tc>
          <w:tcPr>
            <w:tcW w:type="dxa" w:w="2665"/>
          </w:tcPr>
          <w:p>
            <w:pPr>
              <w:spacing w:before="20" w:after="20" w:line="240" w:lineRule="auto"/>
              <w:jc w:val="left"/>
            </w:pPr>
            <w:r>
              <w:rPr>
                <w:rFonts w:ascii="Arial" w:hAnsi="Arial"/>
                <w:b w:val="0"/>
                <w:i w:val="0"/>
                <w:color w:val="141C2B"/>
                <w:sz w:val="17"/>
              </w:rPr>
              <w:t>üretici</w:t>
            </w:r>
          </w:p>
        </w:tc>
      </w:tr>
      <w:tr>
        <w:tc>
          <w:tcPr>
            <w:tcW w:type="dxa" w:w="2438"/>
          </w:tcPr>
          <w:p>
            <w:pPr>
              <w:spacing w:before="20" w:after="20" w:line="240" w:lineRule="auto"/>
              <w:jc w:val="left"/>
            </w:pPr>
            <w:r>
              <w:rPr>
                <w:rFonts w:ascii="Arial" w:hAnsi="Arial"/>
                <w:b w:val="0"/>
                <w:i w:val="0"/>
                <w:color w:val="141C2B"/>
                <w:sz w:val="17"/>
              </w:rPr>
              <w:t>alike</w:t>
            </w:r>
          </w:p>
        </w:tc>
        <w:tc>
          <w:tcPr>
            <w:tcW w:type="dxa" w:w="2665"/>
          </w:tcPr>
          <w:p>
            <w:pPr>
              <w:spacing w:before="20" w:after="20" w:line="240" w:lineRule="auto"/>
              <w:jc w:val="left"/>
            </w:pPr>
            <w:r>
              <w:rPr>
                <w:rFonts w:ascii="Arial" w:hAnsi="Arial"/>
                <w:b w:val="0"/>
                <w:i w:val="0"/>
                <w:color w:val="141C2B"/>
                <w:sz w:val="17"/>
              </w:rPr>
              <w:t>benzer, aynı şekilde</w:t>
            </w:r>
          </w:p>
        </w:tc>
        <w:tc>
          <w:tcPr>
            <w:tcW w:type="dxa" w:w="2438"/>
          </w:tcPr>
          <w:p>
            <w:pPr>
              <w:spacing w:before="20" w:after="20" w:line="240" w:lineRule="auto"/>
              <w:jc w:val="left"/>
            </w:pPr>
            <w:r>
              <w:rPr>
                <w:rFonts w:ascii="Arial" w:hAnsi="Arial"/>
                <w:b w:val="0"/>
                <w:i w:val="0"/>
                <w:color w:val="141C2B"/>
                <w:sz w:val="17"/>
              </w:rPr>
              <w:t>measure</w:t>
            </w:r>
          </w:p>
        </w:tc>
        <w:tc>
          <w:tcPr>
            <w:tcW w:type="dxa" w:w="2665"/>
          </w:tcPr>
          <w:p>
            <w:pPr>
              <w:spacing w:before="20" w:after="20" w:line="240" w:lineRule="auto"/>
              <w:jc w:val="left"/>
            </w:pPr>
            <w:r>
              <w:rPr>
                <w:rFonts w:ascii="Arial" w:hAnsi="Arial"/>
                <w:b w:val="0"/>
                <w:i w:val="0"/>
                <w:color w:val="141C2B"/>
                <w:sz w:val="17"/>
              </w:rPr>
              <w:t>önlem</w:t>
            </w:r>
          </w:p>
        </w:tc>
      </w:tr>
      <w:tr>
        <w:tc>
          <w:tcPr>
            <w:tcW w:type="dxa" w:w="2438"/>
          </w:tcPr>
          <w:p>
            <w:pPr>
              <w:spacing w:before="20" w:after="20" w:line="240" w:lineRule="auto"/>
              <w:jc w:val="left"/>
            </w:pPr>
            <w:r>
              <w:rPr>
                <w:rFonts w:ascii="Arial" w:hAnsi="Arial"/>
                <w:b w:val="0"/>
                <w:i w:val="0"/>
                <w:color w:val="141C2B"/>
                <w:sz w:val="17"/>
              </w:rPr>
              <w:t>answerable (who was answerable for them)</w:t>
            </w:r>
          </w:p>
        </w:tc>
        <w:tc>
          <w:tcPr>
            <w:tcW w:type="dxa" w:w="2665"/>
          </w:tcPr>
          <w:p>
            <w:pPr>
              <w:spacing w:before="20" w:after="20" w:line="240" w:lineRule="auto"/>
              <w:jc w:val="left"/>
            </w:pPr>
            <w:r>
              <w:rPr>
                <w:rFonts w:ascii="Arial" w:hAnsi="Arial"/>
                <w:b w:val="0"/>
                <w:i w:val="0"/>
                <w:color w:val="141C2B"/>
                <w:sz w:val="17"/>
              </w:rPr>
              <w:t>sorumlu, hesap verecek olan</w:t>
            </w:r>
          </w:p>
        </w:tc>
        <w:tc>
          <w:tcPr>
            <w:tcW w:type="dxa" w:w="2438"/>
          </w:tcPr>
          <w:p>
            <w:pPr>
              <w:spacing w:before="20" w:after="20" w:line="240" w:lineRule="auto"/>
              <w:jc w:val="left"/>
            </w:pPr>
            <w:r>
              <w:rPr>
                <w:rFonts w:ascii="Arial" w:hAnsi="Arial"/>
                <w:b w:val="0"/>
                <w:i w:val="0"/>
                <w:color w:val="141C2B"/>
                <w:sz w:val="17"/>
              </w:rPr>
              <w:t>mention</w:t>
            </w:r>
          </w:p>
        </w:tc>
        <w:tc>
          <w:tcPr>
            <w:tcW w:type="dxa" w:w="2665"/>
          </w:tcPr>
          <w:p>
            <w:pPr>
              <w:spacing w:before="20" w:after="20" w:line="240" w:lineRule="auto"/>
              <w:jc w:val="left"/>
            </w:pPr>
            <w:r>
              <w:rPr>
                <w:rFonts w:ascii="Arial" w:hAnsi="Arial"/>
                <w:b w:val="0"/>
                <w:i w:val="0"/>
                <w:color w:val="141C2B"/>
                <w:sz w:val="17"/>
              </w:rPr>
              <w:t>bahsetmek</w:t>
            </w:r>
          </w:p>
        </w:tc>
      </w:tr>
      <w:tr>
        <w:tc>
          <w:tcPr>
            <w:tcW w:type="dxa" w:w="2438"/>
          </w:tcPr>
          <w:p>
            <w:pPr>
              <w:spacing w:before="20" w:after="20" w:line="240" w:lineRule="auto"/>
              <w:jc w:val="left"/>
            </w:pPr>
            <w:r>
              <w:rPr>
                <w:rFonts w:ascii="Arial" w:hAnsi="Arial"/>
                <w:b w:val="0"/>
                <w:i w:val="0"/>
                <w:color w:val="141C2B"/>
                <w:sz w:val="17"/>
              </w:rPr>
              <w:t>appeal (appealed against)</w:t>
            </w:r>
          </w:p>
        </w:tc>
        <w:tc>
          <w:tcPr>
            <w:tcW w:type="dxa" w:w="2665"/>
          </w:tcPr>
          <w:p>
            <w:pPr>
              <w:spacing w:before="20" w:after="20" w:line="240" w:lineRule="auto"/>
              <w:jc w:val="left"/>
            </w:pPr>
            <w:r>
              <w:rPr>
                <w:rFonts w:ascii="Arial" w:hAnsi="Arial"/>
                <w:b w:val="0"/>
                <w:i w:val="0"/>
                <w:color w:val="141C2B"/>
                <w:sz w:val="17"/>
              </w:rPr>
              <w:t>itiraz etmek, temyize gitmek</w:t>
            </w:r>
          </w:p>
        </w:tc>
        <w:tc>
          <w:tcPr>
            <w:tcW w:type="dxa" w:w="2438"/>
          </w:tcPr>
          <w:p>
            <w:pPr>
              <w:spacing w:before="20" w:after="20" w:line="240" w:lineRule="auto"/>
              <w:jc w:val="left"/>
            </w:pPr>
            <w:r>
              <w:rPr>
                <w:rFonts w:ascii="Arial" w:hAnsi="Arial"/>
                <w:b w:val="0"/>
                <w:i w:val="0"/>
                <w:color w:val="141C2B"/>
                <w:sz w:val="17"/>
              </w:rPr>
              <w:t>mislead (being misled)</w:t>
            </w:r>
          </w:p>
        </w:tc>
        <w:tc>
          <w:tcPr>
            <w:tcW w:type="dxa" w:w="2665"/>
          </w:tcPr>
          <w:p>
            <w:pPr>
              <w:spacing w:before="20" w:after="20" w:line="240" w:lineRule="auto"/>
              <w:jc w:val="left"/>
            </w:pPr>
            <w:r>
              <w:rPr>
                <w:rFonts w:ascii="Arial" w:hAnsi="Arial"/>
                <w:b w:val="0"/>
                <w:i w:val="0"/>
                <w:color w:val="141C2B"/>
                <w:sz w:val="17"/>
              </w:rPr>
              <w:t>yanlış yönlendirmek</w:t>
            </w:r>
          </w:p>
        </w:tc>
      </w:tr>
      <w:tr>
        <w:tc>
          <w:tcPr>
            <w:tcW w:type="dxa" w:w="2438"/>
          </w:tcPr>
          <w:p>
            <w:pPr>
              <w:spacing w:before="20" w:after="20" w:line="240" w:lineRule="auto"/>
              <w:jc w:val="left"/>
            </w:pPr>
            <w:r>
              <w:rPr>
                <w:rFonts w:ascii="Arial" w:hAnsi="Arial"/>
                <w:b w:val="0"/>
                <w:i w:val="0"/>
                <w:color w:val="141C2B"/>
                <w:sz w:val="17"/>
              </w:rPr>
              <w:t>arrow</w:t>
            </w:r>
          </w:p>
        </w:tc>
        <w:tc>
          <w:tcPr>
            <w:tcW w:type="dxa" w:w="2665"/>
          </w:tcPr>
          <w:p>
            <w:pPr>
              <w:spacing w:before="20" w:after="20" w:line="240" w:lineRule="auto"/>
              <w:jc w:val="left"/>
            </w:pPr>
            <w:r>
              <w:rPr>
                <w:rFonts w:ascii="Arial" w:hAnsi="Arial"/>
                <w:b w:val="0"/>
                <w:i w:val="0"/>
                <w:color w:val="141C2B"/>
                <w:sz w:val="17"/>
              </w:rPr>
              <w:t>ok işareti</w:t>
            </w:r>
          </w:p>
        </w:tc>
        <w:tc>
          <w:tcPr>
            <w:tcW w:type="dxa" w:w="2438"/>
          </w:tcPr>
          <w:p>
            <w:pPr>
              <w:spacing w:before="20" w:after="20" w:line="240" w:lineRule="auto"/>
              <w:jc w:val="left"/>
            </w:pPr>
            <w:r>
              <w:rPr>
                <w:rFonts w:ascii="Arial" w:hAnsi="Arial"/>
                <w:b w:val="0"/>
                <w:i w:val="0"/>
                <w:color w:val="141C2B"/>
                <w:sz w:val="17"/>
              </w:rPr>
              <w:t>neglect</w:t>
            </w:r>
          </w:p>
        </w:tc>
        <w:tc>
          <w:tcPr>
            <w:tcW w:type="dxa" w:w="2665"/>
          </w:tcPr>
          <w:p>
            <w:pPr>
              <w:spacing w:before="20" w:after="20" w:line="240" w:lineRule="auto"/>
              <w:jc w:val="left"/>
            </w:pPr>
            <w:r>
              <w:rPr>
                <w:rFonts w:ascii="Arial" w:hAnsi="Arial"/>
                <w:b w:val="0"/>
                <w:i w:val="0"/>
                <w:color w:val="141C2B"/>
                <w:sz w:val="17"/>
              </w:rPr>
              <w:t>ihmal</w:t>
            </w:r>
          </w:p>
        </w:tc>
      </w:tr>
      <w:tr>
        <w:tc>
          <w:tcPr>
            <w:tcW w:type="dxa" w:w="2438"/>
          </w:tcPr>
          <w:p>
            <w:pPr>
              <w:spacing w:before="20" w:after="20" w:line="240" w:lineRule="auto"/>
              <w:jc w:val="left"/>
            </w:pPr>
            <w:r>
              <w:rPr>
                <w:rFonts w:ascii="Arial" w:hAnsi="Arial"/>
                <w:b w:val="0"/>
                <w:i w:val="0"/>
                <w:color w:val="141C2B"/>
                <w:sz w:val="17"/>
              </w:rPr>
              <w:t>asset</w:t>
            </w:r>
          </w:p>
        </w:tc>
        <w:tc>
          <w:tcPr>
            <w:tcW w:type="dxa" w:w="2665"/>
          </w:tcPr>
          <w:p>
            <w:pPr>
              <w:spacing w:before="20" w:after="20" w:line="240" w:lineRule="auto"/>
              <w:jc w:val="left"/>
            </w:pPr>
            <w:r>
              <w:rPr>
                <w:rFonts w:ascii="Arial" w:hAnsi="Arial"/>
                <w:b w:val="0"/>
                <w:i w:val="0"/>
                <w:color w:val="141C2B"/>
                <w:sz w:val="17"/>
              </w:rPr>
              <w:t>varlık</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attempt</w:t>
            </w:r>
          </w:p>
        </w:tc>
        <w:tc>
          <w:tcPr>
            <w:tcW w:type="dxa" w:w="2665"/>
          </w:tcPr>
          <w:p>
            <w:pPr>
              <w:spacing w:before="20" w:after="20" w:line="240" w:lineRule="auto"/>
              <w:jc w:val="left"/>
            </w:pPr>
            <w:r>
              <w:rPr>
                <w:rFonts w:ascii="Arial" w:hAnsi="Arial"/>
                <w:b w:val="0"/>
                <w:i w:val="0"/>
                <w:color w:val="141C2B"/>
                <w:sz w:val="17"/>
              </w:rPr>
              <w:t>teşebbüs, deneme</w:t>
            </w:r>
          </w:p>
        </w:tc>
        <w:tc>
          <w:tcPr>
            <w:tcW w:type="dxa" w:w="2438"/>
          </w:tcPr>
          <w:p>
            <w:pPr>
              <w:spacing w:before="20" w:after="20" w:line="240" w:lineRule="auto"/>
              <w:jc w:val="left"/>
            </w:pPr>
            <w:r>
              <w:rPr>
                <w:rFonts w:ascii="Arial" w:hAnsi="Arial"/>
                <w:b w:val="0"/>
                <w:i w:val="0"/>
                <w:color w:val="141C2B"/>
                <w:sz w:val="17"/>
              </w:rPr>
              <w:t>notebook</w:t>
            </w:r>
          </w:p>
        </w:tc>
        <w:tc>
          <w:tcPr>
            <w:tcW w:type="dxa" w:w="2665"/>
          </w:tcPr>
          <w:p>
            <w:pPr>
              <w:spacing w:before="20" w:after="20" w:line="240" w:lineRule="auto"/>
              <w:jc w:val="left"/>
            </w:pPr>
            <w:r>
              <w:rPr>
                <w:rFonts w:ascii="Arial" w:hAnsi="Arial"/>
                <w:b w:val="0"/>
                <w:i w:val="0"/>
                <w:color w:val="141C2B"/>
                <w:sz w:val="17"/>
              </w:rPr>
              <w:t>not defteri</w:t>
            </w:r>
          </w:p>
        </w:tc>
      </w:tr>
      <w:tr>
        <w:tc>
          <w:tcPr>
            <w:tcW w:type="dxa" w:w="2438"/>
          </w:tcPr>
          <w:p>
            <w:pPr>
              <w:spacing w:before="20" w:after="20" w:line="240" w:lineRule="auto"/>
              <w:jc w:val="left"/>
            </w:pPr>
            <w:r>
              <w:rPr>
                <w:rFonts w:ascii="Arial" w:hAnsi="Arial"/>
                <w:b w:val="0"/>
                <w:i w:val="0"/>
                <w:color w:val="141C2B"/>
                <w:sz w:val="17"/>
              </w:rPr>
              <w:t>authority</w:t>
            </w:r>
          </w:p>
        </w:tc>
        <w:tc>
          <w:tcPr>
            <w:tcW w:type="dxa" w:w="2665"/>
          </w:tcPr>
          <w:p>
            <w:pPr>
              <w:spacing w:before="20" w:after="20" w:line="240" w:lineRule="auto"/>
              <w:jc w:val="left"/>
            </w:pPr>
            <w:r>
              <w:rPr>
                <w:rFonts w:ascii="Arial" w:hAnsi="Arial"/>
                <w:b w:val="0"/>
                <w:i w:val="0"/>
                <w:color w:val="141C2B"/>
                <w:sz w:val="17"/>
              </w:rPr>
              <w:t>yetki</w:t>
            </w:r>
          </w:p>
        </w:tc>
        <w:tc>
          <w:tcPr>
            <w:tcW w:type="dxa" w:w="2438"/>
          </w:tcPr>
          <w:p>
            <w:pPr>
              <w:spacing w:before="20" w:after="20" w:line="240" w:lineRule="auto"/>
              <w:jc w:val="left"/>
            </w:pPr>
            <w:r>
              <w:rPr>
                <w:rFonts w:ascii="Arial" w:hAnsi="Arial"/>
                <w:b w:val="0"/>
                <w:i w:val="0"/>
                <w:color w:val="141C2B"/>
                <w:sz w:val="17"/>
              </w:rPr>
              <w:t>obvious</w:t>
            </w:r>
          </w:p>
        </w:tc>
        <w:tc>
          <w:tcPr>
            <w:tcW w:type="dxa" w:w="2665"/>
          </w:tcPr>
          <w:p>
            <w:pPr>
              <w:spacing w:before="20" w:after="20" w:line="240" w:lineRule="auto"/>
              <w:jc w:val="left"/>
            </w:pPr>
            <w:r>
              <w:rPr>
                <w:rFonts w:ascii="Arial" w:hAnsi="Arial"/>
                <w:b w:val="0"/>
                <w:i w:val="0"/>
                <w:color w:val="141C2B"/>
                <w:sz w:val="17"/>
              </w:rPr>
              <w:t>açık, bariz</w:t>
            </w:r>
          </w:p>
        </w:tc>
      </w:tr>
      <w:tr>
        <w:tc>
          <w:tcPr>
            <w:tcW w:type="dxa" w:w="2438"/>
          </w:tcPr>
          <w:p>
            <w:pPr>
              <w:spacing w:before="20" w:after="20" w:line="240" w:lineRule="auto"/>
              <w:jc w:val="left"/>
            </w:pPr>
            <w:r>
              <w:rPr>
                <w:rFonts w:ascii="Arial" w:hAnsi="Arial"/>
                <w:b w:val="0"/>
                <w:i w:val="0"/>
                <w:color w:val="141C2B"/>
                <w:sz w:val="17"/>
              </w:rPr>
              <w:t>ballot</w:t>
            </w:r>
          </w:p>
        </w:tc>
        <w:tc>
          <w:tcPr>
            <w:tcW w:type="dxa" w:w="2665"/>
          </w:tcPr>
          <w:p>
            <w:pPr>
              <w:spacing w:before="20" w:after="20" w:line="240" w:lineRule="auto"/>
              <w:jc w:val="left"/>
            </w:pPr>
            <w:r>
              <w:rPr>
                <w:rFonts w:ascii="Arial" w:hAnsi="Arial"/>
                <w:b w:val="0"/>
                <w:i w:val="0"/>
                <w:color w:val="141C2B"/>
                <w:sz w:val="17"/>
              </w:rPr>
              <w:t>oy pusulası</w:t>
            </w:r>
          </w:p>
        </w:tc>
        <w:tc>
          <w:tcPr>
            <w:tcW w:type="dxa" w:w="2438"/>
          </w:tcPr>
          <w:p>
            <w:pPr>
              <w:spacing w:before="20" w:after="20" w:line="240" w:lineRule="auto"/>
              <w:jc w:val="left"/>
            </w:pPr>
            <w:r>
              <w:rPr>
                <w:rFonts w:ascii="Arial" w:hAnsi="Arial"/>
                <w:b w:val="0"/>
                <w:i w:val="0"/>
                <w:color w:val="141C2B"/>
                <w:sz w:val="17"/>
              </w:rPr>
              <w:t>occupational group</w:t>
            </w:r>
          </w:p>
        </w:tc>
        <w:tc>
          <w:tcPr>
            <w:tcW w:type="dxa" w:w="2665"/>
          </w:tcPr>
          <w:p>
            <w:pPr>
              <w:spacing w:before="20" w:after="20" w:line="240" w:lineRule="auto"/>
              <w:jc w:val="left"/>
            </w:pPr>
            <w:r>
              <w:rPr>
                <w:rFonts w:ascii="Arial" w:hAnsi="Arial"/>
                <w:b w:val="0"/>
                <w:i w:val="0"/>
                <w:color w:val="141C2B"/>
                <w:sz w:val="17"/>
              </w:rPr>
              <w:t>meslek grubu</w:t>
            </w:r>
          </w:p>
        </w:tc>
      </w:tr>
      <w:tr>
        <w:tc>
          <w:tcPr>
            <w:tcW w:type="dxa" w:w="2438"/>
          </w:tcPr>
          <w:p>
            <w:pPr>
              <w:spacing w:before="20" w:after="20" w:line="240" w:lineRule="auto"/>
              <w:jc w:val="left"/>
            </w:pPr>
            <w:r>
              <w:rPr>
                <w:rFonts w:ascii="Arial" w:hAnsi="Arial"/>
                <w:b w:val="0"/>
                <w:i w:val="0"/>
                <w:color w:val="141C2B"/>
                <w:sz w:val="17"/>
              </w:rPr>
              <w:t>be of</w:t>
            </w:r>
          </w:p>
        </w:tc>
        <w:tc>
          <w:tcPr>
            <w:tcW w:type="dxa" w:w="2665"/>
          </w:tcPr>
          <w:p>
            <w:pPr>
              <w:spacing w:before="20" w:after="20" w:line="240" w:lineRule="auto"/>
              <w:jc w:val="left"/>
            </w:pPr>
            <w:r>
              <w:rPr>
                <w:rFonts w:ascii="Arial" w:hAnsi="Arial"/>
                <w:b w:val="0"/>
                <w:i w:val="0"/>
                <w:color w:val="141C2B"/>
                <w:sz w:val="17"/>
              </w:rPr>
              <w:t>sahip olmak</w:t>
            </w:r>
          </w:p>
        </w:tc>
        <w:tc>
          <w:tcPr>
            <w:tcW w:type="dxa" w:w="2438"/>
          </w:tcPr>
          <w:p>
            <w:pPr>
              <w:spacing w:before="20" w:after="20" w:line="240" w:lineRule="auto"/>
              <w:jc w:val="left"/>
            </w:pPr>
            <w:r>
              <w:rPr>
                <w:rFonts w:ascii="Arial" w:hAnsi="Arial"/>
                <w:b w:val="0"/>
                <w:i w:val="0"/>
                <w:color w:val="141C2B"/>
                <w:sz w:val="17"/>
              </w:rPr>
              <w:t>occur</w:t>
            </w:r>
          </w:p>
        </w:tc>
        <w:tc>
          <w:tcPr>
            <w:tcW w:type="dxa" w:w="2665"/>
          </w:tcPr>
          <w:p>
            <w:pPr>
              <w:spacing w:before="20" w:after="20" w:line="240" w:lineRule="auto"/>
              <w:jc w:val="left"/>
            </w:pPr>
            <w:r>
              <w:rPr>
                <w:rFonts w:ascii="Arial" w:hAnsi="Arial"/>
                <w:b w:val="0"/>
                <w:i w:val="0"/>
                <w:color w:val="141C2B"/>
                <w:sz w:val="17"/>
              </w:rPr>
              <w:t>meydana gelmek</w:t>
            </w:r>
          </w:p>
        </w:tc>
      </w:tr>
      <w:tr>
        <w:tc>
          <w:tcPr>
            <w:tcW w:type="dxa" w:w="2438"/>
          </w:tcPr>
          <w:p>
            <w:pPr>
              <w:spacing w:before="20" w:after="20" w:line="240" w:lineRule="auto"/>
              <w:jc w:val="left"/>
            </w:pPr>
            <w:r>
              <w:rPr>
                <w:rFonts w:ascii="Arial" w:hAnsi="Arial"/>
                <w:b w:val="0"/>
                <w:i w:val="0"/>
                <w:color w:val="141C2B"/>
                <w:sz w:val="17"/>
              </w:rPr>
              <w:t>beyond</w:t>
            </w:r>
          </w:p>
        </w:tc>
        <w:tc>
          <w:tcPr>
            <w:tcW w:type="dxa" w:w="2665"/>
          </w:tcPr>
          <w:p>
            <w:pPr>
              <w:spacing w:before="20" w:after="20" w:line="240" w:lineRule="auto"/>
              <w:jc w:val="left"/>
            </w:pPr>
            <w:r>
              <w:rPr>
                <w:rFonts w:ascii="Arial" w:hAnsi="Arial"/>
                <w:b w:val="0"/>
                <w:i w:val="0"/>
                <w:color w:val="141C2B"/>
                <w:sz w:val="17"/>
              </w:rPr>
              <w:t>ötesinde</w:t>
            </w:r>
          </w:p>
        </w:tc>
        <w:tc>
          <w:tcPr>
            <w:tcW w:type="dxa" w:w="2438"/>
          </w:tcPr>
          <w:p>
            <w:pPr>
              <w:spacing w:before="20" w:after="20" w:line="240" w:lineRule="auto"/>
              <w:jc w:val="left"/>
            </w:pPr>
            <w:r>
              <w:rPr>
                <w:rFonts w:ascii="Arial" w:hAnsi="Arial"/>
                <w:b w:val="0"/>
                <w:i w:val="0"/>
                <w:color w:val="141C2B"/>
                <w:sz w:val="17"/>
              </w:rPr>
              <w:t>oralism</w:t>
            </w:r>
          </w:p>
        </w:tc>
        <w:tc>
          <w:tcPr>
            <w:tcW w:type="dxa" w:w="2665"/>
          </w:tcPr>
          <w:p>
            <w:pPr>
              <w:spacing w:before="20" w:after="20" w:line="240" w:lineRule="auto"/>
              <w:jc w:val="left"/>
            </w:pPr>
            <w:r>
              <w:rPr>
                <w:rFonts w:ascii="Arial" w:hAnsi="Arial"/>
                <w:b w:val="0"/>
                <w:i w:val="0"/>
                <w:color w:val="141C2B"/>
                <w:sz w:val="17"/>
              </w:rPr>
              <w:t>sözel yöntem</w:t>
            </w:r>
          </w:p>
        </w:tc>
      </w:tr>
      <w:tr>
        <w:tc>
          <w:tcPr>
            <w:tcW w:type="dxa" w:w="2438"/>
          </w:tcPr>
          <w:p>
            <w:pPr>
              <w:spacing w:before="20" w:after="20" w:line="240" w:lineRule="auto"/>
              <w:jc w:val="left"/>
            </w:pPr>
            <w:r>
              <w:rPr>
                <w:rFonts w:ascii="Arial" w:hAnsi="Arial"/>
                <w:b w:val="0"/>
                <w:i w:val="0"/>
                <w:color w:val="141C2B"/>
                <w:sz w:val="17"/>
              </w:rPr>
              <w:t>binding (as though it were binding)</w:t>
            </w:r>
          </w:p>
        </w:tc>
        <w:tc>
          <w:tcPr>
            <w:tcW w:type="dxa" w:w="2665"/>
          </w:tcPr>
          <w:p>
            <w:pPr>
              <w:spacing w:before="20" w:after="20" w:line="240" w:lineRule="auto"/>
              <w:jc w:val="left"/>
            </w:pPr>
            <w:r>
              <w:rPr>
                <w:rFonts w:ascii="Arial" w:hAnsi="Arial"/>
                <w:b w:val="0"/>
                <w:i w:val="0"/>
                <w:color w:val="141C2B"/>
                <w:sz w:val="17"/>
              </w:rPr>
              <w:t>bağlayıcı</w:t>
            </w:r>
          </w:p>
        </w:tc>
        <w:tc>
          <w:tcPr>
            <w:tcW w:type="dxa" w:w="2438"/>
          </w:tcPr>
          <w:p>
            <w:pPr>
              <w:spacing w:before="20" w:after="20" w:line="240" w:lineRule="auto"/>
              <w:jc w:val="left"/>
            </w:pPr>
            <w:r>
              <w:rPr>
                <w:rFonts w:ascii="Arial" w:hAnsi="Arial"/>
                <w:b w:val="0"/>
                <w:i w:val="0"/>
                <w:color w:val="141C2B"/>
                <w:sz w:val="17"/>
              </w:rPr>
              <w:t>outnumber</w:t>
            </w:r>
          </w:p>
        </w:tc>
        <w:tc>
          <w:tcPr>
            <w:tcW w:type="dxa" w:w="2665"/>
          </w:tcPr>
          <w:p>
            <w:pPr>
              <w:spacing w:before="20" w:after="20" w:line="240" w:lineRule="auto"/>
              <w:jc w:val="left"/>
            </w:pPr>
            <w:r>
              <w:rPr>
                <w:rFonts w:ascii="Arial" w:hAnsi="Arial"/>
                <w:b w:val="0"/>
                <w:i w:val="0"/>
                <w:color w:val="141C2B"/>
                <w:sz w:val="17"/>
              </w:rPr>
              <w:t>sayıca üstün gelmek</w:t>
            </w:r>
          </w:p>
        </w:tc>
      </w:tr>
      <w:tr>
        <w:tc>
          <w:tcPr>
            <w:tcW w:type="dxa" w:w="2438"/>
          </w:tcPr>
          <w:p>
            <w:pPr>
              <w:spacing w:before="20" w:after="20" w:line="240" w:lineRule="auto"/>
              <w:jc w:val="left"/>
            </w:pPr>
            <w:r>
              <w:rPr>
                <w:rFonts w:ascii="Arial" w:hAnsi="Arial"/>
                <w:b w:val="0"/>
                <w:i w:val="0"/>
                <w:color w:val="141C2B"/>
                <w:sz w:val="17"/>
              </w:rPr>
              <w:t>booth (a polling booth)</w:t>
            </w:r>
          </w:p>
        </w:tc>
        <w:tc>
          <w:tcPr>
            <w:tcW w:type="dxa" w:w="2665"/>
          </w:tcPr>
          <w:p>
            <w:pPr>
              <w:spacing w:before="20" w:after="20" w:line="240" w:lineRule="auto"/>
              <w:jc w:val="left"/>
            </w:pPr>
            <w:r>
              <w:rPr>
                <w:rFonts w:ascii="Arial" w:hAnsi="Arial"/>
                <w:b w:val="0"/>
                <w:i w:val="0"/>
                <w:color w:val="141C2B"/>
                <w:sz w:val="17"/>
              </w:rPr>
              <w:t>kabin</w:t>
            </w:r>
          </w:p>
        </w:tc>
        <w:tc>
          <w:tcPr>
            <w:tcW w:type="dxa" w:w="2438"/>
          </w:tcPr>
          <w:p>
            <w:pPr>
              <w:spacing w:before="20" w:after="20" w:line="240" w:lineRule="auto"/>
              <w:jc w:val="left"/>
            </w:pPr>
            <w:r>
              <w:rPr>
                <w:rFonts w:ascii="Arial" w:hAnsi="Arial"/>
                <w:b w:val="0"/>
                <w:i w:val="0"/>
                <w:color w:val="141C2B"/>
                <w:sz w:val="17"/>
              </w:rPr>
              <w:t>panic</w:t>
            </w:r>
          </w:p>
        </w:tc>
        <w:tc>
          <w:tcPr>
            <w:tcW w:type="dxa" w:w="2665"/>
          </w:tcPr>
          <w:p>
            <w:pPr>
              <w:spacing w:before="20" w:after="20" w:line="240" w:lineRule="auto"/>
              <w:jc w:val="left"/>
            </w:pPr>
            <w:r>
              <w:rPr>
                <w:rFonts w:ascii="Arial" w:hAnsi="Arial"/>
                <w:b w:val="0"/>
                <w:i w:val="0"/>
                <w:color w:val="141C2B"/>
                <w:sz w:val="17"/>
              </w:rPr>
              <w:t>panik</w:t>
            </w:r>
          </w:p>
        </w:tc>
      </w:tr>
      <w:tr>
        <w:tc>
          <w:tcPr>
            <w:tcW w:type="dxa" w:w="2438"/>
          </w:tcPr>
          <w:p>
            <w:pPr>
              <w:spacing w:before="20" w:after="20" w:line="240" w:lineRule="auto"/>
              <w:jc w:val="left"/>
            </w:pPr>
            <w:r>
              <w:rPr>
                <w:rFonts w:ascii="Arial" w:hAnsi="Arial"/>
                <w:b w:val="0"/>
                <w:i w:val="0"/>
                <w:color w:val="141C2B"/>
                <w:sz w:val="17"/>
              </w:rPr>
              <w:t>candidate</w:t>
            </w:r>
          </w:p>
        </w:tc>
        <w:tc>
          <w:tcPr>
            <w:tcW w:type="dxa" w:w="2665"/>
          </w:tcPr>
          <w:p>
            <w:pPr>
              <w:spacing w:before="20" w:after="20" w:line="240" w:lineRule="auto"/>
              <w:jc w:val="left"/>
            </w:pPr>
            <w:r>
              <w:rPr>
                <w:rFonts w:ascii="Arial" w:hAnsi="Arial"/>
                <w:b w:val="0"/>
                <w:i w:val="0"/>
                <w:color w:val="141C2B"/>
                <w:sz w:val="17"/>
              </w:rPr>
              <w:t>aday</w:t>
            </w:r>
          </w:p>
        </w:tc>
        <w:tc>
          <w:tcPr>
            <w:tcW w:type="dxa" w:w="2438"/>
          </w:tcPr>
          <w:p>
            <w:pPr>
              <w:spacing w:before="20" w:after="20" w:line="240" w:lineRule="auto"/>
              <w:jc w:val="left"/>
            </w:pPr>
            <w:r>
              <w:rPr>
                <w:rFonts w:ascii="Arial" w:hAnsi="Arial"/>
                <w:b w:val="0"/>
                <w:i w:val="0"/>
                <w:color w:val="141C2B"/>
                <w:sz w:val="17"/>
              </w:rPr>
              <w:t>passenger</w:t>
            </w:r>
          </w:p>
        </w:tc>
        <w:tc>
          <w:tcPr>
            <w:tcW w:type="dxa" w:w="2665"/>
          </w:tcPr>
          <w:p>
            <w:pPr>
              <w:spacing w:before="20" w:after="20" w:line="240" w:lineRule="auto"/>
              <w:jc w:val="left"/>
            </w:pPr>
            <w:r>
              <w:rPr>
                <w:rFonts w:ascii="Arial" w:hAnsi="Arial"/>
                <w:b w:val="0"/>
                <w:i w:val="0"/>
                <w:color w:val="141C2B"/>
                <w:sz w:val="17"/>
              </w:rPr>
              <w:t>yolcu</w:t>
            </w:r>
          </w:p>
        </w:tc>
      </w:tr>
      <w:tr>
        <w:tc>
          <w:tcPr>
            <w:tcW w:type="dxa" w:w="2438"/>
          </w:tcPr>
          <w:p>
            <w:pPr>
              <w:spacing w:before="20" w:after="20" w:line="240" w:lineRule="auto"/>
              <w:jc w:val="left"/>
            </w:pPr>
            <w:r>
              <w:rPr>
                <w:rFonts w:ascii="Arial" w:hAnsi="Arial"/>
                <w:b w:val="0"/>
                <w:i w:val="0"/>
                <w:color w:val="141C2B"/>
                <w:sz w:val="17"/>
              </w:rPr>
              <w:t>carriage</w:t>
            </w:r>
          </w:p>
        </w:tc>
        <w:tc>
          <w:tcPr>
            <w:tcW w:type="dxa" w:w="2665"/>
          </w:tcPr>
          <w:p>
            <w:pPr>
              <w:spacing w:before="20" w:after="20" w:line="240" w:lineRule="auto"/>
              <w:jc w:val="left"/>
            </w:pPr>
            <w:r>
              <w:rPr>
                <w:rFonts w:ascii="Arial" w:hAnsi="Arial"/>
                <w:b w:val="0"/>
                <w:i w:val="0"/>
                <w:color w:val="141C2B"/>
                <w:sz w:val="17"/>
              </w:rPr>
              <w:t>at arabası</w:t>
            </w:r>
          </w:p>
        </w:tc>
        <w:tc>
          <w:tcPr>
            <w:tcW w:type="dxa" w:w="2438"/>
          </w:tcPr>
          <w:p>
            <w:pPr>
              <w:spacing w:before="20" w:after="20" w:line="240" w:lineRule="auto"/>
              <w:jc w:val="left"/>
            </w:pPr>
            <w:r>
              <w:rPr>
                <w:rFonts w:ascii="Arial" w:hAnsi="Arial"/>
                <w:b w:val="0"/>
                <w:i w:val="0"/>
                <w:color w:val="141C2B"/>
                <w:sz w:val="17"/>
              </w:rPr>
              <w:t>patent (had been patented)</w:t>
            </w:r>
          </w:p>
        </w:tc>
        <w:tc>
          <w:tcPr>
            <w:tcW w:type="dxa" w:w="2665"/>
          </w:tcPr>
          <w:p>
            <w:pPr>
              <w:spacing w:before="20" w:after="20" w:line="240" w:lineRule="auto"/>
              <w:jc w:val="left"/>
            </w:pPr>
            <w:r>
              <w:rPr>
                <w:rFonts w:ascii="Arial" w:hAnsi="Arial"/>
                <w:b w:val="0"/>
                <w:i w:val="0"/>
                <w:color w:val="141C2B"/>
                <w:sz w:val="17"/>
              </w:rPr>
              <w:t>patent almak</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pigeonhole</w:t>
            </w:r>
          </w:p>
        </w:tc>
        <w:tc>
          <w:tcPr>
            <w:tcW w:type="dxa" w:w="2665"/>
          </w:tcPr>
          <w:p>
            <w:pPr>
              <w:spacing w:before="20" w:after="20" w:line="240" w:lineRule="auto"/>
              <w:jc w:val="left"/>
            </w:pPr>
            <w:r>
              <w:rPr>
                <w:rFonts w:ascii="Arial" w:hAnsi="Arial"/>
                <w:b w:val="0"/>
                <w:i w:val="0"/>
                <w:color w:val="141C2B"/>
                <w:sz w:val="17"/>
              </w:rPr>
              <w:t>göz, evrak gözü</w:t>
            </w:r>
          </w:p>
        </w:tc>
      </w:tr>
      <w:tr>
        <w:tc>
          <w:tcPr>
            <w:tcW w:type="dxa" w:w="2438"/>
          </w:tcPr>
          <w:p>
            <w:pPr>
              <w:spacing w:before="20" w:after="20" w:line="240" w:lineRule="auto"/>
              <w:jc w:val="left"/>
            </w:pPr>
            <w:r>
              <w:rPr>
                <w:rFonts w:ascii="Arial" w:hAnsi="Arial"/>
                <w:b w:val="0"/>
                <w:i w:val="0"/>
                <w:color w:val="141C2B"/>
                <w:sz w:val="17"/>
              </w:rPr>
              <w:t>clerk</w:t>
            </w:r>
          </w:p>
        </w:tc>
        <w:tc>
          <w:tcPr>
            <w:tcW w:type="dxa" w:w="2665"/>
          </w:tcPr>
          <w:p>
            <w:pPr>
              <w:spacing w:before="20" w:after="20" w:line="240" w:lineRule="auto"/>
              <w:jc w:val="left"/>
            </w:pPr>
            <w:r>
              <w:rPr>
                <w:rFonts w:ascii="Arial" w:hAnsi="Arial"/>
                <w:b w:val="0"/>
                <w:i w:val="0"/>
                <w:color w:val="141C2B"/>
                <w:sz w:val="17"/>
              </w:rPr>
              <w:t>kâtip, memur</w:t>
            </w:r>
          </w:p>
        </w:tc>
        <w:tc>
          <w:tcPr>
            <w:tcW w:type="dxa" w:w="2438"/>
          </w:tcPr>
          <w:p>
            <w:pPr>
              <w:spacing w:before="20" w:after="20" w:line="240" w:lineRule="auto"/>
              <w:jc w:val="left"/>
            </w:pPr>
            <w:r>
              <w:rPr>
                <w:rFonts w:ascii="Arial" w:hAnsi="Arial"/>
                <w:b w:val="0"/>
                <w:i w:val="0"/>
                <w:color w:val="141C2B"/>
                <w:sz w:val="17"/>
              </w:rPr>
              <w:t>poll (the open poll)</w:t>
            </w:r>
          </w:p>
        </w:tc>
        <w:tc>
          <w:tcPr>
            <w:tcW w:type="dxa" w:w="2665"/>
          </w:tcPr>
          <w:p>
            <w:pPr>
              <w:spacing w:before="20" w:after="20" w:line="240" w:lineRule="auto"/>
              <w:jc w:val="left"/>
            </w:pPr>
            <w:r>
              <w:rPr>
                <w:rFonts w:ascii="Arial" w:hAnsi="Arial"/>
                <w:b w:val="0"/>
                <w:i w:val="0"/>
                <w:color w:val="141C2B"/>
                <w:sz w:val="17"/>
              </w:rPr>
              <w:t>oylama; sandık</w:t>
            </w:r>
          </w:p>
        </w:tc>
      </w:tr>
      <w:tr>
        <w:tc>
          <w:tcPr>
            <w:tcW w:type="dxa" w:w="2438"/>
          </w:tcPr>
          <w:p>
            <w:pPr>
              <w:spacing w:before="20" w:after="20" w:line="240" w:lineRule="auto"/>
              <w:jc w:val="left"/>
            </w:pPr>
            <w:r>
              <w:rPr>
                <w:rFonts w:ascii="Arial" w:hAnsi="Arial"/>
                <w:b w:val="0"/>
                <w:i w:val="0"/>
                <w:color w:val="141C2B"/>
                <w:sz w:val="17"/>
              </w:rPr>
              <w:t>coachman (coachmen)</w:t>
            </w:r>
          </w:p>
        </w:tc>
        <w:tc>
          <w:tcPr>
            <w:tcW w:type="dxa" w:w="2665"/>
          </w:tcPr>
          <w:p>
            <w:pPr>
              <w:spacing w:before="20" w:after="20" w:line="240" w:lineRule="auto"/>
              <w:jc w:val="left"/>
            </w:pPr>
            <w:r>
              <w:rPr>
                <w:rFonts w:ascii="Arial" w:hAnsi="Arial"/>
                <w:b w:val="0"/>
                <w:i w:val="0"/>
                <w:color w:val="141C2B"/>
                <w:sz w:val="17"/>
              </w:rPr>
              <w:t>arabacı</w:t>
            </w:r>
          </w:p>
        </w:tc>
        <w:tc>
          <w:tcPr>
            <w:tcW w:type="dxa" w:w="2438"/>
          </w:tcPr>
          <w:p>
            <w:pPr>
              <w:spacing w:before="20" w:after="20" w:line="240" w:lineRule="auto"/>
              <w:jc w:val="left"/>
            </w:pPr>
            <w:r>
              <w:rPr>
                <w:rFonts w:ascii="Arial" w:hAnsi="Arial"/>
                <w:b w:val="0"/>
                <w:i w:val="0"/>
                <w:color w:val="141C2B"/>
                <w:sz w:val="17"/>
              </w:rPr>
              <w:t>pollen</w:t>
            </w:r>
          </w:p>
        </w:tc>
        <w:tc>
          <w:tcPr>
            <w:tcW w:type="dxa" w:w="2665"/>
          </w:tcPr>
          <w:p>
            <w:pPr>
              <w:spacing w:before="20" w:after="20" w:line="240" w:lineRule="auto"/>
              <w:jc w:val="left"/>
            </w:pPr>
            <w:r>
              <w:rPr>
                <w:rFonts w:ascii="Arial" w:hAnsi="Arial"/>
                <w:b w:val="0"/>
                <w:i w:val="0"/>
                <w:color w:val="141C2B"/>
                <w:sz w:val="17"/>
              </w:rPr>
              <w:t>polen</w:t>
            </w:r>
          </w:p>
        </w:tc>
      </w:tr>
      <w:tr>
        <w:tc>
          <w:tcPr>
            <w:tcW w:type="dxa" w:w="2438"/>
          </w:tcPr>
          <w:p>
            <w:pPr>
              <w:spacing w:before="20" w:after="20" w:line="240" w:lineRule="auto"/>
              <w:jc w:val="left"/>
            </w:pPr>
            <w:r>
              <w:rPr>
                <w:rFonts w:ascii="Arial" w:hAnsi="Arial"/>
                <w:b w:val="0"/>
                <w:i w:val="0"/>
                <w:color w:val="141C2B"/>
                <w:sz w:val="17"/>
              </w:rPr>
              <w:t>collapse</w:t>
            </w:r>
          </w:p>
        </w:tc>
        <w:tc>
          <w:tcPr>
            <w:tcW w:type="dxa" w:w="2665"/>
          </w:tcPr>
          <w:p>
            <w:pPr>
              <w:spacing w:before="20" w:after="20" w:line="240" w:lineRule="auto"/>
              <w:jc w:val="left"/>
            </w:pPr>
            <w:r>
              <w:rPr>
                <w:rFonts w:ascii="Arial" w:hAnsi="Arial"/>
                <w:b w:val="0"/>
                <w:i w:val="0"/>
                <w:color w:val="141C2B"/>
                <w:sz w:val="17"/>
              </w:rPr>
              <w:t>çöküş</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command (to command any part of it)</w:t>
            </w:r>
          </w:p>
        </w:tc>
        <w:tc>
          <w:tcPr>
            <w:tcW w:type="dxa" w:w="2665"/>
          </w:tcPr>
          <w:p>
            <w:pPr>
              <w:spacing w:before="20" w:after="20" w:line="240" w:lineRule="auto"/>
              <w:jc w:val="left"/>
            </w:pPr>
            <w:r>
              <w:rPr>
                <w:rFonts w:ascii="Arial" w:hAnsi="Arial"/>
                <w:b w:val="0"/>
                <w:i w:val="0"/>
                <w:color w:val="141C2B"/>
                <w:sz w:val="17"/>
              </w:rPr>
              <w:t>erişmek, buyruğuna almak</w:t>
            </w:r>
          </w:p>
        </w:tc>
        <w:tc>
          <w:tcPr>
            <w:tcW w:type="dxa" w:w="2438"/>
          </w:tcPr>
          <w:p>
            <w:pPr>
              <w:spacing w:before="20" w:after="20" w:line="240" w:lineRule="auto"/>
              <w:jc w:val="left"/>
            </w:pPr>
            <w:r>
              <w:rPr>
                <w:rFonts w:ascii="Arial" w:hAnsi="Arial"/>
                <w:b w:val="0"/>
                <w:i w:val="0"/>
                <w:color w:val="141C2B"/>
                <w:sz w:val="17"/>
              </w:rPr>
              <w:t>price out (priced out)</w:t>
            </w:r>
          </w:p>
        </w:tc>
        <w:tc>
          <w:tcPr>
            <w:tcW w:type="dxa" w:w="2665"/>
          </w:tcPr>
          <w:p>
            <w:pPr>
              <w:spacing w:before="20" w:after="20" w:line="240" w:lineRule="auto"/>
              <w:jc w:val="left"/>
            </w:pPr>
            <w:r>
              <w:rPr>
                <w:rFonts w:ascii="Arial" w:hAnsi="Arial"/>
                <w:b w:val="0"/>
                <w:i w:val="0"/>
                <w:color w:val="141C2B"/>
                <w:sz w:val="17"/>
              </w:rPr>
              <w:t>fiyatıyla dışarıda bırakmak</w:t>
            </w:r>
          </w:p>
        </w:tc>
      </w:tr>
      <w:tr>
        <w:tc>
          <w:tcPr>
            <w:tcW w:type="dxa" w:w="2438"/>
          </w:tcPr>
          <w:p>
            <w:pPr>
              <w:spacing w:before="20" w:after="20" w:line="240" w:lineRule="auto"/>
              <w:jc w:val="left"/>
            </w:pPr>
            <w:r>
              <w:rPr>
                <w:rFonts w:ascii="Arial" w:hAnsi="Arial"/>
                <w:b w:val="0"/>
                <w:i w:val="0"/>
                <w:color w:val="141C2B"/>
                <w:sz w:val="17"/>
              </w:rPr>
              <w:t>commercial</w:t>
            </w:r>
          </w:p>
        </w:tc>
        <w:tc>
          <w:tcPr>
            <w:tcW w:type="dxa" w:w="2665"/>
          </w:tcPr>
          <w:p>
            <w:pPr>
              <w:spacing w:before="20" w:after="20" w:line="240" w:lineRule="auto"/>
              <w:jc w:val="left"/>
            </w:pPr>
            <w:r>
              <w:rPr>
                <w:rFonts w:ascii="Arial" w:hAnsi="Arial"/>
                <w:b w:val="0"/>
                <w:i w:val="0"/>
                <w:color w:val="141C2B"/>
                <w:sz w:val="17"/>
              </w:rPr>
              <w:t>ticari</w:t>
            </w:r>
          </w:p>
        </w:tc>
        <w:tc>
          <w:tcPr>
            <w:tcW w:type="dxa" w:w="2438"/>
          </w:tcPr>
          <w:p>
            <w:pPr>
              <w:spacing w:before="20" w:after="20" w:line="240" w:lineRule="auto"/>
              <w:jc w:val="left"/>
            </w:pPr>
            <w:r>
              <w:rPr>
                <w:rFonts w:ascii="Arial" w:hAnsi="Arial"/>
                <w:b w:val="0"/>
                <w:i w:val="0"/>
                <w:color w:val="141C2B"/>
                <w:sz w:val="17"/>
              </w:rPr>
              <w:t>property (a property of the place)</w:t>
            </w:r>
          </w:p>
        </w:tc>
        <w:tc>
          <w:tcPr>
            <w:tcW w:type="dxa" w:w="2665"/>
          </w:tcPr>
          <w:p>
            <w:pPr>
              <w:spacing w:before="20" w:after="20" w:line="240" w:lineRule="auto"/>
              <w:jc w:val="left"/>
            </w:pPr>
            <w:r>
              <w:rPr>
                <w:rFonts w:ascii="Arial" w:hAnsi="Arial"/>
                <w:b w:val="0"/>
                <w:i w:val="0"/>
                <w:color w:val="141C2B"/>
                <w:sz w:val="17"/>
              </w:rPr>
              <w:t>nitelik, özellik</w:t>
            </w:r>
          </w:p>
        </w:tc>
      </w:tr>
      <w:tr>
        <w:tc>
          <w:tcPr>
            <w:tcW w:type="dxa" w:w="2438"/>
          </w:tcPr>
          <w:p>
            <w:pPr>
              <w:spacing w:before="20" w:after="20" w:line="240" w:lineRule="auto"/>
              <w:jc w:val="left"/>
            </w:pPr>
            <w:r>
              <w:rPr>
                <w:rFonts w:ascii="Arial" w:hAnsi="Arial"/>
                <w:b w:val="0"/>
                <w:i w:val="0"/>
                <w:color w:val="141C2B"/>
                <w:sz w:val="17"/>
              </w:rPr>
              <w:t>concerned (the community concerned)</w:t>
            </w:r>
          </w:p>
        </w:tc>
        <w:tc>
          <w:tcPr>
            <w:tcW w:type="dxa" w:w="2665"/>
          </w:tcPr>
          <w:p>
            <w:pPr>
              <w:spacing w:before="20" w:after="20" w:line="240" w:lineRule="auto"/>
              <w:jc w:val="left"/>
            </w:pPr>
            <w:r>
              <w:rPr>
                <w:rFonts w:ascii="Arial" w:hAnsi="Arial"/>
                <w:b w:val="0"/>
                <w:i w:val="0"/>
                <w:color w:val="141C2B"/>
                <w:sz w:val="17"/>
              </w:rPr>
              <w:t>ilgili, söz konusu</w:t>
            </w:r>
          </w:p>
        </w:tc>
        <w:tc>
          <w:tcPr>
            <w:tcW w:type="dxa" w:w="2438"/>
          </w:tcPr>
          <w:p>
            <w:pPr>
              <w:spacing w:before="20" w:after="20" w:line="240" w:lineRule="auto"/>
              <w:jc w:val="left"/>
            </w:pPr>
            <w:r>
              <w:rPr>
                <w:rFonts w:ascii="Arial" w:hAnsi="Arial"/>
                <w:b w:val="0"/>
                <w:i w:val="0"/>
                <w:color w:val="141C2B"/>
                <w:sz w:val="17"/>
              </w:rPr>
              <w:t>provide</w:t>
            </w:r>
          </w:p>
        </w:tc>
        <w:tc>
          <w:tcPr>
            <w:tcW w:type="dxa" w:w="2665"/>
          </w:tcPr>
          <w:p>
            <w:pPr>
              <w:spacing w:before="20" w:after="20" w:line="240" w:lineRule="auto"/>
              <w:jc w:val="left"/>
            </w:pPr>
            <w:r>
              <w:rPr>
                <w:rFonts w:ascii="Arial" w:hAnsi="Arial"/>
                <w:b w:val="0"/>
                <w:i w:val="0"/>
                <w:color w:val="141C2B"/>
                <w:sz w:val="17"/>
              </w:rPr>
              <w:t>sağlamak, sunmak</w:t>
            </w:r>
          </w:p>
        </w:tc>
      </w:tr>
      <w:tr>
        <w:tc>
          <w:tcPr>
            <w:tcW w:type="dxa" w:w="2438"/>
          </w:tcPr>
          <w:p>
            <w:pPr>
              <w:spacing w:before="20" w:after="20" w:line="240" w:lineRule="auto"/>
              <w:jc w:val="left"/>
            </w:pPr>
            <w:r>
              <w:rPr>
                <w:rFonts w:ascii="Arial" w:hAnsi="Arial"/>
                <w:b w:val="0"/>
                <w:i w:val="0"/>
                <w:color w:val="141C2B"/>
                <w:sz w:val="17"/>
              </w:rPr>
              <w:t>congress (an international congress)</w:t>
            </w:r>
          </w:p>
        </w:tc>
        <w:tc>
          <w:tcPr>
            <w:tcW w:type="dxa" w:w="2665"/>
          </w:tcPr>
          <w:p>
            <w:pPr>
              <w:spacing w:before="20" w:after="20" w:line="240" w:lineRule="auto"/>
              <w:jc w:val="left"/>
            </w:pPr>
            <w:r>
              <w:rPr>
                <w:rFonts w:ascii="Arial" w:hAnsi="Arial"/>
                <w:b w:val="0"/>
                <w:i w:val="0"/>
                <w:color w:val="141C2B"/>
                <w:sz w:val="17"/>
              </w:rPr>
              <w:t>kongre</w:t>
            </w:r>
          </w:p>
        </w:tc>
        <w:tc>
          <w:tcPr>
            <w:tcW w:type="dxa" w:w="2438"/>
          </w:tcPr>
          <w:p>
            <w:pPr>
              <w:spacing w:before="20" w:after="20" w:line="240" w:lineRule="auto"/>
              <w:jc w:val="left"/>
            </w:pPr>
            <w:r>
              <w:rPr>
                <w:rFonts w:ascii="Arial" w:hAnsi="Arial"/>
                <w:b w:val="0"/>
                <w:i w:val="0"/>
                <w:color w:val="141C2B"/>
                <w:sz w:val="17"/>
              </w:rPr>
              <w:t>public works</w:t>
            </w:r>
          </w:p>
        </w:tc>
        <w:tc>
          <w:tcPr>
            <w:tcW w:type="dxa" w:w="2665"/>
          </w:tcPr>
          <w:p>
            <w:pPr>
              <w:spacing w:before="20" w:after="20" w:line="240" w:lineRule="auto"/>
              <w:jc w:val="left"/>
            </w:pPr>
            <w:r>
              <w:rPr>
                <w:rFonts w:ascii="Arial" w:hAnsi="Arial"/>
                <w:b w:val="0"/>
                <w:i w:val="0"/>
                <w:color w:val="141C2B"/>
                <w:sz w:val="17"/>
              </w:rPr>
              <w:t>bayındırlık işleri</w:t>
            </w:r>
          </w:p>
        </w:tc>
      </w:tr>
      <w:tr>
        <w:tc>
          <w:tcPr>
            <w:tcW w:type="dxa" w:w="2438"/>
          </w:tcPr>
          <w:p>
            <w:pPr>
              <w:spacing w:before="20" w:after="20" w:line="240" w:lineRule="auto"/>
              <w:jc w:val="left"/>
            </w:pPr>
            <w:r>
              <w:rPr>
                <w:rFonts w:ascii="Arial" w:hAnsi="Arial"/>
                <w:b w:val="0"/>
                <w:i w:val="0"/>
                <w:color w:val="141C2B"/>
                <w:sz w:val="17"/>
              </w:rPr>
              <w:t>consequence</w:t>
            </w:r>
          </w:p>
        </w:tc>
        <w:tc>
          <w:tcPr>
            <w:tcW w:type="dxa" w:w="2665"/>
          </w:tcPr>
          <w:p>
            <w:pPr>
              <w:spacing w:before="20" w:after="20" w:line="240" w:lineRule="auto"/>
              <w:jc w:val="left"/>
            </w:pPr>
            <w:r>
              <w:rPr>
                <w:rFonts w:ascii="Arial" w:hAnsi="Arial"/>
                <w:b w:val="0"/>
                <w:i w:val="0"/>
                <w:color w:val="141C2B"/>
                <w:sz w:val="17"/>
              </w:rPr>
              <w:t>sonuç</w:t>
            </w:r>
          </w:p>
        </w:tc>
        <w:tc>
          <w:tcPr>
            <w:tcW w:type="dxa" w:w="2438"/>
          </w:tcPr>
          <w:p>
            <w:pPr>
              <w:spacing w:before="20" w:after="20" w:line="240" w:lineRule="auto"/>
              <w:jc w:val="left"/>
            </w:pPr>
            <w:r>
              <w:rPr>
                <w:rFonts w:ascii="Arial" w:hAnsi="Arial"/>
                <w:b w:val="0"/>
                <w:i w:val="0"/>
                <w:color w:val="141C2B"/>
                <w:sz w:val="17"/>
              </w:rPr>
              <w:t>purchasing power</w:t>
            </w:r>
          </w:p>
        </w:tc>
        <w:tc>
          <w:tcPr>
            <w:tcW w:type="dxa" w:w="2665"/>
          </w:tcPr>
          <w:p>
            <w:pPr>
              <w:spacing w:before="20" w:after="20" w:line="240" w:lineRule="auto"/>
              <w:jc w:val="left"/>
            </w:pPr>
            <w:r>
              <w:rPr>
                <w:rFonts w:ascii="Arial" w:hAnsi="Arial"/>
                <w:b w:val="0"/>
                <w:i w:val="0"/>
                <w:color w:val="141C2B"/>
                <w:sz w:val="17"/>
              </w:rPr>
              <w:t>alım gücü</w:t>
            </w:r>
          </w:p>
        </w:tc>
      </w:tr>
      <w:tr>
        <w:tc>
          <w:tcPr>
            <w:tcW w:type="dxa" w:w="2438"/>
          </w:tcPr>
          <w:p>
            <w:pPr>
              <w:spacing w:before="20" w:after="20" w:line="240" w:lineRule="auto"/>
              <w:jc w:val="left"/>
            </w:pPr>
            <w:r>
              <w:rPr>
                <w:rFonts w:ascii="Arial" w:hAnsi="Arial"/>
                <w:b w:val="0"/>
                <w:i w:val="0"/>
                <w:color w:val="141C2B"/>
                <w:sz w:val="17"/>
              </w:rPr>
              <w:t>consume</w:t>
            </w:r>
          </w:p>
        </w:tc>
        <w:tc>
          <w:tcPr>
            <w:tcW w:type="dxa" w:w="2665"/>
          </w:tcPr>
          <w:p>
            <w:pPr>
              <w:spacing w:before="20" w:after="20" w:line="240" w:lineRule="auto"/>
              <w:jc w:val="left"/>
            </w:pPr>
            <w:r>
              <w:rPr>
                <w:rFonts w:ascii="Arial" w:hAnsi="Arial"/>
                <w:b w:val="0"/>
                <w:i w:val="0"/>
                <w:color w:val="141C2B"/>
                <w:sz w:val="17"/>
              </w:rPr>
              <w:t>tüketmek</w:t>
            </w:r>
          </w:p>
        </w:tc>
        <w:tc>
          <w:tcPr>
            <w:tcW w:type="dxa" w:w="2438"/>
          </w:tcPr>
          <w:p>
            <w:pPr>
              <w:spacing w:before="20" w:after="20" w:line="240" w:lineRule="auto"/>
              <w:jc w:val="left"/>
            </w:pPr>
            <w:r>
              <w:rPr>
                <w:rFonts w:ascii="Arial" w:hAnsi="Arial"/>
                <w:b w:val="0"/>
                <w:i w:val="0"/>
                <w:color w:val="141C2B"/>
                <w:sz w:val="17"/>
              </w:rPr>
              <w:t>purpose</w:t>
            </w:r>
          </w:p>
        </w:tc>
        <w:tc>
          <w:tcPr>
            <w:tcW w:type="dxa" w:w="2665"/>
          </w:tcPr>
          <w:p>
            <w:pPr>
              <w:spacing w:before="20" w:after="20" w:line="240" w:lineRule="auto"/>
              <w:jc w:val="left"/>
            </w:pPr>
            <w:r>
              <w:rPr>
                <w:rFonts w:ascii="Arial" w:hAnsi="Arial"/>
                <w:b w:val="0"/>
                <w:i w:val="0"/>
                <w:color w:val="141C2B"/>
                <w:sz w:val="17"/>
              </w:rPr>
              <w:t>amaç, hedef</w:t>
            </w:r>
          </w:p>
        </w:tc>
      </w:tr>
      <w:tr>
        <w:tc>
          <w:tcPr>
            <w:tcW w:type="dxa" w:w="2438"/>
          </w:tcPr>
          <w:p>
            <w:pPr>
              <w:spacing w:before="20" w:after="20" w:line="240" w:lineRule="auto"/>
              <w:jc w:val="left"/>
            </w:pPr>
            <w:r>
              <w:rPr>
                <w:rFonts w:ascii="Arial" w:hAnsi="Arial"/>
                <w:b w:val="0"/>
                <w:i w:val="0"/>
                <w:color w:val="141C2B"/>
                <w:sz w:val="17"/>
              </w:rPr>
              <w:t>consumer protection</w:t>
            </w:r>
          </w:p>
        </w:tc>
        <w:tc>
          <w:tcPr>
            <w:tcW w:type="dxa" w:w="2665"/>
          </w:tcPr>
          <w:p>
            <w:pPr>
              <w:spacing w:before="20" w:after="20" w:line="240" w:lineRule="auto"/>
              <w:jc w:val="left"/>
            </w:pPr>
            <w:r>
              <w:rPr>
                <w:rFonts w:ascii="Arial" w:hAnsi="Arial"/>
                <w:b w:val="0"/>
                <w:i w:val="0"/>
                <w:color w:val="141C2B"/>
                <w:sz w:val="17"/>
              </w:rPr>
              <w:t>tüketicinin korunması</w:t>
            </w:r>
          </w:p>
        </w:tc>
        <w:tc>
          <w:tcPr>
            <w:tcW w:type="dxa" w:w="2438"/>
          </w:tcPr>
          <w:p>
            <w:pPr>
              <w:spacing w:before="20" w:after="20" w:line="240" w:lineRule="auto"/>
              <w:jc w:val="left"/>
            </w:pPr>
            <w:r>
              <w:rPr>
                <w:rFonts w:ascii="Arial" w:hAnsi="Arial"/>
                <w:b w:val="0"/>
                <w:i w:val="0"/>
                <w:color w:val="141C2B"/>
                <w:sz w:val="17"/>
              </w:rPr>
              <w:t>quarry (slate was quarried)</w:t>
            </w:r>
          </w:p>
        </w:tc>
        <w:tc>
          <w:tcPr>
            <w:tcW w:type="dxa" w:w="2665"/>
          </w:tcPr>
          <w:p>
            <w:pPr>
              <w:spacing w:before="20" w:after="20" w:line="240" w:lineRule="auto"/>
              <w:jc w:val="left"/>
            </w:pPr>
            <w:r>
              <w:rPr>
                <w:rFonts w:ascii="Arial" w:hAnsi="Arial"/>
                <w:b w:val="0"/>
                <w:i w:val="0"/>
                <w:color w:val="141C2B"/>
                <w:sz w:val="17"/>
              </w:rPr>
              <w:t>ocaktan çıkarmak</w:t>
            </w:r>
          </w:p>
        </w:tc>
      </w:tr>
      <w:tr>
        <w:tc>
          <w:tcPr>
            <w:tcW w:type="dxa" w:w="2438"/>
          </w:tcPr>
          <w:p>
            <w:pPr>
              <w:spacing w:before="20" w:after="20" w:line="240" w:lineRule="auto"/>
              <w:jc w:val="left"/>
            </w:pPr>
            <w:r>
              <w:rPr>
                <w:rFonts w:ascii="Arial" w:hAnsi="Arial"/>
                <w:b w:val="0"/>
                <w:i w:val="0"/>
                <w:color w:val="141C2B"/>
                <w:sz w:val="17"/>
              </w:rPr>
              <w:t>contemporary (their hearing contemporaries)</w:t>
            </w:r>
          </w:p>
        </w:tc>
        <w:tc>
          <w:tcPr>
            <w:tcW w:type="dxa" w:w="2665"/>
          </w:tcPr>
          <w:p>
            <w:pPr>
              <w:spacing w:before="20" w:after="20" w:line="240" w:lineRule="auto"/>
              <w:jc w:val="left"/>
            </w:pPr>
            <w:r>
              <w:rPr>
                <w:rFonts w:ascii="Arial" w:hAnsi="Arial"/>
                <w:b w:val="0"/>
                <w:i w:val="0"/>
                <w:color w:val="141C2B"/>
                <w:sz w:val="17"/>
              </w:rPr>
              <w:t>çağdaş, akran</w:t>
            </w:r>
          </w:p>
        </w:tc>
        <w:tc>
          <w:tcPr>
            <w:tcW w:type="dxa" w:w="2438"/>
          </w:tcPr>
          <w:p>
            <w:pPr>
              <w:spacing w:before="20" w:after="20" w:line="240" w:lineRule="auto"/>
              <w:jc w:val="left"/>
            </w:pPr>
            <w:r>
              <w:rPr>
                <w:rFonts w:ascii="Arial" w:hAnsi="Arial"/>
                <w:b w:val="0"/>
                <w:i w:val="0"/>
                <w:color w:val="141C2B"/>
                <w:sz w:val="17"/>
              </w:rPr>
              <w:t>queue</w:t>
            </w:r>
          </w:p>
        </w:tc>
        <w:tc>
          <w:tcPr>
            <w:tcW w:type="dxa" w:w="2665"/>
          </w:tcPr>
          <w:p>
            <w:pPr>
              <w:spacing w:before="20" w:after="20" w:line="240" w:lineRule="auto"/>
              <w:jc w:val="left"/>
            </w:pPr>
            <w:r>
              <w:rPr>
                <w:rFonts w:ascii="Arial" w:hAnsi="Arial"/>
                <w:b w:val="0"/>
                <w:i w:val="0"/>
                <w:color w:val="141C2B"/>
                <w:sz w:val="17"/>
              </w:rPr>
              <w:t>kuyruk</w:t>
            </w:r>
          </w:p>
        </w:tc>
      </w:tr>
      <w:tr>
        <w:tc>
          <w:tcPr>
            <w:tcW w:type="dxa" w:w="2438"/>
          </w:tcPr>
          <w:p>
            <w:pPr>
              <w:spacing w:before="20" w:after="20" w:line="240" w:lineRule="auto"/>
              <w:jc w:val="left"/>
            </w:pPr>
            <w:r>
              <w:rPr>
                <w:rFonts w:ascii="Arial" w:hAnsi="Arial"/>
                <w:b w:val="0"/>
                <w:i w:val="0"/>
                <w:color w:val="141C2B"/>
                <w:sz w:val="17"/>
              </w:rPr>
              <w:t>context (their context)</w:t>
            </w:r>
          </w:p>
        </w:tc>
        <w:tc>
          <w:tcPr>
            <w:tcW w:type="dxa" w:w="2665"/>
          </w:tcPr>
          <w:p>
            <w:pPr>
              <w:spacing w:before="20" w:after="20" w:line="240" w:lineRule="auto"/>
              <w:jc w:val="left"/>
            </w:pPr>
            <w:r>
              <w:rPr>
                <w:rFonts w:ascii="Arial" w:hAnsi="Arial"/>
                <w:b w:val="0"/>
                <w:i w:val="0"/>
                <w:color w:val="141C2B"/>
                <w:sz w:val="17"/>
              </w:rPr>
              <w:t>bağlam</w:t>
            </w:r>
          </w:p>
        </w:tc>
        <w:tc>
          <w:tcPr>
            <w:tcW w:type="dxa" w:w="2438"/>
          </w:tcPr>
          <w:p>
            <w:pPr>
              <w:spacing w:before="20" w:after="20" w:line="240" w:lineRule="auto"/>
              <w:jc w:val="left"/>
            </w:pPr>
            <w:r>
              <w:rPr>
                <w:rFonts w:ascii="Arial" w:hAnsi="Arial"/>
                <w:b w:val="0"/>
                <w:i w:val="0"/>
                <w:color w:val="141C2B"/>
                <w:sz w:val="17"/>
              </w:rPr>
              <w:t>raise</w:t>
            </w:r>
          </w:p>
        </w:tc>
        <w:tc>
          <w:tcPr>
            <w:tcW w:type="dxa" w:w="2665"/>
          </w:tcPr>
          <w:p>
            <w:pPr>
              <w:spacing w:before="20" w:after="20" w:line="240" w:lineRule="auto"/>
              <w:jc w:val="left"/>
            </w:pPr>
            <w:r>
              <w:rPr>
                <w:rFonts w:ascii="Arial" w:hAnsi="Arial"/>
                <w:b w:val="0"/>
                <w:i w:val="0"/>
                <w:color w:val="141C2B"/>
                <w:sz w:val="17"/>
              </w:rPr>
              <w:t>artırmak, yükseltmek</w:t>
            </w:r>
          </w:p>
        </w:tc>
      </w:tr>
      <w:tr>
        <w:tc>
          <w:tcPr>
            <w:tcW w:type="dxa" w:w="2438"/>
          </w:tcPr>
          <w:p>
            <w:pPr>
              <w:spacing w:before="20" w:after="20" w:line="240" w:lineRule="auto"/>
              <w:jc w:val="left"/>
            </w:pPr>
            <w:r>
              <w:rPr>
                <w:rFonts w:ascii="Arial" w:hAnsi="Arial"/>
                <w:b w:val="0"/>
                <w:i w:val="0"/>
                <w:color w:val="141C2B"/>
                <w:sz w:val="17"/>
              </w:rPr>
              <w:t>convention (became a convention)</w:t>
            </w:r>
          </w:p>
        </w:tc>
        <w:tc>
          <w:tcPr>
            <w:tcW w:type="dxa" w:w="2665"/>
          </w:tcPr>
          <w:p>
            <w:pPr>
              <w:spacing w:before="20" w:after="20" w:line="240" w:lineRule="auto"/>
              <w:jc w:val="left"/>
            </w:pPr>
            <w:r>
              <w:rPr>
                <w:rFonts w:ascii="Arial" w:hAnsi="Arial"/>
                <w:b w:val="0"/>
                <w:i w:val="0"/>
                <w:color w:val="141C2B"/>
                <w:sz w:val="17"/>
              </w:rPr>
              <w:t>yerleşik âdet</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corollary</w:t>
            </w:r>
          </w:p>
        </w:tc>
        <w:tc>
          <w:tcPr>
            <w:tcW w:type="dxa" w:w="2665"/>
          </w:tcPr>
          <w:p>
            <w:pPr>
              <w:spacing w:before="20" w:after="20" w:line="240" w:lineRule="auto"/>
              <w:jc w:val="left"/>
            </w:pPr>
            <w:r>
              <w:rPr>
                <w:rFonts w:ascii="Arial" w:hAnsi="Arial"/>
                <w:b w:val="0"/>
                <w:i w:val="0"/>
                <w:color w:val="141C2B"/>
                <w:sz w:val="17"/>
              </w:rPr>
              <w:t>doğal sonuç</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corruption</w:t>
            </w:r>
          </w:p>
        </w:tc>
        <w:tc>
          <w:tcPr>
            <w:tcW w:type="dxa" w:w="2665"/>
          </w:tcPr>
          <w:p>
            <w:pPr>
              <w:spacing w:before="20" w:after="20" w:line="240" w:lineRule="auto"/>
              <w:jc w:val="left"/>
            </w:pPr>
            <w:r>
              <w:rPr>
                <w:rFonts w:ascii="Arial" w:hAnsi="Arial"/>
                <w:b w:val="0"/>
                <w:i w:val="0"/>
                <w:color w:val="141C2B"/>
                <w:sz w:val="17"/>
              </w:rPr>
              <w:t>yolsuzluk</w:t>
            </w:r>
          </w:p>
        </w:tc>
        <w:tc>
          <w:tcPr>
            <w:tcW w:type="dxa" w:w="2438"/>
          </w:tcPr>
          <w:p>
            <w:pPr>
              <w:spacing w:before="20" w:after="20" w:line="240" w:lineRule="auto"/>
              <w:jc w:val="left"/>
            </w:pPr>
            <w:r>
              <w:rPr>
                <w:rFonts w:ascii="Arial" w:hAnsi="Arial"/>
                <w:b w:val="0"/>
                <w:i w:val="0"/>
                <w:color w:val="141C2B"/>
                <w:sz w:val="17"/>
              </w:rPr>
              <w:t>recover (payments recovered)</w:t>
            </w:r>
          </w:p>
        </w:tc>
        <w:tc>
          <w:tcPr>
            <w:tcW w:type="dxa" w:w="2665"/>
          </w:tcPr>
          <w:p>
            <w:pPr>
              <w:spacing w:before="20" w:after="20" w:line="240" w:lineRule="auto"/>
              <w:jc w:val="left"/>
            </w:pPr>
            <w:r>
              <w:rPr>
                <w:rFonts w:ascii="Arial" w:hAnsi="Arial"/>
                <w:b w:val="0"/>
                <w:i w:val="0"/>
                <w:color w:val="141C2B"/>
                <w:sz w:val="17"/>
              </w:rPr>
              <w:t>geri almak</w:t>
            </w:r>
          </w:p>
        </w:tc>
      </w:tr>
      <w:tr>
        <w:tc>
          <w:tcPr>
            <w:tcW w:type="dxa" w:w="2438"/>
          </w:tcPr>
          <w:p>
            <w:pPr>
              <w:spacing w:before="20" w:after="20" w:line="240" w:lineRule="auto"/>
              <w:jc w:val="left"/>
            </w:pPr>
            <w:r>
              <w:rPr>
                <w:rFonts w:ascii="Arial" w:hAnsi="Arial"/>
                <w:b w:val="0"/>
                <w:i w:val="0"/>
                <w:color w:val="141C2B"/>
                <w:sz w:val="17"/>
              </w:rPr>
              <w:t>court (tried in the same court)</w:t>
            </w:r>
          </w:p>
        </w:tc>
        <w:tc>
          <w:tcPr>
            <w:tcW w:type="dxa" w:w="2665"/>
          </w:tcPr>
          <w:p>
            <w:pPr>
              <w:spacing w:before="20" w:after="20" w:line="240" w:lineRule="auto"/>
              <w:jc w:val="left"/>
            </w:pPr>
            <w:r>
              <w:rPr>
                <w:rFonts w:ascii="Arial" w:hAnsi="Arial"/>
                <w:b w:val="0"/>
                <w:i w:val="0"/>
                <w:color w:val="141C2B"/>
                <w:sz w:val="17"/>
              </w:rPr>
              <w:t>mahkeme</w:t>
            </w:r>
          </w:p>
        </w:tc>
        <w:tc>
          <w:tcPr>
            <w:tcW w:type="dxa" w:w="2438"/>
          </w:tcPr>
          <w:p>
            <w:pPr>
              <w:spacing w:before="20" w:after="20" w:line="240" w:lineRule="auto"/>
              <w:jc w:val="left"/>
            </w:pPr>
            <w:r>
              <w:rPr>
                <w:rFonts w:ascii="Arial" w:hAnsi="Arial"/>
                <w:b w:val="0"/>
                <w:i w:val="0"/>
                <w:color w:val="141C2B"/>
                <w:sz w:val="17"/>
              </w:rPr>
              <w:t>relief (famine relief)</w:t>
            </w:r>
          </w:p>
        </w:tc>
        <w:tc>
          <w:tcPr>
            <w:tcW w:type="dxa" w:w="2665"/>
          </w:tcPr>
          <w:p>
            <w:pPr>
              <w:spacing w:before="20" w:after="20" w:line="240" w:lineRule="auto"/>
              <w:jc w:val="left"/>
            </w:pPr>
            <w:r>
              <w:rPr>
                <w:rFonts w:ascii="Arial" w:hAnsi="Arial"/>
                <w:b w:val="0"/>
                <w:i w:val="0"/>
                <w:color w:val="141C2B"/>
                <w:sz w:val="17"/>
              </w:rPr>
              <w:t>yardım</w:t>
            </w:r>
          </w:p>
        </w:tc>
      </w:tr>
      <w:tr>
        <w:tc>
          <w:tcPr>
            <w:tcW w:type="dxa" w:w="2438"/>
          </w:tcPr>
          <w:p>
            <w:pPr>
              <w:spacing w:before="20" w:after="20" w:line="240" w:lineRule="auto"/>
              <w:jc w:val="left"/>
            </w:pPr>
            <w:r>
              <w:rPr>
                <w:rFonts w:ascii="Arial" w:hAnsi="Arial"/>
                <w:b w:val="0"/>
                <w:i w:val="0"/>
                <w:color w:val="141C2B"/>
                <w:sz w:val="17"/>
              </w:rPr>
              <w:t>creditor</w:t>
            </w:r>
          </w:p>
        </w:tc>
        <w:tc>
          <w:tcPr>
            <w:tcW w:type="dxa" w:w="2665"/>
          </w:tcPr>
          <w:p>
            <w:pPr>
              <w:spacing w:before="20" w:after="20" w:line="240" w:lineRule="auto"/>
              <w:jc w:val="left"/>
            </w:pPr>
            <w:r>
              <w:rPr>
                <w:rFonts w:ascii="Arial" w:hAnsi="Arial"/>
                <w:b w:val="0"/>
                <w:i w:val="0"/>
                <w:color w:val="141C2B"/>
                <w:sz w:val="17"/>
              </w:rPr>
              <w:t>alacaklı</w:t>
            </w:r>
          </w:p>
        </w:tc>
        <w:tc>
          <w:tcPr>
            <w:tcW w:type="dxa" w:w="2438"/>
          </w:tcPr>
          <w:p>
            <w:pPr>
              <w:spacing w:before="20" w:after="20" w:line="240" w:lineRule="auto"/>
              <w:jc w:val="left"/>
            </w:pPr>
            <w:r>
              <w:rPr>
                <w:rFonts w:ascii="Arial" w:hAnsi="Arial"/>
                <w:b w:val="0"/>
                <w:i w:val="0"/>
                <w:color w:val="141C2B"/>
                <w:sz w:val="17"/>
              </w:rPr>
              <w:t>rely on</w:t>
            </w:r>
          </w:p>
        </w:tc>
        <w:tc>
          <w:tcPr>
            <w:tcW w:type="dxa" w:w="2665"/>
          </w:tcPr>
          <w:p>
            <w:pPr>
              <w:spacing w:before="20" w:after="20" w:line="240" w:lineRule="auto"/>
              <w:jc w:val="left"/>
            </w:pPr>
            <w:r>
              <w:rPr>
                <w:rFonts w:ascii="Arial" w:hAnsi="Arial"/>
                <w:b w:val="0"/>
                <w:i w:val="0"/>
                <w:color w:val="141C2B"/>
                <w:sz w:val="17"/>
              </w:rPr>
              <w:t>-e dayanmak, güvenmek</w:t>
            </w:r>
          </w:p>
        </w:tc>
      </w:tr>
      <w:tr>
        <w:tc>
          <w:tcPr>
            <w:tcW w:type="dxa" w:w="2438"/>
          </w:tcPr>
          <w:p>
            <w:pPr>
              <w:spacing w:before="20" w:after="20" w:line="240" w:lineRule="auto"/>
              <w:jc w:val="left"/>
            </w:pPr>
            <w:r>
              <w:rPr>
                <w:rFonts w:ascii="Arial" w:hAnsi="Arial"/>
                <w:b w:val="0"/>
                <w:i w:val="0"/>
                <w:color w:val="141C2B"/>
                <w:sz w:val="17"/>
              </w:rPr>
              <w:t>deaf</w:t>
            </w:r>
          </w:p>
        </w:tc>
        <w:tc>
          <w:tcPr>
            <w:tcW w:type="dxa" w:w="2665"/>
          </w:tcPr>
          <w:p>
            <w:pPr>
              <w:spacing w:before="20" w:after="20" w:line="240" w:lineRule="auto"/>
              <w:jc w:val="left"/>
            </w:pPr>
            <w:r>
              <w:rPr>
                <w:rFonts w:ascii="Arial" w:hAnsi="Arial"/>
                <w:b w:val="0"/>
                <w:i w:val="0"/>
                <w:color w:val="141C2B"/>
                <w:sz w:val="17"/>
              </w:rPr>
              <w:t>sağır</w:t>
            </w:r>
          </w:p>
        </w:tc>
        <w:tc>
          <w:tcPr>
            <w:tcW w:type="dxa" w:w="2438"/>
          </w:tcPr>
          <w:p>
            <w:pPr>
              <w:spacing w:before="20" w:after="20" w:line="240" w:lineRule="auto"/>
              <w:jc w:val="left"/>
            </w:pPr>
            <w:r>
              <w:rPr>
                <w:rFonts w:ascii="Arial" w:hAnsi="Arial"/>
                <w:b w:val="0"/>
                <w:i w:val="0"/>
                <w:color w:val="141C2B"/>
                <w:sz w:val="17"/>
              </w:rPr>
              <w:t>remains</w:t>
            </w:r>
          </w:p>
        </w:tc>
        <w:tc>
          <w:tcPr>
            <w:tcW w:type="dxa" w:w="2665"/>
          </w:tcPr>
          <w:p>
            <w:pPr>
              <w:spacing w:before="20" w:after="20" w:line="240" w:lineRule="auto"/>
              <w:jc w:val="left"/>
            </w:pPr>
            <w:r>
              <w:rPr>
                <w:rFonts w:ascii="Arial" w:hAnsi="Arial"/>
                <w:b w:val="0"/>
                <w:i w:val="0"/>
                <w:color w:val="141C2B"/>
                <w:sz w:val="17"/>
              </w:rPr>
              <w:t>kalıntı</w:t>
            </w:r>
          </w:p>
        </w:tc>
      </w:tr>
      <w:tr>
        <w:tc>
          <w:tcPr>
            <w:tcW w:type="dxa" w:w="2438"/>
          </w:tcPr>
          <w:p>
            <w:pPr>
              <w:spacing w:before="20" w:after="20" w:line="240" w:lineRule="auto"/>
              <w:jc w:val="left"/>
            </w:pPr>
            <w:r>
              <w:rPr>
                <w:rFonts w:ascii="Arial" w:hAnsi="Arial"/>
                <w:b w:val="0"/>
                <w:i w:val="0"/>
                <w:color w:val="141C2B"/>
                <w:sz w:val="17"/>
              </w:rPr>
              <w:t>debt</w:t>
            </w:r>
          </w:p>
        </w:tc>
        <w:tc>
          <w:tcPr>
            <w:tcW w:type="dxa" w:w="2665"/>
          </w:tcPr>
          <w:p>
            <w:pPr>
              <w:spacing w:before="20" w:after="20" w:line="240" w:lineRule="auto"/>
              <w:jc w:val="left"/>
            </w:pPr>
            <w:r>
              <w:rPr>
                <w:rFonts w:ascii="Arial" w:hAnsi="Arial"/>
                <w:b w:val="0"/>
                <w:i w:val="0"/>
                <w:color w:val="141C2B"/>
                <w:sz w:val="17"/>
              </w:rPr>
              <w:t>borç</w:t>
            </w:r>
          </w:p>
        </w:tc>
        <w:tc>
          <w:tcPr>
            <w:tcW w:type="dxa" w:w="2438"/>
          </w:tcPr>
          <w:p>
            <w:pPr>
              <w:spacing w:before="20" w:after="20" w:line="240" w:lineRule="auto"/>
              <w:jc w:val="left"/>
            </w:pPr>
            <w:r>
              <w:rPr>
                <w:rFonts w:ascii="Arial" w:hAnsi="Arial"/>
                <w:b w:val="0"/>
                <w:i w:val="0"/>
                <w:color w:val="141C2B"/>
                <w:sz w:val="17"/>
              </w:rPr>
              <w:t>repeal (being repealed)</w:t>
            </w:r>
          </w:p>
        </w:tc>
        <w:tc>
          <w:tcPr>
            <w:tcW w:type="dxa" w:w="2665"/>
          </w:tcPr>
          <w:p>
            <w:pPr>
              <w:spacing w:before="20" w:after="20" w:line="240" w:lineRule="auto"/>
              <w:jc w:val="left"/>
            </w:pPr>
            <w:r>
              <w:rPr>
                <w:rFonts w:ascii="Arial" w:hAnsi="Arial"/>
                <w:b w:val="0"/>
                <w:i w:val="0"/>
                <w:color w:val="141C2B"/>
                <w:sz w:val="17"/>
              </w:rPr>
              <w:t>yürürlükten kaldırmak</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reputation</w:t>
            </w:r>
          </w:p>
        </w:tc>
        <w:tc>
          <w:tcPr>
            <w:tcW w:type="dxa" w:w="2665"/>
          </w:tcPr>
          <w:p>
            <w:pPr>
              <w:spacing w:before="20" w:after="20" w:line="240" w:lineRule="auto"/>
              <w:jc w:val="left"/>
            </w:pPr>
            <w:r>
              <w:rPr>
                <w:rFonts w:ascii="Arial" w:hAnsi="Arial"/>
                <w:b w:val="0"/>
                <w:i w:val="0"/>
                <w:color w:val="141C2B"/>
                <w:sz w:val="17"/>
              </w:rPr>
              <w:t>itibar, ün</w:t>
            </w:r>
          </w:p>
        </w:tc>
      </w:tr>
      <w:tr>
        <w:tc>
          <w:tcPr>
            <w:tcW w:type="dxa" w:w="2438"/>
          </w:tcPr>
          <w:p>
            <w:pPr>
              <w:spacing w:before="20" w:after="20" w:line="240" w:lineRule="auto"/>
              <w:jc w:val="left"/>
            </w:pPr>
            <w:r>
              <w:rPr>
                <w:rFonts w:ascii="Arial" w:hAnsi="Arial"/>
                <w:b w:val="0"/>
                <w:i w:val="0"/>
                <w:color w:val="141C2B"/>
                <w:sz w:val="17"/>
              </w:rPr>
              <w:t>deceive</w:t>
            </w:r>
          </w:p>
        </w:tc>
        <w:tc>
          <w:tcPr>
            <w:tcW w:type="dxa" w:w="2665"/>
          </w:tcPr>
          <w:p>
            <w:pPr>
              <w:spacing w:before="20" w:after="20" w:line="240" w:lineRule="auto"/>
              <w:jc w:val="left"/>
            </w:pPr>
            <w:r>
              <w:rPr>
                <w:rFonts w:ascii="Arial" w:hAnsi="Arial"/>
                <w:b w:val="0"/>
                <w:i w:val="0"/>
                <w:color w:val="141C2B"/>
                <w:sz w:val="17"/>
              </w:rPr>
              <w:t>yanıltmak, aldatmak</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decline</w:t>
            </w:r>
          </w:p>
        </w:tc>
        <w:tc>
          <w:tcPr>
            <w:tcW w:type="dxa" w:w="2665"/>
          </w:tcPr>
          <w:p>
            <w:pPr>
              <w:spacing w:before="20" w:after="20" w:line="240" w:lineRule="auto"/>
              <w:jc w:val="left"/>
            </w:pPr>
            <w:r>
              <w:rPr>
                <w:rFonts w:ascii="Arial" w:hAnsi="Arial"/>
                <w:b w:val="0"/>
                <w:i w:val="0"/>
                <w:color w:val="141C2B"/>
                <w:sz w:val="17"/>
              </w:rPr>
              <w:t>azalmak, düşmek</w:t>
            </w:r>
          </w:p>
        </w:tc>
        <w:tc>
          <w:tcPr>
            <w:tcW w:type="dxa" w:w="2438"/>
          </w:tcPr>
          <w:p>
            <w:pPr>
              <w:spacing w:before="20" w:after="20" w:line="240" w:lineRule="auto"/>
              <w:jc w:val="left"/>
            </w:pPr>
            <w:r>
              <w:rPr>
                <w:rFonts w:ascii="Arial" w:hAnsi="Arial"/>
                <w:b w:val="0"/>
                <w:i w:val="0"/>
                <w:color w:val="141C2B"/>
                <w:sz w:val="17"/>
              </w:rPr>
              <w:t>residue</w:t>
            </w:r>
          </w:p>
        </w:tc>
        <w:tc>
          <w:tcPr>
            <w:tcW w:type="dxa" w:w="2665"/>
          </w:tcPr>
          <w:p>
            <w:pPr>
              <w:spacing w:before="20" w:after="20" w:line="240" w:lineRule="auto"/>
              <w:jc w:val="left"/>
            </w:pPr>
            <w:r>
              <w:rPr>
                <w:rFonts w:ascii="Arial" w:hAnsi="Arial"/>
                <w:b w:val="0"/>
                <w:i w:val="0"/>
                <w:color w:val="141C2B"/>
                <w:sz w:val="17"/>
              </w:rPr>
              <w:t>kalıntı, artık</w:t>
            </w:r>
          </w:p>
        </w:tc>
      </w:tr>
      <w:tr>
        <w:tc>
          <w:tcPr>
            <w:tcW w:type="dxa" w:w="2438"/>
          </w:tcPr>
          <w:p>
            <w:pPr>
              <w:spacing w:before="20" w:after="20" w:line="240" w:lineRule="auto"/>
              <w:jc w:val="left"/>
            </w:pPr>
            <w:r>
              <w:rPr>
                <w:rFonts w:ascii="Arial" w:hAnsi="Arial"/>
                <w:b w:val="0"/>
                <w:i w:val="0"/>
                <w:color w:val="141C2B"/>
                <w:sz w:val="17"/>
              </w:rPr>
              <w:t>define</w:t>
            </w:r>
          </w:p>
        </w:tc>
        <w:tc>
          <w:tcPr>
            <w:tcW w:type="dxa" w:w="2665"/>
          </w:tcPr>
          <w:p>
            <w:pPr>
              <w:spacing w:before="20" w:after="20" w:line="240" w:lineRule="auto"/>
              <w:jc w:val="left"/>
            </w:pPr>
            <w:r>
              <w:rPr>
                <w:rFonts w:ascii="Arial" w:hAnsi="Arial"/>
                <w:b w:val="0"/>
                <w:i w:val="0"/>
                <w:color w:val="141C2B"/>
                <w:sz w:val="17"/>
              </w:rPr>
              <w:t>tanımlamak</w:t>
            </w:r>
          </w:p>
        </w:tc>
        <w:tc>
          <w:tcPr>
            <w:tcW w:type="dxa" w:w="2438"/>
          </w:tcPr>
          <w:p>
            <w:pPr>
              <w:spacing w:before="20" w:after="20" w:line="240" w:lineRule="auto"/>
              <w:jc w:val="left"/>
            </w:pPr>
            <w:r>
              <w:rPr>
                <w:rFonts w:ascii="Arial" w:hAnsi="Arial"/>
                <w:b w:val="0"/>
                <w:i w:val="0"/>
                <w:color w:val="141C2B"/>
                <w:sz w:val="17"/>
              </w:rPr>
              <w:t>resolution (of an instrument)</w:t>
            </w:r>
          </w:p>
        </w:tc>
        <w:tc>
          <w:tcPr>
            <w:tcW w:type="dxa" w:w="2665"/>
          </w:tcPr>
          <w:p>
            <w:pPr>
              <w:spacing w:before="20" w:after="20" w:line="240" w:lineRule="auto"/>
              <w:jc w:val="left"/>
            </w:pPr>
            <w:r>
              <w:rPr>
                <w:rFonts w:ascii="Arial" w:hAnsi="Arial"/>
                <w:b w:val="0"/>
                <w:i w:val="0"/>
                <w:color w:val="141C2B"/>
                <w:sz w:val="17"/>
              </w:rPr>
              <w:t>çözünürlük</w:t>
            </w:r>
          </w:p>
        </w:tc>
      </w:tr>
      <w:tr>
        <w:tc>
          <w:tcPr>
            <w:tcW w:type="dxa" w:w="2438"/>
          </w:tcPr>
          <w:p>
            <w:pPr>
              <w:spacing w:before="20" w:after="20" w:line="240" w:lineRule="auto"/>
              <w:jc w:val="left"/>
            </w:pPr>
            <w:r>
              <w:rPr>
                <w:rFonts w:ascii="Arial" w:hAnsi="Arial"/>
                <w:b w:val="0"/>
                <w:i w:val="0"/>
                <w:color w:val="141C2B"/>
                <w:sz w:val="17"/>
              </w:rPr>
              <w:t>demand</w:t>
            </w:r>
          </w:p>
        </w:tc>
        <w:tc>
          <w:tcPr>
            <w:tcW w:type="dxa" w:w="2665"/>
          </w:tcPr>
          <w:p>
            <w:pPr>
              <w:spacing w:before="20" w:after="20" w:line="240" w:lineRule="auto"/>
              <w:jc w:val="left"/>
            </w:pPr>
            <w:r>
              <w:rPr>
                <w:rFonts w:ascii="Arial" w:hAnsi="Arial"/>
                <w:b w:val="0"/>
                <w:i w:val="0"/>
                <w:color w:val="141C2B"/>
                <w:sz w:val="17"/>
              </w:rPr>
              <w:t>talep</w:t>
            </w:r>
          </w:p>
        </w:tc>
        <w:tc>
          <w:tcPr>
            <w:tcW w:type="dxa" w:w="2438"/>
          </w:tcPr>
          <w:p>
            <w:pPr>
              <w:spacing w:before="20" w:after="20" w:line="240" w:lineRule="auto"/>
              <w:jc w:val="left"/>
            </w:pPr>
            <w:r>
              <w:rPr>
                <w:rFonts w:ascii="Arial" w:hAnsi="Arial"/>
                <w:b w:val="0"/>
                <w:i w:val="0"/>
                <w:color w:val="141C2B"/>
                <w:sz w:val="17"/>
              </w:rPr>
              <w:t>resolve (the congress resolved)</w:t>
            </w:r>
          </w:p>
        </w:tc>
        <w:tc>
          <w:tcPr>
            <w:tcW w:type="dxa" w:w="2665"/>
          </w:tcPr>
          <w:p>
            <w:pPr>
              <w:spacing w:before="20" w:after="20" w:line="240" w:lineRule="auto"/>
              <w:jc w:val="left"/>
            </w:pPr>
            <w:r>
              <w:rPr>
                <w:rFonts w:ascii="Arial" w:hAnsi="Arial"/>
                <w:b w:val="0"/>
                <w:i w:val="0"/>
                <w:color w:val="141C2B"/>
                <w:sz w:val="17"/>
              </w:rPr>
              <w:t>karara bağlamak</w:t>
            </w:r>
          </w:p>
        </w:tc>
      </w:tr>
      <w:tr>
        <w:tc>
          <w:tcPr>
            <w:tcW w:type="dxa" w:w="2438"/>
          </w:tcPr>
          <w:p>
            <w:pPr>
              <w:spacing w:before="20" w:after="20" w:line="240" w:lineRule="auto"/>
              <w:jc w:val="left"/>
            </w:pPr>
            <w:r>
              <w:rPr>
                <w:rFonts w:ascii="Arial" w:hAnsi="Arial"/>
                <w:b w:val="0"/>
                <w:i w:val="0"/>
                <w:color w:val="141C2B"/>
                <w:sz w:val="17"/>
              </w:rPr>
              <w:t>dilution (trademark dilution)</w:t>
            </w:r>
          </w:p>
        </w:tc>
        <w:tc>
          <w:tcPr>
            <w:tcW w:type="dxa" w:w="2665"/>
          </w:tcPr>
          <w:p>
            <w:pPr>
              <w:spacing w:before="20" w:after="20" w:line="240" w:lineRule="auto"/>
              <w:jc w:val="left"/>
            </w:pPr>
            <w:r>
              <w:rPr>
                <w:rFonts w:ascii="Arial" w:hAnsi="Arial"/>
                <w:b w:val="0"/>
                <w:i w:val="0"/>
                <w:color w:val="141C2B"/>
                <w:sz w:val="17"/>
              </w:rPr>
              <w:t>sulandırma</w:t>
            </w:r>
          </w:p>
        </w:tc>
        <w:tc>
          <w:tcPr>
            <w:tcW w:type="dxa" w:w="2438"/>
          </w:tcPr>
          <w:p>
            <w:pPr>
              <w:spacing w:before="20" w:after="20" w:line="240" w:lineRule="auto"/>
              <w:jc w:val="left"/>
            </w:pPr>
            <w:r>
              <w:rPr>
                <w:rFonts w:ascii="Arial" w:hAnsi="Arial"/>
                <w:b w:val="0"/>
                <w:i w:val="0"/>
                <w:color w:val="141C2B"/>
                <w:sz w:val="17"/>
              </w:rPr>
              <w:t>reversal</w:t>
            </w:r>
          </w:p>
        </w:tc>
        <w:tc>
          <w:tcPr>
            <w:tcW w:type="dxa" w:w="2665"/>
          </w:tcPr>
          <w:p>
            <w:pPr>
              <w:spacing w:before="20" w:after="20" w:line="240" w:lineRule="auto"/>
              <w:jc w:val="left"/>
            </w:pPr>
            <w:r>
              <w:rPr>
                <w:rFonts w:ascii="Arial" w:hAnsi="Arial"/>
                <w:b w:val="0"/>
                <w:i w:val="0"/>
                <w:color w:val="141C2B"/>
                <w:sz w:val="17"/>
              </w:rPr>
              <w:t>geri dönüş, tersine çevirme</w:t>
            </w:r>
          </w:p>
        </w:tc>
      </w:tr>
      <w:tr>
        <w:tc>
          <w:tcPr>
            <w:tcW w:type="dxa" w:w="2438"/>
          </w:tcPr>
          <w:p>
            <w:pPr>
              <w:spacing w:before="20" w:after="20" w:line="240" w:lineRule="auto"/>
              <w:jc w:val="left"/>
            </w:pPr>
            <w:r>
              <w:rPr>
                <w:rFonts w:ascii="Arial" w:hAnsi="Arial"/>
                <w:b w:val="0"/>
                <w:i w:val="0"/>
                <w:color w:val="141C2B"/>
                <w:sz w:val="17"/>
              </w:rPr>
              <w:t>dishonest</w:t>
            </w:r>
          </w:p>
        </w:tc>
        <w:tc>
          <w:tcPr>
            <w:tcW w:type="dxa" w:w="2665"/>
          </w:tcPr>
          <w:p>
            <w:pPr>
              <w:spacing w:before="20" w:after="20" w:line="240" w:lineRule="auto"/>
              <w:jc w:val="left"/>
            </w:pPr>
            <w:r>
              <w:rPr>
                <w:rFonts w:ascii="Arial" w:hAnsi="Arial"/>
                <w:b w:val="0"/>
                <w:i w:val="0"/>
                <w:color w:val="141C2B"/>
                <w:sz w:val="17"/>
              </w:rPr>
              <w:t>dürüst olmayan</w:t>
            </w:r>
          </w:p>
        </w:tc>
        <w:tc>
          <w:tcPr>
            <w:tcW w:type="dxa" w:w="2438"/>
          </w:tcPr>
          <w:p>
            <w:pPr>
              <w:spacing w:before="20" w:after="20" w:line="240" w:lineRule="auto"/>
              <w:jc w:val="left"/>
            </w:pPr>
            <w:r>
              <w:rPr>
                <w:rFonts w:ascii="Arial" w:hAnsi="Arial"/>
                <w:b w:val="0"/>
                <w:i w:val="0"/>
                <w:color w:val="141C2B"/>
                <w:sz w:val="17"/>
              </w:rPr>
              <w:t>rule (courts had to rule)</w:t>
            </w:r>
          </w:p>
        </w:tc>
        <w:tc>
          <w:tcPr>
            <w:tcW w:type="dxa" w:w="2665"/>
          </w:tcPr>
          <w:p>
            <w:pPr>
              <w:spacing w:before="20" w:after="20" w:line="240" w:lineRule="auto"/>
              <w:jc w:val="left"/>
            </w:pPr>
            <w:r>
              <w:rPr>
                <w:rFonts w:ascii="Arial" w:hAnsi="Arial"/>
                <w:b w:val="0"/>
                <w:i w:val="0"/>
                <w:color w:val="141C2B"/>
                <w:sz w:val="17"/>
              </w:rPr>
              <w:t>karara bağlamak</w:t>
            </w:r>
          </w:p>
        </w:tc>
      </w:tr>
      <w:tr>
        <w:tc>
          <w:tcPr>
            <w:tcW w:type="dxa" w:w="2438"/>
          </w:tcPr>
          <w:p>
            <w:pPr>
              <w:spacing w:before="20" w:after="20" w:line="240" w:lineRule="auto"/>
              <w:jc w:val="left"/>
            </w:pPr>
            <w:r>
              <w:rPr>
                <w:rFonts w:ascii="Arial" w:hAnsi="Arial"/>
                <w:b w:val="0"/>
                <w:i w:val="0"/>
                <w:color w:val="141C2B"/>
                <w:sz w:val="17"/>
              </w:rPr>
              <w:t>displace</w:t>
            </w:r>
          </w:p>
        </w:tc>
        <w:tc>
          <w:tcPr>
            <w:tcW w:type="dxa" w:w="2665"/>
          </w:tcPr>
          <w:p>
            <w:pPr>
              <w:spacing w:before="20" w:after="20" w:line="240" w:lineRule="auto"/>
              <w:jc w:val="left"/>
            </w:pPr>
            <w:r>
              <w:rPr>
                <w:rFonts w:ascii="Arial" w:hAnsi="Arial"/>
                <w:b w:val="0"/>
                <w:i w:val="0"/>
                <w:color w:val="141C2B"/>
                <w:sz w:val="17"/>
              </w:rPr>
              <w:t>yerinden etmek</w:t>
            </w:r>
          </w:p>
        </w:tc>
        <w:tc>
          <w:tcPr>
            <w:tcW w:type="dxa" w:w="2438"/>
          </w:tcPr>
          <w:p>
            <w:pPr>
              <w:spacing w:before="20" w:after="20" w:line="240" w:lineRule="auto"/>
              <w:jc w:val="left"/>
            </w:pPr>
            <w:r>
              <w:rPr>
                <w:rFonts w:ascii="Arial" w:hAnsi="Arial"/>
                <w:b w:val="0"/>
                <w:i w:val="0"/>
                <w:color w:val="141C2B"/>
                <w:sz w:val="17"/>
              </w:rPr>
              <w:t>rumour</w:t>
            </w:r>
          </w:p>
        </w:tc>
        <w:tc>
          <w:tcPr>
            <w:tcW w:type="dxa" w:w="2665"/>
          </w:tcPr>
          <w:p>
            <w:pPr>
              <w:spacing w:before="20" w:after="20" w:line="240" w:lineRule="auto"/>
              <w:jc w:val="left"/>
            </w:pPr>
            <w:r>
              <w:rPr>
                <w:rFonts w:ascii="Arial" w:hAnsi="Arial"/>
                <w:b w:val="0"/>
                <w:i w:val="0"/>
                <w:color w:val="141C2B"/>
                <w:sz w:val="17"/>
              </w:rPr>
              <w:t>söylenti</w:t>
            </w:r>
          </w:p>
        </w:tc>
      </w:tr>
      <w:tr>
        <w:tc>
          <w:tcPr>
            <w:tcW w:type="dxa" w:w="2438"/>
          </w:tcPr>
          <w:p>
            <w:pPr>
              <w:spacing w:before="20" w:after="20" w:line="240" w:lineRule="auto"/>
              <w:jc w:val="left"/>
            </w:pPr>
            <w:r>
              <w:rPr>
                <w:rFonts w:ascii="Arial" w:hAnsi="Arial"/>
                <w:b w:val="0"/>
                <w:i w:val="0"/>
                <w:color w:val="141C2B"/>
                <w:sz w:val="17"/>
              </w:rPr>
              <w:t>disturb (the soil had been disturbed)</w:t>
            </w:r>
          </w:p>
        </w:tc>
        <w:tc>
          <w:tcPr>
            <w:tcW w:type="dxa" w:w="2665"/>
          </w:tcPr>
          <w:p>
            <w:pPr>
              <w:spacing w:before="20" w:after="20" w:line="240" w:lineRule="auto"/>
              <w:jc w:val="left"/>
            </w:pPr>
            <w:r>
              <w:rPr>
                <w:rFonts w:ascii="Arial" w:hAnsi="Arial"/>
                <w:b w:val="0"/>
                <w:i w:val="0"/>
                <w:color w:val="141C2B"/>
                <w:sz w:val="17"/>
              </w:rPr>
              <w:t>karıştırmak, bozmak</w:t>
            </w:r>
          </w:p>
        </w:tc>
        <w:tc>
          <w:tcPr>
            <w:tcW w:type="dxa" w:w="2438"/>
          </w:tcPr>
          <w:p>
            <w:pPr>
              <w:spacing w:before="20" w:after="20" w:line="240" w:lineRule="auto"/>
              <w:jc w:val="left"/>
            </w:pPr>
            <w:r>
              <w:rPr>
                <w:rFonts w:ascii="Arial" w:hAnsi="Arial"/>
                <w:b w:val="0"/>
                <w:i w:val="0"/>
                <w:color w:val="141C2B"/>
                <w:sz w:val="17"/>
              </w:rPr>
              <w:t>safeguard</w:t>
            </w:r>
          </w:p>
        </w:tc>
        <w:tc>
          <w:tcPr>
            <w:tcW w:type="dxa" w:w="2665"/>
          </w:tcPr>
          <w:p>
            <w:pPr>
              <w:spacing w:before="20" w:after="20" w:line="240" w:lineRule="auto"/>
              <w:jc w:val="left"/>
            </w:pPr>
            <w:r>
              <w:rPr>
                <w:rFonts w:ascii="Arial" w:hAnsi="Arial"/>
                <w:b w:val="0"/>
                <w:i w:val="0"/>
                <w:color w:val="141C2B"/>
                <w:sz w:val="17"/>
              </w:rPr>
              <w:t>güvence, koruyucu önlem</w:t>
            </w:r>
          </w:p>
        </w:tc>
      </w:tr>
      <w:tr>
        <w:tc>
          <w:tcPr>
            <w:tcW w:type="dxa" w:w="2438"/>
          </w:tcPr>
          <w:p>
            <w:pPr>
              <w:spacing w:before="20" w:after="20" w:line="240" w:lineRule="auto"/>
              <w:jc w:val="left"/>
            </w:pPr>
            <w:r>
              <w:rPr>
                <w:rFonts w:ascii="Arial" w:hAnsi="Arial"/>
                <w:b w:val="0"/>
                <w:i w:val="0"/>
                <w:color w:val="141C2B"/>
                <w:sz w:val="17"/>
              </w:rPr>
              <w:t>documentation</w:t>
            </w:r>
          </w:p>
        </w:tc>
        <w:tc>
          <w:tcPr>
            <w:tcW w:type="dxa" w:w="2665"/>
          </w:tcPr>
          <w:p>
            <w:pPr>
              <w:spacing w:before="20" w:after="20" w:line="240" w:lineRule="auto"/>
              <w:jc w:val="left"/>
            </w:pPr>
            <w:r>
              <w:rPr>
                <w:rFonts w:ascii="Arial" w:hAnsi="Arial"/>
                <w:b w:val="0"/>
                <w:i w:val="0"/>
                <w:color w:val="141C2B"/>
                <w:sz w:val="17"/>
              </w:rPr>
              <w:t>belgeleme</w:t>
            </w:r>
          </w:p>
        </w:tc>
        <w:tc>
          <w:tcPr>
            <w:tcW w:type="dxa" w:w="2438"/>
          </w:tcPr>
          <w:p>
            <w:pPr>
              <w:spacing w:before="20" w:after="20" w:line="240" w:lineRule="auto"/>
              <w:jc w:val="left"/>
            </w:pPr>
            <w:r>
              <w:rPr>
                <w:rFonts w:ascii="Arial" w:hAnsi="Arial"/>
                <w:b w:val="0"/>
                <w:i w:val="0"/>
                <w:color w:val="141C2B"/>
                <w:sz w:val="17"/>
              </w:rPr>
              <w:t>sentence (to sentence somebody)</w:t>
            </w:r>
          </w:p>
        </w:tc>
        <w:tc>
          <w:tcPr>
            <w:tcW w:type="dxa" w:w="2665"/>
          </w:tcPr>
          <w:p>
            <w:pPr>
              <w:spacing w:before="20" w:after="20" w:line="240" w:lineRule="auto"/>
              <w:jc w:val="left"/>
            </w:pPr>
            <w:r>
              <w:rPr>
                <w:rFonts w:ascii="Arial" w:hAnsi="Arial"/>
                <w:b w:val="0"/>
                <w:i w:val="0"/>
                <w:color w:val="141C2B"/>
                <w:sz w:val="17"/>
              </w:rPr>
              <w:t>hüküm, ceza vermek</w:t>
            </w:r>
          </w:p>
        </w:tc>
      </w:tr>
      <w:tr>
        <w:tc>
          <w:tcPr>
            <w:tcW w:type="dxa" w:w="2438"/>
          </w:tcPr>
          <w:p>
            <w:pPr>
              <w:spacing w:before="20" w:after="20" w:line="240" w:lineRule="auto"/>
              <w:jc w:val="left"/>
            </w:pPr>
            <w:r>
              <w:rPr>
                <w:rFonts w:ascii="Arial" w:hAnsi="Arial"/>
                <w:b w:val="0"/>
                <w:i w:val="0"/>
                <w:color w:val="141C2B"/>
                <w:sz w:val="17"/>
              </w:rPr>
              <w:t>dormitory (dormitories)</w:t>
            </w:r>
          </w:p>
        </w:tc>
        <w:tc>
          <w:tcPr>
            <w:tcW w:type="dxa" w:w="2665"/>
          </w:tcPr>
          <w:p>
            <w:pPr>
              <w:spacing w:before="20" w:after="20" w:line="240" w:lineRule="auto"/>
              <w:jc w:val="left"/>
            </w:pPr>
            <w:r>
              <w:rPr>
                <w:rFonts w:ascii="Arial" w:hAnsi="Arial"/>
                <w:b w:val="0"/>
                <w:i w:val="0"/>
                <w:color w:val="141C2B"/>
                <w:sz w:val="17"/>
              </w:rPr>
              <w:t>yatakhane</w:t>
            </w:r>
          </w:p>
        </w:tc>
        <w:tc>
          <w:tcPr>
            <w:tcW w:type="dxa" w:w="2438"/>
          </w:tcPr>
          <w:p>
            <w:pPr>
              <w:spacing w:before="20" w:after="20" w:line="240" w:lineRule="auto"/>
              <w:jc w:val="left"/>
            </w:pPr>
            <w:r>
              <w:rPr>
                <w:rFonts w:ascii="Arial" w:hAnsi="Arial"/>
                <w:b w:val="0"/>
                <w:i w:val="0"/>
                <w:color w:val="141C2B"/>
                <w:sz w:val="17"/>
              </w:rPr>
              <w:t>settle (settled the question)</w:t>
            </w:r>
          </w:p>
        </w:tc>
        <w:tc>
          <w:tcPr>
            <w:tcW w:type="dxa" w:w="2665"/>
          </w:tcPr>
          <w:p>
            <w:pPr>
              <w:spacing w:before="20" w:after="20" w:line="240" w:lineRule="auto"/>
              <w:jc w:val="left"/>
            </w:pPr>
            <w:r>
              <w:rPr>
                <w:rFonts w:ascii="Arial" w:hAnsi="Arial"/>
                <w:b w:val="0"/>
                <w:i w:val="0"/>
                <w:color w:val="141C2B"/>
                <w:sz w:val="17"/>
              </w:rPr>
              <w:t>çözüme bağlamak</w:t>
            </w:r>
          </w:p>
        </w:tc>
      </w:tr>
      <w:tr>
        <w:tc>
          <w:tcPr>
            <w:tcW w:type="dxa" w:w="2438"/>
          </w:tcPr>
          <w:p>
            <w:pPr>
              <w:spacing w:before="20" w:after="20" w:line="240" w:lineRule="auto"/>
              <w:jc w:val="left"/>
            </w:pPr>
            <w:r>
              <w:rPr>
                <w:rFonts w:ascii="Arial" w:hAnsi="Arial"/>
                <w:b w:val="0"/>
                <w:i w:val="0"/>
                <w:color w:val="141C2B"/>
                <w:sz w:val="17"/>
              </w:rPr>
              <w:t>eccentric</w:t>
            </w:r>
          </w:p>
        </w:tc>
        <w:tc>
          <w:tcPr>
            <w:tcW w:type="dxa" w:w="2665"/>
          </w:tcPr>
          <w:p>
            <w:pPr>
              <w:spacing w:before="20" w:after="20" w:line="240" w:lineRule="auto"/>
              <w:jc w:val="left"/>
            </w:pPr>
            <w:r>
              <w:rPr>
                <w:rFonts w:ascii="Arial" w:hAnsi="Arial"/>
                <w:b w:val="0"/>
                <w:i w:val="0"/>
                <w:color w:val="141C2B"/>
                <w:sz w:val="17"/>
              </w:rPr>
              <w:t>tuhaf, sıra dışı</w:t>
            </w:r>
          </w:p>
        </w:tc>
        <w:tc>
          <w:tcPr>
            <w:tcW w:type="dxa" w:w="2438"/>
          </w:tcPr>
          <w:p>
            <w:pPr>
              <w:spacing w:before="20" w:after="20" w:line="240" w:lineRule="auto"/>
              <w:jc w:val="left"/>
            </w:pPr>
            <w:r>
              <w:rPr>
                <w:rFonts w:ascii="Arial" w:hAnsi="Arial"/>
                <w:b w:val="0"/>
                <w:i w:val="0"/>
                <w:color w:val="141C2B"/>
                <w:sz w:val="17"/>
              </w:rPr>
              <w:t>shipment</w:t>
            </w:r>
          </w:p>
        </w:tc>
        <w:tc>
          <w:tcPr>
            <w:tcW w:type="dxa" w:w="2665"/>
          </w:tcPr>
          <w:p>
            <w:pPr>
              <w:spacing w:before="20" w:after="20" w:line="240" w:lineRule="auto"/>
              <w:jc w:val="left"/>
            </w:pPr>
            <w:r>
              <w:rPr>
                <w:rFonts w:ascii="Arial" w:hAnsi="Arial"/>
                <w:b w:val="0"/>
                <w:i w:val="0"/>
                <w:color w:val="141C2B"/>
                <w:sz w:val="17"/>
              </w:rPr>
              <w:t>sevkiyat</w:t>
            </w:r>
          </w:p>
        </w:tc>
      </w:tr>
      <w:tr>
        <w:tc>
          <w:tcPr>
            <w:tcW w:type="dxa" w:w="2438"/>
          </w:tcPr>
          <w:p>
            <w:pPr>
              <w:spacing w:before="20" w:after="20" w:line="240" w:lineRule="auto"/>
              <w:jc w:val="left"/>
            </w:pPr>
            <w:r>
              <w:rPr>
                <w:rFonts w:ascii="Arial" w:hAnsi="Arial"/>
                <w:b w:val="0"/>
                <w:i w:val="0"/>
                <w:color w:val="141C2B"/>
                <w:sz w:val="17"/>
              </w:rPr>
              <w:t>enforce (enforced)</w:t>
            </w:r>
          </w:p>
        </w:tc>
        <w:tc>
          <w:tcPr>
            <w:tcW w:type="dxa" w:w="2665"/>
          </w:tcPr>
          <w:p>
            <w:pPr>
              <w:spacing w:before="20" w:after="20" w:line="240" w:lineRule="auto"/>
              <w:jc w:val="left"/>
            </w:pPr>
            <w:r>
              <w:rPr>
                <w:rFonts w:ascii="Arial" w:hAnsi="Arial"/>
                <w:b w:val="0"/>
                <w:i w:val="0"/>
                <w:color w:val="141C2B"/>
                <w:sz w:val="17"/>
              </w:rPr>
              <w:t>uygulamak, yürürlüğe koymak</w:t>
            </w:r>
          </w:p>
        </w:tc>
        <w:tc>
          <w:tcPr>
            <w:tcW w:type="dxa" w:w="2438"/>
          </w:tcPr>
          <w:p>
            <w:pPr>
              <w:spacing w:before="20" w:after="20" w:line="240" w:lineRule="auto"/>
              <w:jc w:val="left"/>
            </w:pPr>
            <w:r>
              <w:rPr>
                <w:rFonts w:ascii="Arial" w:hAnsi="Arial"/>
                <w:b w:val="0"/>
                <w:i w:val="0"/>
                <w:color w:val="141C2B"/>
                <w:sz w:val="17"/>
              </w:rPr>
              <w:t>shopkeeper</w:t>
            </w:r>
          </w:p>
        </w:tc>
        <w:tc>
          <w:tcPr>
            <w:tcW w:type="dxa" w:w="2665"/>
          </w:tcPr>
          <w:p>
            <w:pPr>
              <w:spacing w:before="20" w:after="20" w:line="240" w:lineRule="auto"/>
              <w:jc w:val="left"/>
            </w:pPr>
            <w:r>
              <w:rPr>
                <w:rFonts w:ascii="Arial" w:hAnsi="Arial"/>
                <w:b w:val="0"/>
                <w:i w:val="0"/>
                <w:color w:val="141C2B"/>
                <w:sz w:val="17"/>
              </w:rPr>
              <w:t>esnaf, dükkâncı</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shortage</w:t>
            </w:r>
          </w:p>
        </w:tc>
        <w:tc>
          <w:tcPr>
            <w:tcW w:type="dxa" w:w="2665"/>
          </w:tcPr>
          <w:p>
            <w:pPr>
              <w:spacing w:before="20" w:after="20" w:line="240" w:lineRule="auto"/>
              <w:jc w:val="left"/>
            </w:pPr>
            <w:r>
              <w:rPr>
                <w:rFonts w:ascii="Arial" w:hAnsi="Arial"/>
                <w:b w:val="0"/>
                <w:i w:val="0"/>
                <w:color w:val="141C2B"/>
                <w:sz w:val="17"/>
              </w:rPr>
              <w:t>kıtlık, darlık</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sign language</w:t>
            </w:r>
          </w:p>
        </w:tc>
        <w:tc>
          <w:tcPr>
            <w:tcW w:type="dxa" w:w="2665"/>
          </w:tcPr>
          <w:p>
            <w:pPr>
              <w:spacing w:before="20" w:after="20" w:line="240" w:lineRule="auto"/>
              <w:jc w:val="left"/>
            </w:pPr>
            <w:r>
              <w:rPr>
                <w:rFonts w:ascii="Arial" w:hAnsi="Arial"/>
                <w:b w:val="0"/>
                <w:i w:val="0"/>
                <w:color w:val="141C2B"/>
                <w:sz w:val="17"/>
              </w:rPr>
              <w:t>işaret dili</w:t>
            </w:r>
          </w:p>
        </w:tc>
      </w:tr>
      <w:tr>
        <w:tc>
          <w:tcPr>
            <w:tcW w:type="dxa" w:w="2438"/>
          </w:tcPr>
          <w:p>
            <w:pPr>
              <w:spacing w:before="20" w:after="20" w:line="240" w:lineRule="auto"/>
              <w:jc w:val="left"/>
            </w:pPr>
            <w:r>
              <w:rPr>
                <w:rFonts w:ascii="Arial" w:hAnsi="Arial"/>
                <w:b w:val="0"/>
                <w:i w:val="0"/>
                <w:color w:val="141C2B"/>
                <w:sz w:val="17"/>
              </w:rPr>
              <w:t>entitlement</w:t>
            </w:r>
          </w:p>
        </w:tc>
        <w:tc>
          <w:tcPr>
            <w:tcW w:type="dxa" w:w="2665"/>
          </w:tcPr>
          <w:p>
            <w:pPr>
              <w:spacing w:before="20" w:after="20" w:line="240" w:lineRule="auto"/>
              <w:jc w:val="left"/>
            </w:pPr>
            <w:r>
              <w:rPr>
                <w:rFonts w:ascii="Arial" w:hAnsi="Arial"/>
                <w:b w:val="0"/>
                <w:i w:val="0"/>
                <w:color w:val="141C2B"/>
                <w:sz w:val="17"/>
              </w:rPr>
              <w:t>hak ediş</w:t>
            </w:r>
          </w:p>
        </w:tc>
        <w:tc>
          <w:tcPr>
            <w:tcW w:type="dxa" w:w="2438"/>
          </w:tcPr>
          <w:p>
            <w:pPr>
              <w:spacing w:before="20" w:after="20" w:line="240" w:lineRule="auto"/>
              <w:jc w:val="left"/>
            </w:pPr>
            <w:r>
              <w:rPr>
                <w:rFonts w:ascii="Arial" w:hAnsi="Arial"/>
                <w:b w:val="0"/>
                <w:i w:val="0"/>
                <w:color w:val="141C2B"/>
                <w:sz w:val="17"/>
              </w:rPr>
              <w:t>signer</w:t>
            </w:r>
          </w:p>
        </w:tc>
        <w:tc>
          <w:tcPr>
            <w:tcW w:type="dxa" w:w="2665"/>
          </w:tcPr>
          <w:p>
            <w:pPr>
              <w:spacing w:before="20" w:after="20" w:line="240" w:lineRule="auto"/>
              <w:jc w:val="left"/>
            </w:pPr>
            <w:r>
              <w:rPr>
                <w:rFonts w:ascii="Arial" w:hAnsi="Arial"/>
                <w:b w:val="0"/>
                <w:i w:val="0"/>
                <w:color w:val="141C2B"/>
                <w:sz w:val="17"/>
              </w:rPr>
              <w:t>işaret diliyle konuşan kişi</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slate</w:t>
            </w:r>
          </w:p>
        </w:tc>
        <w:tc>
          <w:tcPr>
            <w:tcW w:type="dxa" w:w="2665"/>
          </w:tcPr>
          <w:p>
            <w:pPr>
              <w:spacing w:before="20" w:after="20" w:line="240" w:lineRule="auto"/>
              <w:jc w:val="left"/>
            </w:pPr>
            <w:r>
              <w:rPr>
                <w:rFonts w:ascii="Arial" w:hAnsi="Arial"/>
                <w:b w:val="0"/>
                <w:i w:val="0"/>
                <w:color w:val="141C2B"/>
                <w:sz w:val="17"/>
              </w:rPr>
              <w:t>arduvaz</w:t>
            </w:r>
          </w:p>
        </w:tc>
      </w:tr>
      <w:tr>
        <w:tc>
          <w:tcPr>
            <w:tcW w:type="dxa" w:w="2438"/>
          </w:tcPr>
          <w:p>
            <w:pPr>
              <w:spacing w:before="20" w:after="20" w:line="240" w:lineRule="auto"/>
              <w:jc w:val="left"/>
            </w:pPr>
            <w:r>
              <w:rPr>
                <w:rFonts w:ascii="Arial" w:hAnsi="Arial"/>
                <w:b w:val="0"/>
                <w:i w:val="0"/>
                <w:color w:val="141C2B"/>
                <w:sz w:val="17"/>
              </w:rPr>
              <w:t>excavate (excavating a site)</w:t>
            </w:r>
          </w:p>
        </w:tc>
        <w:tc>
          <w:tcPr>
            <w:tcW w:type="dxa" w:w="2665"/>
          </w:tcPr>
          <w:p>
            <w:pPr>
              <w:spacing w:before="20" w:after="20" w:line="240" w:lineRule="auto"/>
              <w:jc w:val="left"/>
            </w:pPr>
            <w:r>
              <w:rPr>
                <w:rFonts w:ascii="Arial" w:hAnsi="Arial"/>
                <w:b w:val="0"/>
                <w:i w:val="0"/>
                <w:color w:val="141C2B"/>
                <w:sz w:val="17"/>
              </w:rPr>
              <w:t>kazı yapmak</w:t>
            </w:r>
          </w:p>
        </w:tc>
        <w:tc>
          <w:tcPr>
            <w:tcW w:type="dxa" w:w="2438"/>
          </w:tcPr>
          <w:p>
            <w:pPr>
              <w:spacing w:before="20" w:after="20" w:line="240" w:lineRule="auto"/>
              <w:jc w:val="left"/>
            </w:pPr>
            <w:r>
              <w:rPr>
                <w:rFonts w:ascii="Arial" w:hAnsi="Arial"/>
                <w:b w:val="0"/>
                <w:i w:val="0"/>
                <w:color w:val="141C2B"/>
                <w:sz w:val="17"/>
              </w:rPr>
              <w:t>sound (perfectly sound)</w:t>
            </w:r>
          </w:p>
        </w:tc>
        <w:tc>
          <w:tcPr>
            <w:tcW w:type="dxa" w:w="2665"/>
          </w:tcPr>
          <w:p>
            <w:pPr>
              <w:spacing w:before="20" w:after="20" w:line="240" w:lineRule="auto"/>
              <w:jc w:val="left"/>
            </w:pPr>
            <w:r>
              <w:rPr>
                <w:rFonts w:ascii="Arial" w:hAnsi="Arial"/>
                <w:b w:val="0"/>
                <w:i w:val="0"/>
                <w:color w:val="141C2B"/>
                <w:sz w:val="17"/>
              </w:rPr>
              <w:t>sağlam</w:t>
            </w:r>
          </w:p>
        </w:tc>
      </w:tr>
      <w:tr>
        <w:tc>
          <w:tcPr>
            <w:tcW w:type="dxa" w:w="2438"/>
          </w:tcPr>
          <w:p>
            <w:pPr>
              <w:spacing w:before="20" w:after="20" w:line="240" w:lineRule="auto"/>
              <w:jc w:val="left"/>
            </w:pPr>
            <w:r>
              <w:rPr>
                <w:rFonts w:ascii="Arial" w:hAnsi="Arial"/>
                <w:b w:val="0"/>
                <w:i w:val="0"/>
                <w:color w:val="141C2B"/>
                <w:sz w:val="17"/>
              </w:rPr>
              <w:t>excavation (the ground the object came out of)</w:t>
            </w:r>
          </w:p>
        </w:tc>
        <w:tc>
          <w:tcPr>
            <w:tcW w:type="dxa" w:w="2665"/>
          </w:tcPr>
          <w:p>
            <w:pPr>
              <w:spacing w:before="20" w:after="20" w:line="240" w:lineRule="auto"/>
              <w:jc w:val="left"/>
            </w:pPr>
            <w:r>
              <w:rPr>
                <w:rFonts w:ascii="Arial" w:hAnsi="Arial"/>
                <w:b w:val="0"/>
                <w:i w:val="0"/>
                <w:color w:val="141C2B"/>
                <w:sz w:val="17"/>
              </w:rPr>
              <w:t>kazı</w:t>
            </w:r>
          </w:p>
        </w:tc>
        <w:tc>
          <w:tcPr>
            <w:tcW w:type="dxa" w:w="2438"/>
          </w:tcPr>
          <w:p>
            <w:pPr>
              <w:spacing w:before="20" w:after="20" w:line="240" w:lineRule="auto"/>
              <w:jc w:val="left"/>
            </w:pPr>
            <w:r>
              <w:rPr>
                <w:rFonts w:ascii="Arial" w:hAnsi="Arial"/>
                <w:b w:val="0"/>
                <w:i w:val="0"/>
                <w:color w:val="141C2B"/>
                <w:sz w:val="17"/>
              </w:rPr>
              <w:t>spoil (shovelled away as spoil)</w:t>
            </w:r>
          </w:p>
        </w:tc>
        <w:tc>
          <w:tcPr>
            <w:tcW w:type="dxa" w:w="2665"/>
          </w:tcPr>
          <w:p>
            <w:pPr>
              <w:spacing w:before="20" w:after="20" w:line="240" w:lineRule="auto"/>
              <w:jc w:val="left"/>
            </w:pPr>
            <w:r>
              <w:rPr>
                <w:rFonts w:ascii="Arial" w:hAnsi="Arial"/>
                <w:b w:val="0"/>
                <w:i w:val="0"/>
                <w:color w:val="141C2B"/>
                <w:sz w:val="17"/>
              </w:rPr>
              <w:t>kazı artığı</w:t>
            </w:r>
          </w:p>
        </w:tc>
      </w:tr>
      <w:tr>
        <w:tc>
          <w:tcPr>
            <w:tcW w:type="dxa" w:w="2438"/>
          </w:tcPr>
          <w:p>
            <w:pPr>
              <w:spacing w:before="20" w:after="20" w:line="240" w:lineRule="auto"/>
              <w:jc w:val="left"/>
            </w:pPr>
            <w:r>
              <w:rPr>
                <w:rFonts w:ascii="Arial" w:hAnsi="Arial"/>
                <w:b w:val="0"/>
                <w:i w:val="0"/>
                <w:color w:val="141C2B"/>
                <w:sz w:val="17"/>
              </w:rPr>
              <w:t>famine</w:t>
            </w:r>
          </w:p>
        </w:tc>
        <w:tc>
          <w:tcPr>
            <w:tcW w:type="dxa" w:w="2665"/>
          </w:tcPr>
          <w:p>
            <w:pPr>
              <w:spacing w:before="20" w:after="20" w:line="240" w:lineRule="auto"/>
              <w:jc w:val="left"/>
            </w:pPr>
            <w:r>
              <w:rPr>
                <w:rFonts w:ascii="Arial" w:hAnsi="Arial"/>
                <w:b w:val="0"/>
                <w:i w:val="0"/>
                <w:color w:val="141C2B"/>
                <w:sz w:val="17"/>
              </w:rPr>
              <w:t>kıtlık</w:t>
            </w:r>
          </w:p>
        </w:tc>
        <w:tc>
          <w:tcPr>
            <w:tcW w:type="dxa" w:w="2438"/>
          </w:tcPr>
          <w:p>
            <w:pPr>
              <w:spacing w:before="20" w:after="20" w:line="240" w:lineRule="auto"/>
              <w:jc w:val="left"/>
            </w:pPr>
            <w:r>
              <w:rPr>
                <w:rFonts w:ascii="Arial" w:hAnsi="Arial"/>
                <w:b w:val="0"/>
                <w:i w:val="0"/>
                <w:color w:val="141C2B"/>
                <w:sz w:val="17"/>
              </w:rPr>
              <w:t>spoiled (a spoiled ballot)</w:t>
            </w:r>
          </w:p>
        </w:tc>
        <w:tc>
          <w:tcPr>
            <w:tcW w:type="dxa" w:w="2665"/>
          </w:tcPr>
          <w:p>
            <w:pPr>
              <w:spacing w:before="20" w:after="20" w:line="240" w:lineRule="auto"/>
              <w:jc w:val="left"/>
            </w:pPr>
            <w:r>
              <w:rPr>
                <w:rFonts w:ascii="Arial" w:hAnsi="Arial"/>
                <w:b w:val="0"/>
                <w:i w:val="0"/>
                <w:color w:val="141C2B"/>
                <w:sz w:val="17"/>
              </w:rPr>
              <w:t>geçersiz kılınmış</w:t>
            </w:r>
          </w:p>
        </w:tc>
      </w:tr>
      <w:tr>
        <w:tc>
          <w:tcPr>
            <w:tcW w:type="dxa" w:w="2438"/>
          </w:tcPr>
          <w:p>
            <w:pPr>
              <w:spacing w:before="20" w:after="20" w:line="240" w:lineRule="auto"/>
              <w:jc w:val="left"/>
            </w:pPr>
            <w:r>
              <w:rPr>
                <w:rFonts w:ascii="Arial" w:hAnsi="Arial"/>
                <w:b w:val="0"/>
                <w:i w:val="0"/>
                <w:color w:val="141C2B"/>
                <w:sz w:val="17"/>
              </w:rPr>
              <w:t>fastener (the zip fastener)</w:t>
            </w:r>
          </w:p>
        </w:tc>
        <w:tc>
          <w:tcPr>
            <w:tcW w:type="dxa" w:w="2665"/>
          </w:tcPr>
          <w:p>
            <w:pPr>
              <w:spacing w:before="20" w:after="20" w:line="240" w:lineRule="auto"/>
              <w:jc w:val="left"/>
            </w:pPr>
            <w:r>
              <w:rPr>
                <w:rFonts w:ascii="Arial" w:hAnsi="Arial"/>
                <w:b w:val="0"/>
                <w:i w:val="0"/>
                <w:color w:val="141C2B"/>
                <w:sz w:val="17"/>
              </w:rPr>
              <w:t>fermuar, kopça</w:t>
            </w:r>
          </w:p>
        </w:tc>
        <w:tc>
          <w:tcPr>
            <w:tcW w:type="dxa" w:w="2438"/>
          </w:tcPr>
          <w:p>
            <w:pPr>
              <w:spacing w:before="20" w:after="20" w:line="240" w:lineRule="auto"/>
              <w:jc w:val="left"/>
            </w:pPr>
            <w:r>
              <w:rPr>
                <w:rFonts w:ascii="Arial" w:hAnsi="Arial"/>
                <w:b w:val="0"/>
                <w:i w:val="0"/>
                <w:color w:val="141C2B"/>
                <w:sz w:val="17"/>
              </w:rPr>
              <w:t>supply</w:t>
            </w:r>
          </w:p>
        </w:tc>
        <w:tc>
          <w:tcPr>
            <w:tcW w:type="dxa" w:w="2665"/>
          </w:tcPr>
          <w:p>
            <w:pPr>
              <w:spacing w:before="20" w:after="20" w:line="240" w:lineRule="auto"/>
              <w:jc w:val="left"/>
            </w:pPr>
            <w:r>
              <w:rPr>
                <w:rFonts w:ascii="Arial" w:hAnsi="Arial"/>
                <w:b w:val="0"/>
                <w:i w:val="0"/>
                <w:color w:val="141C2B"/>
                <w:sz w:val="17"/>
              </w:rPr>
              <w:t>arz</w:t>
            </w:r>
          </w:p>
        </w:tc>
      </w:tr>
      <w:tr>
        <w:tc>
          <w:tcPr>
            <w:tcW w:type="dxa" w:w="2438"/>
          </w:tcPr>
          <w:p>
            <w:pPr>
              <w:spacing w:before="20" w:after="20" w:line="240" w:lineRule="auto"/>
              <w:jc w:val="left"/>
            </w:pPr>
            <w:r>
              <w:rPr>
                <w:rFonts w:ascii="Arial" w:hAnsi="Arial"/>
                <w:b w:val="0"/>
                <w:i w:val="0"/>
                <w:color w:val="141C2B"/>
                <w:sz w:val="17"/>
              </w:rPr>
              <w:t>fine (a fine)</w:t>
            </w:r>
          </w:p>
        </w:tc>
        <w:tc>
          <w:tcPr>
            <w:tcW w:type="dxa" w:w="2665"/>
          </w:tcPr>
          <w:p>
            <w:pPr>
              <w:spacing w:before="20" w:after="20" w:line="240" w:lineRule="auto"/>
              <w:jc w:val="left"/>
            </w:pPr>
            <w:r>
              <w:rPr>
                <w:rFonts w:ascii="Arial" w:hAnsi="Arial"/>
                <w:b w:val="0"/>
                <w:i w:val="0"/>
                <w:color w:val="141C2B"/>
                <w:sz w:val="17"/>
              </w:rPr>
              <w:t>para cezası</w:t>
            </w:r>
          </w:p>
        </w:tc>
        <w:tc>
          <w:tcPr>
            <w:tcW w:type="dxa" w:w="2438"/>
          </w:tcPr>
          <w:p>
            <w:pPr>
              <w:spacing w:before="20" w:after="20" w:line="240" w:lineRule="auto"/>
              <w:jc w:val="left"/>
            </w:pPr>
            <w:r>
              <w:rPr>
                <w:rFonts w:ascii="Arial" w:hAnsi="Arial"/>
                <w:b w:val="0"/>
                <w:i w:val="0"/>
                <w:color w:val="141C2B"/>
                <w:sz w:val="17"/>
              </w:rPr>
              <w:t>suppress (fire was suppressed)</w:t>
            </w:r>
          </w:p>
        </w:tc>
        <w:tc>
          <w:tcPr>
            <w:tcW w:type="dxa" w:w="2665"/>
          </w:tcPr>
          <w:p>
            <w:pPr>
              <w:spacing w:before="20" w:after="20" w:line="240" w:lineRule="auto"/>
              <w:jc w:val="left"/>
            </w:pPr>
            <w:r>
              <w:rPr>
                <w:rFonts w:ascii="Arial" w:hAnsi="Arial"/>
                <w:b w:val="0"/>
                <w:i w:val="0"/>
                <w:color w:val="141C2B"/>
                <w:sz w:val="17"/>
              </w:rPr>
              <w:t>bastırmak</w:t>
            </w:r>
          </w:p>
        </w:tc>
      </w:tr>
      <w:tr>
        <w:tc>
          <w:tcPr>
            <w:tcW w:type="dxa" w:w="2438"/>
          </w:tcPr>
          <w:p>
            <w:pPr>
              <w:spacing w:before="20" w:after="20" w:line="240" w:lineRule="auto"/>
              <w:jc w:val="left"/>
            </w:pPr>
            <w:r>
              <w:rPr>
                <w:rFonts w:ascii="Arial" w:hAnsi="Arial"/>
                <w:b w:val="0"/>
                <w:i w:val="0"/>
                <w:color w:val="141C2B"/>
                <w:sz w:val="17"/>
              </w:rPr>
              <w:t>forbid (the thing it once forbade)</w:t>
            </w:r>
          </w:p>
        </w:tc>
        <w:tc>
          <w:tcPr>
            <w:tcW w:type="dxa" w:w="2665"/>
          </w:tcPr>
          <w:p>
            <w:pPr>
              <w:spacing w:before="20" w:after="20" w:line="240" w:lineRule="auto"/>
              <w:jc w:val="left"/>
            </w:pPr>
            <w:r>
              <w:rPr>
                <w:rFonts w:ascii="Arial" w:hAnsi="Arial"/>
                <w:b w:val="0"/>
                <w:i w:val="0"/>
                <w:color w:val="141C2B"/>
                <w:sz w:val="17"/>
              </w:rPr>
              <w:t>yasaklamak</w:t>
            </w:r>
          </w:p>
        </w:tc>
        <w:tc>
          <w:tcPr>
            <w:tcW w:type="dxa" w:w="2438"/>
          </w:tcPr>
          <w:p>
            <w:pPr>
              <w:spacing w:before="20" w:after="20" w:line="240" w:lineRule="auto"/>
              <w:jc w:val="left"/>
            </w:pPr>
            <w:r>
              <w:rPr>
                <w:rFonts w:ascii="Arial" w:hAnsi="Arial"/>
                <w:b w:val="0"/>
                <w:i w:val="0"/>
                <w:color w:val="141C2B"/>
                <w:sz w:val="17"/>
              </w:rPr>
              <w:t>survey (a satisfaction survey)</w:t>
            </w:r>
          </w:p>
        </w:tc>
        <w:tc>
          <w:tcPr>
            <w:tcW w:type="dxa" w:w="2665"/>
          </w:tcPr>
          <w:p>
            <w:pPr>
              <w:spacing w:before="20" w:after="20" w:line="240" w:lineRule="auto"/>
              <w:jc w:val="left"/>
            </w:pPr>
            <w:r>
              <w:rPr>
                <w:rFonts w:ascii="Arial" w:hAnsi="Arial"/>
                <w:b w:val="0"/>
                <w:i w:val="0"/>
                <w:color w:val="141C2B"/>
                <w:sz w:val="17"/>
              </w:rPr>
              <w:t>anket</w:t>
            </w:r>
          </w:p>
        </w:tc>
      </w:tr>
      <w:tr>
        <w:tc>
          <w:tcPr>
            <w:tcW w:type="dxa" w:w="2438"/>
          </w:tcPr>
          <w:p>
            <w:pPr>
              <w:spacing w:before="20" w:after="20" w:line="240" w:lineRule="auto"/>
              <w:jc w:val="left"/>
            </w:pPr>
            <w:r>
              <w:rPr>
                <w:rFonts w:ascii="Arial" w:hAnsi="Arial"/>
                <w:b w:val="0"/>
                <w:i w:val="0"/>
                <w:color w:val="141C2B"/>
                <w:sz w:val="17"/>
              </w:rPr>
              <w:t>fraud</w:t>
            </w:r>
          </w:p>
        </w:tc>
        <w:tc>
          <w:tcPr>
            <w:tcW w:type="dxa" w:w="2665"/>
          </w:tcPr>
          <w:p>
            <w:pPr>
              <w:spacing w:before="20" w:after="20" w:line="240" w:lineRule="auto"/>
              <w:jc w:val="left"/>
            </w:pPr>
            <w:r>
              <w:rPr>
                <w:rFonts w:ascii="Arial" w:hAnsi="Arial"/>
                <w:b w:val="0"/>
                <w:i w:val="0"/>
                <w:color w:val="141C2B"/>
                <w:sz w:val="17"/>
              </w:rPr>
              <w:t>sahtecilik, dolandırıcılık</w:t>
            </w:r>
          </w:p>
        </w:tc>
        <w:tc>
          <w:tcPr>
            <w:tcW w:type="dxa" w:w="2438"/>
          </w:tcPr>
          <w:p>
            <w:pPr>
              <w:spacing w:before="20" w:after="20" w:line="240" w:lineRule="auto"/>
              <w:jc w:val="left"/>
            </w:pPr>
            <w:r>
              <w:rPr>
                <w:rFonts w:ascii="Arial" w:hAnsi="Arial"/>
                <w:b w:val="0"/>
                <w:i w:val="0"/>
                <w:color w:val="141C2B"/>
                <w:sz w:val="17"/>
              </w:rPr>
              <w:t>tarnishment</w:t>
            </w:r>
          </w:p>
        </w:tc>
        <w:tc>
          <w:tcPr>
            <w:tcW w:type="dxa" w:w="2665"/>
          </w:tcPr>
          <w:p>
            <w:pPr>
              <w:spacing w:before="20" w:after="20" w:line="240" w:lineRule="auto"/>
              <w:jc w:val="left"/>
            </w:pPr>
            <w:r>
              <w:rPr>
                <w:rFonts w:ascii="Arial" w:hAnsi="Arial"/>
                <w:b w:val="0"/>
                <w:i w:val="0"/>
                <w:color w:val="141C2B"/>
                <w:sz w:val="17"/>
              </w:rPr>
              <w:t>itibar lekelenmesi</w:t>
            </w:r>
          </w:p>
        </w:tc>
      </w:tr>
      <w:tr>
        <w:tc>
          <w:tcPr>
            <w:tcW w:type="dxa" w:w="2438"/>
          </w:tcPr>
          <w:p>
            <w:pPr>
              <w:spacing w:before="20" w:after="20" w:line="240" w:lineRule="auto"/>
              <w:jc w:val="left"/>
            </w:pPr>
            <w:r>
              <w:rPr>
                <w:rFonts w:ascii="Arial" w:hAnsi="Arial"/>
                <w:b w:val="0"/>
                <w:i w:val="0"/>
                <w:color w:val="141C2B"/>
                <w:sz w:val="17"/>
              </w:rPr>
              <w:t>further</w:t>
            </w:r>
          </w:p>
        </w:tc>
        <w:tc>
          <w:tcPr>
            <w:tcW w:type="dxa" w:w="2665"/>
          </w:tcPr>
          <w:p>
            <w:pPr>
              <w:spacing w:before="20" w:after="20" w:line="240" w:lineRule="auto"/>
              <w:jc w:val="left"/>
            </w:pPr>
            <w:r>
              <w:rPr>
                <w:rFonts w:ascii="Arial" w:hAnsi="Arial"/>
                <w:b w:val="0"/>
                <w:i w:val="0"/>
                <w:color w:val="141C2B"/>
                <w:sz w:val="17"/>
              </w:rPr>
              <w:t>daha ileri, daha öte</w:t>
            </w:r>
          </w:p>
        </w:tc>
        <w:tc>
          <w:tcPr>
            <w:tcW w:type="dxa" w:w="2438"/>
          </w:tcPr>
          <w:p>
            <w:pPr>
              <w:spacing w:before="20" w:after="20" w:line="240" w:lineRule="auto"/>
              <w:jc w:val="left"/>
            </w:pPr>
            <w:r>
              <w:rPr>
                <w:rFonts w:ascii="Arial" w:hAnsi="Arial"/>
                <w:b w:val="0"/>
                <w:i w:val="0"/>
                <w:color w:val="141C2B"/>
                <w:sz w:val="17"/>
              </w:rPr>
              <w:t>temperance (temperance societies)</w:t>
            </w:r>
          </w:p>
        </w:tc>
        <w:tc>
          <w:tcPr>
            <w:tcW w:type="dxa" w:w="2665"/>
          </w:tcPr>
          <w:p>
            <w:pPr>
              <w:spacing w:before="20" w:after="20" w:line="240" w:lineRule="auto"/>
              <w:jc w:val="left"/>
            </w:pPr>
            <w:r>
              <w:rPr>
                <w:rFonts w:ascii="Arial" w:hAnsi="Arial"/>
                <w:b w:val="0"/>
                <w:i w:val="0"/>
                <w:color w:val="141C2B"/>
                <w:sz w:val="17"/>
              </w:rPr>
              <w:t>içki karşıtlığı</w:t>
            </w:r>
          </w:p>
        </w:tc>
      </w:tr>
      <w:tr>
        <w:tc>
          <w:tcPr>
            <w:tcW w:type="dxa" w:w="2438"/>
          </w:tcPr>
          <w:p>
            <w:pPr>
              <w:spacing w:before="20" w:after="20" w:line="240" w:lineRule="auto"/>
              <w:jc w:val="left"/>
            </w:pPr>
            <w:r>
              <w:rPr>
                <w:rFonts w:ascii="Arial" w:hAnsi="Arial"/>
                <w:b w:val="0"/>
                <w:i w:val="0"/>
                <w:color w:val="141C2B"/>
                <w:sz w:val="17"/>
              </w:rPr>
              <w:t>gesture</w:t>
            </w:r>
          </w:p>
        </w:tc>
        <w:tc>
          <w:tcPr>
            <w:tcW w:type="dxa" w:w="2665"/>
          </w:tcPr>
          <w:p>
            <w:pPr>
              <w:spacing w:before="20" w:after="20" w:line="240" w:lineRule="auto"/>
              <w:jc w:val="left"/>
            </w:pPr>
            <w:r>
              <w:rPr>
                <w:rFonts w:ascii="Arial" w:hAnsi="Arial"/>
                <w:b w:val="0"/>
                <w:i w:val="0"/>
                <w:color w:val="141C2B"/>
                <w:sz w:val="17"/>
              </w:rPr>
              <w:t>jest, gösteriş hareketi</w:t>
            </w:r>
          </w:p>
        </w:tc>
        <w:tc>
          <w:tcPr>
            <w:tcW w:type="dxa" w:w="2438"/>
          </w:tcPr>
          <w:p>
            <w:pPr>
              <w:spacing w:before="20" w:after="20" w:line="240" w:lineRule="auto"/>
              <w:jc w:val="left"/>
            </w:pPr>
            <w:r>
              <w:rPr>
                <w:rFonts w:ascii="Arial" w:hAnsi="Arial"/>
                <w:b w:val="0"/>
                <w:i w:val="0"/>
                <w:color w:val="141C2B"/>
                <w:sz w:val="17"/>
              </w:rPr>
              <w:t>tenant</w:t>
            </w:r>
          </w:p>
        </w:tc>
        <w:tc>
          <w:tcPr>
            <w:tcW w:type="dxa" w:w="2665"/>
          </w:tcPr>
          <w:p>
            <w:pPr>
              <w:spacing w:before="20" w:after="20" w:line="240" w:lineRule="auto"/>
              <w:jc w:val="left"/>
            </w:pPr>
            <w:r>
              <w:rPr>
                <w:rFonts w:ascii="Arial" w:hAnsi="Arial"/>
                <w:b w:val="0"/>
                <w:i w:val="0"/>
                <w:color w:val="141C2B"/>
                <w:sz w:val="17"/>
              </w:rPr>
              <w:t>kiracı</w:t>
            </w:r>
          </w:p>
        </w:tc>
      </w:tr>
      <w:tr>
        <w:tc>
          <w:tcPr>
            <w:tcW w:type="dxa" w:w="2438"/>
          </w:tcPr>
          <w:p>
            <w:pPr>
              <w:spacing w:before="20" w:after="20" w:line="240" w:lineRule="auto"/>
              <w:jc w:val="left"/>
            </w:pPr>
            <w:r>
              <w:rPr>
                <w:rFonts w:ascii="Arial" w:hAnsi="Arial"/>
                <w:b w:val="0"/>
                <w:i w:val="0"/>
                <w:color w:val="141C2B"/>
                <w:sz w:val="17"/>
              </w:rPr>
              <w:t>grain</w:t>
            </w:r>
          </w:p>
        </w:tc>
        <w:tc>
          <w:tcPr>
            <w:tcW w:type="dxa" w:w="2665"/>
          </w:tcPr>
          <w:p>
            <w:pPr>
              <w:spacing w:before="20" w:after="20" w:line="240" w:lineRule="auto"/>
              <w:jc w:val="left"/>
            </w:pPr>
            <w:r>
              <w:rPr>
                <w:rFonts w:ascii="Arial" w:hAnsi="Arial"/>
                <w:b w:val="0"/>
                <w:i w:val="0"/>
                <w:color w:val="141C2B"/>
                <w:sz w:val="17"/>
              </w:rPr>
              <w:t>tahıl</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hardly</w:t>
            </w:r>
          </w:p>
        </w:tc>
        <w:tc>
          <w:tcPr>
            <w:tcW w:type="dxa" w:w="2665"/>
          </w:tcPr>
          <w:p>
            <w:pPr>
              <w:spacing w:before="20" w:after="20" w:line="240" w:lineRule="auto"/>
              <w:jc w:val="left"/>
            </w:pPr>
            <w:r>
              <w:rPr>
                <w:rFonts w:ascii="Arial" w:hAnsi="Arial"/>
                <w:b w:val="0"/>
                <w:i w:val="0"/>
                <w:color w:val="141C2B"/>
                <w:sz w:val="17"/>
              </w:rPr>
              <w:t>nadiren</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harvest</w:t>
            </w:r>
          </w:p>
        </w:tc>
        <w:tc>
          <w:tcPr>
            <w:tcW w:type="dxa" w:w="2665"/>
          </w:tcPr>
          <w:p>
            <w:pPr>
              <w:spacing w:before="20" w:after="20" w:line="240" w:lineRule="auto"/>
              <w:jc w:val="left"/>
            </w:pPr>
            <w:r>
              <w:rPr>
                <w:rFonts w:ascii="Arial" w:hAnsi="Arial"/>
                <w:b w:val="0"/>
                <w:i w:val="0"/>
                <w:color w:val="141C2B"/>
                <w:sz w:val="17"/>
              </w:rPr>
              <w:t>hasat</w:t>
            </w:r>
          </w:p>
        </w:tc>
        <w:tc>
          <w:tcPr>
            <w:tcW w:type="dxa" w:w="2438"/>
          </w:tcPr>
          <w:p>
            <w:pPr>
              <w:spacing w:before="20" w:after="20" w:line="240" w:lineRule="auto"/>
              <w:jc w:val="left"/>
            </w:pPr>
            <w:r>
              <w:rPr>
                <w:rFonts w:ascii="Arial" w:hAnsi="Arial"/>
                <w:b w:val="0"/>
                <w:i w:val="0"/>
                <w:color w:val="141C2B"/>
                <w:sz w:val="17"/>
              </w:rPr>
              <w:t>timetable</w:t>
            </w:r>
          </w:p>
        </w:tc>
        <w:tc>
          <w:tcPr>
            <w:tcW w:type="dxa" w:w="2665"/>
          </w:tcPr>
          <w:p>
            <w:pPr>
              <w:spacing w:before="20" w:after="20" w:line="240" w:lineRule="auto"/>
              <w:jc w:val="left"/>
            </w:pPr>
            <w:r>
              <w:rPr>
                <w:rFonts w:ascii="Arial" w:hAnsi="Arial"/>
                <w:b w:val="0"/>
                <w:i w:val="0"/>
                <w:color w:val="141C2B"/>
                <w:sz w:val="17"/>
              </w:rPr>
              <w:t>tarife, çizelge</w:t>
            </w:r>
          </w:p>
        </w:tc>
      </w:tr>
      <w:tr>
        <w:tc>
          <w:tcPr>
            <w:tcW w:type="dxa" w:w="2438"/>
          </w:tcPr>
          <w:p>
            <w:pPr>
              <w:spacing w:before="20" w:after="20" w:line="240" w:lineRule="auto"/>
              <w:jc w:val="left"/>
            </w:pPr>
            <w:r>
              <w:rPr>
                <w:rFonts w:ascii="Arial" w:hAnsi="Arial"/>
                <w:b w:val="0"/>
                <w:i w:val="0"/>
                <w:color w:val="141C2B"/>
                <w:sz w:val="17"/>
              </w:rPr>
              <w:t>impose (imposed)</w:t>
            </w:r>
          </w:p>
        </w:tc>
        <w:tc>
          <w:tcPr>
            <w:tcW w:type="dxa" w:w="2665"/>
          </w:tcPr>
          <w:p>
            <w:pPr>
              <w:spacing w:before="20" w:after="20" w:line="240" w:lineRule="auto"/>
              <w:jc w:val="left"/>
            </w:pPr>
            <w:r>
              <w:rPr>
                <w:rFonts w:ascii="Arial" w:hAnsi="Arial"/>
                <w:b w:val="0"/>
                <w:i w:val="0"/>
                <w:color w:val="141C2B"/>
                <w:sz w:val="17"/>
              </w:rPr>
              <w:t>dayatmak</w:t>
            </w:r>
          </w:p>
        </w:tc>
        <w:tc>
          <w:tcPr>
            <w:tcW w:type="dxa" w:w="2438"/>
          </w:tcPr>
          <w:p>
            <w:pPr>
              <w:spacing w:before="20" w:after="20" w:line="240" w:lineRule="auto"/>
              <w:jc w:val="left"/>
            </w:pPr>
            <w:r>
              <w:rPr>
                <w:rFonts w:ascii="Arial" w:hAnsi="Arial"/>
                <w:b w:val="0"/>
                <w:i w:val="0"/>
                <w:color w:val="141C2B"/>
                <w:sz w:val="17"/>
              </w:rPr>
              <w:t>trademark</w:t>
            </w:r>
          </w:p>
        </w:tc>
        <w:tc>
          <w:tcPr>
            <w:tcW w:type="dxa" w:w="2665"/>
          </w:tcPr>
          <w:p>
            <w:pPr>
              <w:spacing w:before="20" w:after="20" w:line="240" w:lineRule="auto"/>
              <w:jc w:val="left"/>
            </w:pPr>
            <w:r>
              <w:rPr>
                <w:rFonts w:ascii="Arial" w:hAnsi="Arial"/>
                <w:b w:val="0"/>
                <w:i w:val="0"/>
                <w:color w:val="141C2B"/>
                <w:sz w:val="17"/>
              </w:rPr>
              <w:t>marka, ticari marka</w:t>
            </w:r>
          </w:p>
        </w:tc>
      </w:tr>
      <w:tr>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c>
          <w:tcPr>
            <w:tcW w:type="dxa" w:w="2438"/>
          </w:tcPr>
          <w:p>
            <w:pPr>
              <w:spacing w:before="20" w:after="20" w:line="240" w:lineRule="auto"/>
              <w:jc w:val="left"/>
            </w:pPr>
            <w:r>
              <w:rPr>
                <w:rFonts w:ascii="Arial" w:hAnsi="Arial"/>
                <w:b w:val="0"/>
                <w:i w:val="0"/>
                <w:color w:val="141C2B"/>
                <w:sz w:val="17"/>
              </w:rPr>
              <w:t>treat</w:t>
            </w:r>
          </w:p>
        </w:tc>
        <w:tc>
          <w:tcPr>
            <w:tcW w:type="dxa" w:w="2665"/>
          </w:tcPr>
          <w:p>
            <w:pPr>
              <w:spacing w:before="20" w:after="20" w:line="240" w:lineRule="auto"/>
              <w:jc w:val="left"/>
            </w:pPr>
            <w:r>
              <w:rPr>
                <w:rFonts w:ascii="Arial" w:hAnsi="Arial"/>
                <w:b w:val="0"/>
                <w:i w:val="0"/>
                <w:color w:val="141C2B"/>
                <w:sz w:val="17"/>
              </w:rPr>
              <w:t>tedavi etmek</w:t>
            </w:r>
          </w:p>
        </w:tc>
      </w:tr>
      <w:tr>
        <w:tc>
          <w:tcPr>
            <w:tcW w:type="dxa" w:w="2438"/>
          </w:tcPr>
          <w:p>
            <w:pPr>
              <w:spacing w:before="20" w:after="20" w:line="240" w:lineRule="auto"/>
              <w:jc w:val="left"/>
            </w:pPr>
            <w:r>
              <w:rPr>
                <w:rFonts w:ascii="Arial" w:hAnsi="Arial"/>
                <w:b w:val="0"/>
                <w:i w:val="0"/>
                <w:color w:val="141C2B"/>
                <w:sz w:val="17"/>
              </w:rPr>
              <w:t>inscription</w:t>
            </w:r>
          </w:p>
        </w:tc>
        <w:tc>
          <w:tcPr>
            <w:tcW w:type="dxa" w:w="2665"/>
          </w:tcPr>
          <w:p>
            <w:pPr>
              <w:spacing w:before="20" w:after="20" w:line="240" w:lineRule="auto"/>
              <w:jc w:val="left"/>
            </w:pPr>
            <w:r>
              <w:rPr>
                <w:rFonts w:ascii="Arial" w:hAnsi="Arial"/>
                <w:b w:val="0"/>
                <w:i w:val="0"/>
                <w:color w:val="141C2B"/>
                <w:sz w:val="17"/>
              </w:rPr>
              <w:t>yazıt, kitabe</w:t>
            </w:r>
          </w:p>
        </w:tc>
        <w:tc>
          <w:tcPr>
            <w:tcW w:type="dxa" w:w="2438"/>
          </w:tcPr>
          <w:p>
            <w:pPr>
              <w:spacing w:before="20" w:after="20" w:line="240" w:lineRule="auto"/>
              <w:jc w:val="left"/>
            </w:pPr>
            <w:r>
              <w:rPr>
                <w:rFonts w:ascii="Arial" w:hAnsi="Arial"/>
                <w:b w:val="0"/>
                <w:i w:val="0"/>
                <w:color w:val="141C2B"/>
                <w:sz w:val="17"/>
              </w:rPr>
              <w:t>trench</w:t>
            </w:r>
          </w:p>
        </w:tc>
        <w:tc>
          <w:tcPr>
            <w:tcW w:type="dxa" w:w="2665"/>
          </w:tcPr>
          <w:p>
            <w:pPr>
              <w:spacing w:before="20" w:after="20" w:line="240" w:lineRule="auto"/>
              <w:jc w:val="left"/>
            </w:pPr>
            <w:r>
              <w:rPr>
                <w:rFonts w:ascii="Arial" w:hAnsi="Arial"/>
                <w:b w:val="0"/>
                <w:i w:val="0"/>
                <w:color w:val="141C2B"/>
                <w:sz w:val="17"/>
              </w:rPr>
              <w:t>kazı hendeği</w:t>
            </w:r>
          </w:p>
        </w:tc>
      </w:tr>
      <w:tr>
        <w:tc>
          <w:tcPr>
            <w:tcW w:type="dxa" w:w="2438"/>
          </w:tcPr>
          <w:p>
            <w:pPr>
              <w:spacing w:before="20" w:after="20" w:line="240" w:lineRule="auto"/>
              <w:jc w:val="left"/>
            </w:pPr>
            <w:r>
              <w:rPr>
                <w:rFonts w:ascii="Arial" w:hAnsi="Arial"/>
                <w:b w:val="0"/>
                <w:i w:val="0"/>
                <w:color w:val="141C2B"/>
                <w:sz w:val="17"/>
              </w:rPr>
              <w:t>involve</w:t>
            </w:r>
          </w:p>
        </w:tc>
        <w:tc>
          <w:tcPr>
            <w:tcW w:type="dxa" w:w="2665"/>
          </w:tcPr>
          <w:p>
            <w:pPr>
              <w:spacing w:before="20" w:after="20" w:line="240" w:lineRule="auto"/>
              <w:jc w:val="left"/>
            </w:pPr>
            <w:r>
              <w:rPr>
                <w:rFonts w:ascii="Arial" w:hAnsi="Arial"/>
                <w:b w:val="0"/>
                <w:i w:val="0"/>
                <w:color w:val="141C2B"/>
                <w:sz w:val="17"/>
              </w:rPr>
              <w:t>içermek</w:t>
            </w:r>
          </w:p>
        </w:tc>
        <w:tc>
          <w:tcPr>
            <w:tcW w:type="dxa" w:w="2438"/>
          </w:tcPr>
          <w:p>
            <w:pPr>
              <w:spacing w:before="20" w:after="20" w:line="240" w:lineRule="auto"/>
              <w:jc w:val="left"/>
            </w:pPr>
            <w:r>
              <w:rPr>
                <w:rFonts w:ascii="Arial" w:hAnsi="Arial"/>
                <w:b w:val="0"/>
                <w:i w:val="0"/>
                <w:color w:val="141C2B"/>
                <w:sz w:val="17"/>
              </w:rPr>
              <w:t>undug (left partly undug)</w:t>
            </w:r>
          </w:p>
        </w:tc>
        <w:tc>
          <w:tcPr>
            <w:tcW w:type="dxa" w:w="2665"/>
          </w:tcPr>
          <w:p>
            <w:pPr>
              <w:spacing w:before="20" w:after="20" w:line="240" w:lineRule="auto"/>
              <w:jc w:val="left"/>
            </w:pPr>
            <w:r>
              <w:rPr>
                <w:rFonts w:ascii="Arial" w:hAnsi="Arial"/>
                <w:b w:val="0"/>
                <w:i w:val="0"/>
                <w:color w:val="141C2B"/>
                <w:sz w:val="17"/>
              </w:rPr>
              <w:t>kazılmamış</w:t>
            </w:r>
          </w:p>
        </w:tc>
      </w:tr>
      <w:tr>
        <w:tc>
          <w:tcPr>
            <w:tcW w:type="dxa" w:w="2438"/>
          </w:tcPr>
          <w:p>
            <w:pPr>
              <w:spacing w:before="20" w:after="20" w:line="240" w:lineRule="auto"/>
              <w:jc w:val="left"/>
            </w:pPr>
            <w:r>
              <w:rPr>
                <w:rFonts w:ascii="Arial" w:hAnsi="Arial"/>
                <w:b w:val="0"/>
                <w:i w:val="0"/>
                <w:color w:val="141C2B"/>
                <w:sz w:val="17"/>
              </w:rPr>
              <w:t>jam (if it jammed)</w:t>
            </w:r>
          </w:p>
        </w:tc>
        <w:tc>
          <w:tcPr>
            <w:tcW w:type="dxa" w:w="2665"/>
          </w:tcPr>
          <w:p>
            <w:pPr>
              <w:spacing w:before="20" w:after="20" w:line="240" w:lineRule="auto"/>
              <w:jc w:val="left"/>
            </w:pPr>
            <w:r>
              <w:rPr>
                <w:rFonts w:ascii="Arial" w:hAnsi="Arial"/>
                <w:b w:val="0"/>
                <w:i w:val="0"/>
                <w:color w:val="141C2B"/>
                <w:sz w:val="17"/>
              </w:rPr>
              <w:t>sıkışmak</w:t>
            </w:r>
          </w:p>
        </w:tc>
        <w:tc>
          <w:tcPr>
            <w:tcW w:type="dxa" w:w="2438"/>
          </w:tcPr>
          <w:p>
            <w:pPr>
              <w:spacing w:before="20" w:after="20" w:line="240" w:lineRule="auto"/>
              <w:jc w:val="left"/>
            </w:pPr>
            <w:r>
              <w:rPr>
                <w:rFonts w:ascii="Arial" w:hAnsi="Arial"/>
                <w:b w:val="0"/>
                <w:i w:val="0"/>
                <w:color w:val="141C2B"/>
                <w:sz w:val="17"/>
              </w:rPr>
              <w:t>vindicate (has been vindicated)</w:t>
            </w:r>
          </w:p>
        </w:tc>
        <w:tc>
          <w:tcPr>
            <w:tcW w:type="dxa" w:w="2665"/>
          </w:tcPr>
          <w:p>
            <w:pPr>
              <w:spacing w:before="20" w:after="20" w:line="240" w:lineRule="auto"/>
              <w:jc w:val="left"/>
            </w:pPr>
            <w:r>
              <w:rPr>
                <w:rFonts w:ascii="Arial" w:hAnsi="Arial"/>
                <w:b w:val="0"/>
                <w:i w:val="0"/>
                <w:color w:val="141C2B"/>
                <w:sz w:val="17"/>
              </w:rPr>
              <w:t>haklı çıkarmak</w:t>
            </w:r>
          </w:p>
        </w:tc>
      </w:tr>
      <w:tr>
        <w:tc>
          <w:tcPr>
            <w:tcW w:type="dxa" w:w="2438"/>
          </w:tcPr>
          <w:p>
            <w:pPr>
              <w:spacing w:before="20" w:after="20" w:line="240" w:lineRule="auto"/>
              <w:jc w:val="left"/>
            </w:pPr>
            <w:r>
              <w:rPr>
                <w:rFonts w:ascii="Arial" w:hAnsi="Arial"/>
                <w:b w:val="0"/>
                <w:i w:val="0"/>
                <w:color w:val="141C2B"/>
                <w:sz w:val="17"/>
              </w:rPr>
              <w:t>landless</w:t>
            </w:r>
          </w:p>
        </w:tc>
        <w:tc>
          <w:tcPr>
            <w:tcW w:type="dxa" w:w="2665"/>
          </w:tcPr>
          <w:p>
            <w:pPr>
              <w:spacing w:before="20" w:after="20" w:line="240" w:lineRule="auto"/>
              <w:jc w:val="left"/>
            </w:pPr>
            <w:r>
              <w:rPr>
                <w:rFonts w:ascii="Arial" w:hAnsi="Arial"/>
                <w:b w:val="0"/>
                <w:i w:val="0"/>
                <w:color w:val="141C2B"/>
                <w:sz w:val="17"/>
              </w:rPr>
              <w:t>topraksız</w:t>
            </w:r>
          </w:p>
        </w:tc>
        <w:tc>
          <w:tcPr>
            <w:tcW w:type="dxa" w:w="2438"/>
          </w:tcPr>
          <w:p>
            <w:pPr>
              <w:spacing w:before="20" w:after="20" w:line="240" w:lineRule="auto"/>
              <w:jc w:val="left"/>
            </w:pPr>
            <w:r>
              <w:rPr>
                <w:rFonts w:ascii="Arial" w:hAnsi="Arial"/>
                <w:b w:val="0"/>
                <w:i w:val="0"/>
                <w:color w:val="141C2B"/>
                <w:sz w:val="17"/>
              </w:rPr>
              <w:t>wage</w:t>
            </w:r>
          </w:p>
        </w:tc>
        <w:tc>
          <w:tcPr>
            <w:tcW w:type="dxa" w:w="2665"/>
          </w:tcPr>
          <w:p>
            <w:pPr>
              <w:spacing w:before="20" w:after="20" w:line="240" w:lineRule="auto"/>
              <w:jc w:val="left"/>
            </w:pPr>
            <w:r>
              <w:rPr>
                <w:rFonts w:ascii="Arial" w:hAnsi="Arial"/>
                <w:b w:val="0"/>
                <w:i w:val="0"/>
                <w:color w:val="141C2B"/>
                <w:sz w:val="17"/>
              </w:rPr>
              <w:t>ücret</w:t>
            </w:r>
          </w:p>
        </w:tc>
      </w:tr>
      <w:tr>
        <w:tc>
          <w:tcPr>
            <w:tcW w:type="dxa" w:w="2438"/>
          </w:tcPr>
          <w:p>
            <w:pPr>
              <w:spacing w:before="20" w:after="20" w:line="240" w:lineRule="auto"/>
              <w:jc w:val="left"/>
            </w:pPr>
            <w:r>
              <w:rPr>
                <w:rFonts w:ascii="Arial" w:hAnsi="Arial"/>
                <w:b w:val="0"/>
                <w:i w:val="0"/>
                <w:color w:val="141C2B"/>
                <w:sz w:val="17"/>
              </w:rPr>
              <w:t>landlord</w:t>
            </w:r>
          </w:p>
        </w:tc>
        <w:tc>
          <w:tcPr>
            <w:tcW w:type="dxa" w:w="2665"/>
          </w:tcPr>
          <w:p>
            <w:pPr>
              <w:spacing w:before="20" w:after="20" w:line="240" w:lineRule="auto"/>
              <w:jc w:val="left"/>
            </w:pPr>
            <w:r>
              <w:rPr>
                <w:rFonts w:ascii="Arial" w:hAnsi="Arial"/>
                <w:b w:val="0"/>
                <w:i w:val="0"/>
                <w:color w:val="141C2B"/>
                <w:sz w:val="17"/>
              </w:rPr>
              <w:t>mal sahibi, ev sahibi</w:t>
            </w:r>
          </w:p>
        </w:tc>
        <w:tc>
          <w:tcPr>
            <w:tcW w:type="dxa" w:w="2438"/>
          </w:tcPr>
          <w:p>
            <w:pPr>
              <w:spacing w:before="20" w:after="20" w:line="240" w:lineRule="auto"/>
              <w:jc w:val="left"/>
            </w:pPr>
            <w:r>
              <w:rPr>
                <w:rFonts w:ascii="Arial" w:hAnsi="Arial"/>
                <w:b w:val="0"/>
                <w:i w:val="0"/>
                <w:color w:val="141C2B"/>
                <w:sz w:val="17"/>
              </w:rPr>
              <w:t>waive (a right the voter may waive)</w:t>
            </w:r>
          </w:p>
        </w:tc>
        <w:tc>
          <w:tcPr>
            <w:tcW w:type="dxa" w:w="2665"/>
          </w:tcPr>
          <w:p>
            <w:pPr>
              <w:spacing w:before="20" w:after="20" w:line="240" w:lineRule="auto"/>
              <w:jc w:val="left"/>
            </w:pPr>
            <w:r>
              <w:rPr>
                <w:rFonts w:ascii="Arial" w:hAnsi="Arial"/>
                <w:b w:val="0"/>
                <w:i w:val="0"/>
                <w:color w:val="141C2B"/>
                <w:sz w:val="17"/>
              </w:rPr>
              <w:t>vazgeçmek, feragat etmek</w:t>
            </w:r>
          </w:p>
        </w:tc>
      </w:tr>
      <w:tr>
        <w:tc>
          <w:tcPr>
            <w:tcW w:type="dxa" w:w="2438"/>
          </w:tcPr>
          <w:p>
            <w:pPr>
              <w:spacing w:before="20" w:after="20" w:line="240" w:lineRule="auto"/>
              <w:jc w:val="left"/>
            </w:pPr>
            <w:r>
              <w:rPr>
                <w:rFonts w:ascii="Arial" w:hAnsi="Arial"/>
                <w:b w:val="0"/>
                <w:i w:val="0"/>
                <w:color w:val="141C2B"/>
                <w:sz w:val="17"/>
              </w:rPr>
              <w:t>layer</w:t>
            </w:r>
          </w:p>
        </w:tc>
        <w:tc>
          <w:tcPr>
            <w:tcW w:type="dxa" w:w="2665"/>
          </w:tcPr>
          <w:p>
            <w:pPr>
              <w:spacing w:before="20" w:after="20" w:line="240" w:lineRule="auto"/>
              <w:jc w:val="left"/>
            </w:pPr>
            <w:r>
              <w:rPr>
                <w:rFonts w:ascii="Arial" w:hAnsi="Arial"/>
                <w:b w:val="0"/>
                <w:i w:val="0"/>
                <w:color w:val="141C2B"/>
                <w:sz w:val="17"/>
              </w:rPr>
              <w:t>katman</w:t>
            </w:r>
          </w:p>
        </w:tc>
        <w:tc>
          <w:tcPr>
            <w:tcW w:type="dxa" w:w="2438"/>
          </w:tcPr>
          <w:p>
            <w:pPr>
              <w:spacing w:before="20" w:after="20" w:line="240" w:lineRule="auto"/>
              <w:jc w:val="left"/>
            </w:pPr>
            <w:r>
              <w:rPr>
                <w:rFonts w:ascii="Arial" w:hAnsi="Arial"/>
                <w:b w:val="0"/>
                <w:i w:val="0"/>
                <w:color w:val="141C2B"/>
                <w:sz w:val="17"/>
              </w:rPr>
              <w:t>whalebone</w:t>
            </w:r>
          </w:p>
        </w:tc>
        <w:tc>
          <w:tcPr>
            <w:tcW w:type="dxa" w:w="2665"/>
          </w:tcPr>
          <w:p>
            <w:pPr>
              <w:spacing w:before="20" w:after="20" w:line="240" w:lineRule="auto"/>
              <w:jc w:val="left"/>
            </w:pPr>
            <w:r>
              <w:rPr>
                <w:rFonts w:ascii="Arial" w:hAnsi="Arial"/>
                <w:b w:val="0"/>
                <w:i w:val="0"/>
                <w:color w:val="141C2B"/>
                <w:sz w:val="17"/>
              </w:rPr>
              <w:t>balina kemiği</w:t>
            </w:r>
          </w:p>
        </w:tc>
      </w:tr>
      <w:tr>
        <w:tc>
          <w:tcPr>
            <w:tcW w:type="dxa" w:w="2438"/>
          </w:tcPr>
          <w:p>
            <w:pPr>
              <w:spacing w:before="20" w:after="20" w:line="240" w:lineRule="auto"/>
              <w:jc w:val="left"/>
            </w:pPr>
            <w:r>
              <w:rPr>
                <w:rFonts w:ascii="Arial" w:hAnsi="Arial"/>
                <w:b w:val="0"/>
                <w:i w:val="0"/>
                <w:color w:val="141C2B"/>
                <w:sz w:val="17"/>
              </w:rPr>
              <w:t>lip-read</w:t>
            </w:r>
          </w:p>
        </w:tc>
        <w:tc>
          <w:tcPr>
            <w:tcW w:type="dxa" w:w="2665"/>
          </w:tcPr>
          <w:p>
            <w:pPr>
              <w:spacing w:before="20" w:after="20" w:line="240" w:lineRule="auto"/>
              <w:jc w:val="left"/>
            </w:pPr>
            <w:r>
              <w:rPr>
                <w:rFonts w:ascii="Arial" w:hAnsi="Arial"/>
                <w:b w:val="0"/>
                <w:i w:val="0"/>
                <w:color w:val="141C2B"/>
                <w:sz w:val="17"/>
              </w:rPr>
              <w:t>dudak okumak</w:t>
            </w:r>
          </w:p>
        </w:tc>
        <w:tc>
          <w:tcPr>
            <w:tcW w:type="dxa" w:w="2438"/>
          </w:tcPr>
          <w:p/>
        </w:tc>
        <w:tc>
          <w:tcPr>
            <w:tcW w:type="dxa" w:w="2665"/>
          </w:tcP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10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10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10</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