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eastAsia="Times New Roman"/>
          <w:b/>
          <w:i w:val="0"/>
          <w:caps w:val="0"/>
          <w:sz w:val="28"/>
          <w:u w:val="none"/>
        </w:rPr>
        <w:t>ПЕРЕЧЕНЬ</w:t>
        <w:br/>
        <w:t>актов освидетельствования скрытых работ</w:t>
      </w:r>
    </w:p>
    <w:p>
      <w:pPr>
        <w:spacing w:before="0" w:after="80"/>
        <w:jc w:val="both"/>
      </w:pPr>
    </w:p>
    <w:p>
      <w:pPr>
        <w:spacing w:before="0" w:after="60"/>
        <w:jc w:val="center"/>
      </w:pPr>
      <w:r>
        <w:rPr>
          <w:rFonts w:ascii="Times New Roman" w:hAnsi="Times New Roman" w:eastAsia="Times New Roman"/>
          <w:b/>
          <w:i w:val="0"/>
          <w:caps w:val="0"/>
          <w:sz w:val="22"/>
          <w:u w:val="none"/>
        </w:rPr>
        <w:t>Монтаж и сварка резервуаров стальных вертикальных цилиндрических РВС-400 м³ (2 шт.) для хранения спиртов</w:t>
      </w:r>
    </w:p>
    <w:p>
      <w:pPr>
        <w:spacing w:before="0" w:after="60"/>
        <w:jc w:val="center"/>
      </w:pPr>
      <w:r>
        <w:rPr>
          <w:rFonts w:ascii="Times New Roman" w:hAnsi="Times New Roman" w:eastAsia="Times New Roman"/>
          <w:b w:val="0"/>
          <w:i w:val="0"/>
          <w:caps w:val="0"/>
          <w:sz w:val="20"/>
          <w:u w:val="none"/>
        </w:rPr>
        <w:t>Московская область, муниципальный округ Шатура, г. Рошаль</w:t>
      </w:r>
    </w:p>
    <w:p>
      <w:pPr>
        <w:spacing w:before="0" w:after="200"/>
        <w:jc w:val="center"/>
      </w:pPr>
      <w:r>
        <w:rPr>
          <w:rFonts w:ascii="Times New Roman" w:hAnsi="Times New Roman" w:eastAsia="Times New Roman"/>
          <w:b w:val="0"/>
          <w:i w:val="0"/>
          <w:caps w:val="0"/>
          <w:sz w:val="20"/>
          <w:u w:val="none"/>
        </w:rPr>
        <w:t>Рабочая документация VZRK-012.ТВС.772-КМ, VZRK-012.ТВС.772-КМД; ППР VZRK-012.ТВС.772-ППР; Договор строительного подряда № 93 от 29.09.2025</w:t>
      </w:r>
    </w:p>
    <w:p>
      <w:pPr>
        <w:spacing w:before="0" w:after="160"/>
        <w:ind w:firstLine="283"/>
        <w:jc w:val="both"/>
      </w:pPr>
      <w:r>
        <w:rPr>
          <w:rFonts w:ascii="Times New Roman" w:hAnsi="Times New Roman" w:eastAsia="Times New Roman"/>
          <w:b w:val="0"/>
          <w:i/>
          <w:caps w:val="0"/>
          <w:sz w:val="20"/>
          <w:u w:val="none"/>
        </w:rPr>
        <w:t>Перечень составлен на основании технологической последовательности производства работ по ППР (разд. 6, п. 10–16) и требований ГОСТ 31385-2023 к контролю скрытых работ. Акты оформляются отдельно по каждому резервуару.</w:t>
      </w:r>
    </w:p>
    <w:tbl>
      <w:tblPr>
        <w:tblStyle w:val="TableGrid"/>
        <w:tblW w:type="auto" w:w="0"/>
        <w:jc w:val="center"/>
        <w:tblLayout w:type="fixed"/>
        <w:tblLook w:firstColumn="1" w:firstRow="1" w:lastColumn="0" w:lastRow="0" w:noHBand="0" w:noVBand="1" w:val="04A0"/>
        <w:tblLayout w:type="fixed"/>
      </w:tblPr>
      <w:tblGrid>
        <w:gridCol w:w="958"/>
        <w:gridCol w:w="5625"/>
        <w:gridCol w:w="2095"/>
        <w:gridCol w:w="2095"/>
      </w:tblGrid>
      <w:tr>
        <w:tc>
          <w:tcPr>
            <w:tcW w:type="dxa" w:w="958"/>
          </w:tcPr>
          <w:p>
            <w:pPr>
              <w:spacing w:after="0"/>
              <w:jc w:val="center"/>
            </w:pPr>
            <w:r/>
            <w:r>
              <w:rPr>
                <w:rFonts w:ascii="Times New Roman" w:hAnsi="Times New Roman"/>
                <w:b/>
                <w:sz w:val="18"/>
              </w:rPr>
              <w:t>№ акта</w:t>
            </w:r>
          </w:p>
        </w:tc>
        <w:tc>
          <w:tcPr>
            <w:tcW w:type="dxa" w:w="5625"/>
          </w:tcPr>
          <w:p>
            <w:pPr>
              <w:spacing w:after="0"/>
              <w:jc w:val="center"/>
            </w:pPr>
            <w:r/>
            <w:r>
              <w:rPr>
                <w:rFonts w:ascii="Times New Roman" w:hAnsi="Times New Roman"/>
                <w:b/>
                <w:sz w:val="18"/>
              </w:rPr>
              <w:t>Наименование скрытых работ</w:t>
            </w:r>
          </w:p>
        </w:tc>
        <w:tc>
          <w:tcPr>
            <w:tcW w:type="dxa" w:w="2095"/>
          </w:tcPr>
          <w:p>
            <w:pPr>
              <w:spacing w:after="0"/>
              <w:jc w:val="center"/>
            </w:pPr>
            <w:r/>
            <w:r>
              <w:rPr>
                <w:rFonts w:ascii="Times New Roman" w:hAnsi="Times New Roman"/>
                <w:b/>
                <w:sz w:val="18"/>
              </w:rPr>
              <w:t>РВС № 1 (№ и дата акта)</w:t>
            </w:r>
          </w:p>
        </w:tc>
        <w:tc>
          <w:tcPr>
            <w:tcW w:type="dxa" w:w="2095"/>
          </w:tcPr>
          <w:p>
            <w:pPr>
              <w:spacing w:after="0"/>
              <w:jc w:val="center"/>
            </w:pPr>
            <w:r/>
            <w:r>
              <w:rPr>
                <w:rFonts w:ascii="Times New Roman" w:hAnsi="Times New Roman"/>
                <w:b/>
                <w:sz w:val="18"/>
              </w:rPr>
              <w:t>РВС № 2 (№ и дата акта)</w:t>
            </w:r>
          </w:p>
        </w:tc>
      </w:tr>
      <w:tr>
        <w:tc>
          <w:tcPr>
            <w:tcW w:type="dxa" w:w="958"/>
          </w:tcPr>
          <w:p>
            <w:pPr>
              <w:spacing w:after="0"/>
              <w:jc w:val="center"/>
            </w:pPr>
            <w:r/>
            <w:r>
              <w:rPr>
                <w:rFonts w:ascii="Times New Roman" w:hAnsi="Times New Roman"/>
                <w:sz w:val="18"/>
              </w:rPr>
              <w:t>01</w:t>
            </w:r>
          </w:p>
        </w:tc>
        <w:tc>
          <w:tcPr>
            <w:tcW w:type="dxa" w:w="5625"/>
          </w:tcPr>
          <w:p>
            <w:pPr>
              <w:spacing w:after="0"/>
              <w:jc w:val="left"/>
            </w:pPr>
            <w:r/>
            <w:r>
              <w:rPr>
                <w:rFonts w:ascii="Times New Roman" w:hAnsi="Times New Roman"/>
                <w:sz w:val="18"/>
              </w:rPr>
              <w:t>Монтаж и сварка днища резервуара (рулонная сборка полотнищ)</w:t>
            </w:r>
          </w:p>
        </w:tc>
        <w:tc>
          <w:tcPr>
            <w:tcW w:type="dxa" w:w="2095"/>
          </w:tcPr>
          <w:p>
            <w:pPr>
              <w:spacing w:after="0"/>
              <w:jc w:val="left"/>
            </w:pPr>
            <w:r/>
            <w:r>
              <w:rPr>
                <w:rFonts w:ascii="Times New Roman" w:hAnsi="Times New Roman"/>
                <w:sz w:val="18"/>
              </w:rPr>
            </w:r>
          </w:p>
        </w:tc>
        <w:tc>
          <w:tcPr>
            <w:tcW w:type="dxa" w:w="2095"/>
          </w:tcPr>
          <w:p>
            <w:pPr>
              <w:spacing w:after="0"/>
              <w:jc w:val="left"/>
            </w:pPr>
            <w:r/>
            <w:r>
              <w:rPr>
                <w:rFonts w:ascii="Times New Roman" w:hAnsi="Times New Roman"/>
                <w:sz w:val="18"/>
              </w:rPr>
            </w:r>
          </w:p>
        </w:tc>
      </w:tr>
      <w:tr>
        <w:tc>
          <w:tcPr>
            <w:tcW w:type="dxa" w:w="958"/>
          </w:tcPr>
          <w:p>
            <w:pPr>
              <w:spacing w:after="0"/>
              <w:jc w:val="center"/>
            </w:pPr>
            <w:r/>
            <w:r>
              <w:rPr>
                <w:rFonts w:ascii="Times New Roman" w:hAnsi="Times New Roman"/>
                <w:sz w:val="18"/>
              </w:rPr>
              <w:t>02</w:t>
            </w:r>
          </w:p>
        </w:tc>
        <w:tc>
          <w:tcPr>
            <w:tcW w:type="dxa" w:w="5625"/>
          </w:tcPr>
          <w:p>
            <w:pPr>
              <w:spacing w:after="0"/>
              <w:jc w:val="left"/>
            </w:pPr>
            <w:r/>
            <w:r>
              <w:rPr>
                <w:rFonts w:ascii="Times New Roman" w:hAnsi="Times New Roman"/>
                <w:sz w:val="18"/>
              </w:rPr>
              <w:t>Монтаж (разворот рулона) стенки резервуара, сборка и сварка вертикальных монтажных стыков</w:t>
            </w:r>
          </w:p>
        </w:tc>
        <w:tc>
          <w:tcPr>
            <w:tcW w:type="dxa" w:w="2095"/>
          </w:tcPr>
          <w:p>
            <w:pPr>
              <w:spacing w:after="0"/>
              <w:jc w:val="left"/>
            </w:pPr>
            <w:r/>
            <w:r>
              <w:rPr>
                <w:rFonts w:ascii="Times New Roman" w:hAnsi="Times New Roman"/>
                <w:sz w:val="18"/>
              </w:rPr>
            </w:r>
          </w:p>
        </w:tc>
        <w:tc>
          <w:tcPr>
            <w:tcW w:type="dxa" w:w="2095"/>
          </w:tcPr>
          <w:p>
            <w:pPr>
              <w:spacing w:after="0"/>
              <w:jc w:val="left"/>
            </w:pPr>
            <w:r/>
            <w:r>
              <w:rPr>
                <w:rFonts w:ascii="Times New Roman" w:hAnsi="Times New Roman"/>
                <w:sz w:val="18"/>
              </w:rPr>
            </w:r>
          </w:p>
        </w:tc>
      </w:tr>
      <w:tr>
        <w:tc>
          <w:tcPr>
            <w:tcW w:type="dxa" w:w="958"/>
          </w:tcPr>
          <w:p>
            <w:pPr>
              <w:spacing w:after="0"/>
              <w:jc w:val="center"/>
            </w:pPr>
            <w:r/>
            <w:r>
              <w:rPr>
                <w:rFonts w:ascii="Times New Roman" w:hAnsi="Times New Roman"/>
                <w:sz w:val="18"/>
              </w:rPr>
              <w:t>03</w:t>
            </w:r>
          </w:p>
        </w:tc>
        <w:tc>
          <w:tcPr>
            <w:tcW w:type="dxa" w:w="5625"/>
          </w:tcPr>
          <w:p>
            <w:pPr>
              <w:spacing w:after="0"/>
              <w:jc w:val="left"/>
            </w:pPr>
            <w:r/>
            <w:r>
              <w:rPr>
                <w:rFonts w:ascii="Times New Roman" w:hAnsi="Times New Roman"/>
                <w:sz w:val="18"/>
              </w:rPr>
              <w:t>Сварка горизонтальных (поясных) швов стенки резервуара</w:t>
            </w:r>
          </w:p>
        </w:tc>
        <w:tc>
          <w:tcPr>
            <w:tcW w:type="dxa" w:w="2095"/>
          </w:tcPr>
          <w:p>
            <w:pPr>
              <w:spacing w:after="0"/>
              <w:jc w:val="left"/>
            </w:pPr>
            <w:r/>
            <w:r>
              <w:rPr>
                <w:rFonts w:ascii="Times New Roman" w:hAnsi="Times New Roman"/>
                <w:sz w:val="18"/>
              </w:rPr>
            </w:r>
          </w:p>
        </w:tc>
        <w:tc>
          <w:tcPr>
            <w:tcW w:type="dxa" w:w="2095"/>
          </w:tcPr>
          <w:p>
            <w:pPr>
              <w:spacing w:after="0"/>
              <w:jc w:val="left"/>
            </w:pPr>
            <w:r/>
            <w:r>
              <w:rPr>
                <w:rFonts w:ascii="Times New Roman" w:hAnsi="Times New Roman"/>
                <w:sz w:val="18"/>
              </w:rPr>
            </w:r>
          </w:p>
        </w:tc>
      </w:tr>
      <w:tr>
        <w:tc>
          <w:tcPr>
            <w:tcW w:type="dxa" w:w="958"/>
          </w:tcPr>
          <w:p>
            <w:pPr>
              <w:spacing w:after="0"/>
              <w:jc w:val="center"/>
            </w:pPr>
            <w:r/>
            <w:r>
              <w:rPr>
                <w:rFonts w:ascii="Times New Roman" w:hAnsi="Times New Roman"/>
                <w:sz w:val="18"/>
              </w:rPr>
              <w:t>04</w:t>
            </w:r>
          </w:p>
        </w:tc>
        <w:tc>
          <w:tcPr>
            <w:tcW w:type="dxa" w:w="5625"/>
          </w:tcPr>
          <w:p>
            <w:pPr>
              <w:spacing w:after="0"/>
              <w:jc w:val="left"/>
            </w:pPr>
            <w:r/>
            <w:r>
              <w:rPr>
                <w:rFonts w:ascii="Times New Roman" w:hAnsi="Times New Roman"/>
                <w:sz w:val="18"/>
              </w:rPr>
              <w:t>Сварка уторного шва (соединение стенки с днищем)</w:t>
            </w:r>
          </w:p>
        </w:tc>
        <w:tc>
          <w:tcPr>
            <w:tcW w:type="dxa" w:w="2095"/>
          </w:tcPr>
          <w:p>
            <w:pPr>
              <w:spacing w:after="0"/>
              <w:jc w:val="left"/>
            </w:pPr>
            <w:r/>
            <w:r>
              <w:rPr>
                <w:rFonts w:ascii="Times New Roman" w:hAnsi="Times New Roman"/>
                <w:sz w:val="18"/>
              </w:rPr>
            </w:r>
          </w:p>
        </w:tc>
        <w:tc>
          <w:tcPr>
            <w:tcW w:type="dxa" w:w="2095"/>
          </w:tcPr>
          <w:p>
            <w:pPr>
              <w:spacing w:after="0"/>
              <w:jc w:val="left"/>
            </w:pPr>
            <w:r/>
            <w:r>
              <w:rPr>
                <w:rFonts w:ascii="Times New Roman" w:hAnsi="Times New Roman"/>
                <w:sz w:val="18"/>
              </w:rPr>
            </w:r>
          </w:p>
        </w:tc>
      </w:tr>
      <w:tr>
        <w:tc>
          <w:tcPr>
            <w:tcW w:type="dxa" w:w="958"/>
          </w:tcPr>
          <w:p>
            <w:pPr>
              <w:spacing w:after="0"/>
              <w:jc w:val="center"/>
            </w:pPr>
            <w:r/>
            <w:r>
              <w:rPr>
                <w:rFonts w:ascii="Times New Roman" w:hAnsi="Times New Roman"/>
                <w:sz w:val="18"/>
              </w:rPr>
              <w:t>05</w:t>
            </w:r>
          </w:p>
        </w:tc>
        <w:tc>
          <w:tcPr>
            <w:tcW w:type="dxa" w:w="5625"/>
          </w:tcPr>
          <w:p>
            <w:pPr>
              <w:spacing w:after="0"/>
              <w:jc w:val="left"/>
            </w:pPr>
            <w:r/>
            <w:r>
              <w:rPr>
                <w:rFonts w:ascii="Times New Roman" w:hAnsi="Times New Roman"/>
                <w:sz w:val="18"/>
              </w:rPr>
              <w:t>Монтаж и сварка стационарной конической крыши резервуара с элементом жёсткости (уторным уголком)</w:t>
            </w:r>
          </w:p>
        </w:tc>
        <w:tc>
          <w:tcPr>
            <w:tcW w:type="dxa" w:w="2095"/>
          </w:tcPr>
          <w:p>
            <w:pPr>
              <w:spacing w:after="0"/>
              <w:jc w:val="left"/>
            </w:pPr>
            <w:r/>
            <w:r>
              <w:rPr>
                <w:rFonts w:ascii="Times New Roman" w:hAnsi="Times New Roman"/>
                <w:sz w:val="18"/>
              </w:rPr>
            </w:r>
          </w:p>
        </w:tc>
        <w:tc>
          <w:tcPr>
            <w:tcW w:type="dxa" w:w="2095"/>
          </w:tcPr>
          <w:p>
            <w:pPr>
              <w:spacing w:after="0"/>
              <w:jc w:val="left"/>
            </w:pPr>
            <w:r/>
            <w:r>
              <w:rPr>
                <w:rFonts w:ascii="Times New Roman" w:hAnsi="Times New Roman"/>
                <w:sz w:val="18"/>
              </w:rPr>
            </w:r>
          </w:p>
        </w:tc>
      </w:tr>
      <w:tr>
        <w:tc>
          <w:tcPr>
            <w:tcW w:type="dxa" w:w="958"/>
          </w:tcPr>
          <w:p>
            <w:pPr>
              <w:spacing w:after="0"/>
              <w:jc w:val="center"/>
            </w:pPr>
            <w:r/>
            <w:r>
              <w:rPr>
                <w:rFonts w:ascii="Times New Roman" w:hAnsi="Times New Roman"/>
                <w:sz w:val="18"/>
              </w:rPr>
              <w:t>06</w:t>
            </w:r>
          </w:p>
        </w:tc>
        <w:tc>
          <w:tcPr>
            <w:tcW w:type="dxa" w:w="5625"/>
          </w:tcPr>
          <w:p>
            <w:pPr>
              <w:spacing w:after="0"/>
              <w:jc w:val="left"/>
            </w:pPr>
            <w:r/>
            <w:r>
              <w:rPr>
                <w:rFonts w:ascii="Times New Roman" w:hAnsi="Times New Roman"/>
                <w:sz w:val="18"/>
              </w:rPr>
              <w:t>Монтаж и сварка люков и патрубков в стенке резервуара с усиливающими листами (воротниками)</w:t>
            </w:r>
          </w:p>
        </w:tc>
        <w:tc>
          <w:tcPr>
            <w:tcW w:type="dxa" w:w="2095"/>
          </w:tcPr>
          <w:p>
            <w:pPr>
              <w:spacing w:after="0"/>
              <w:jc w:val="left"/>
            </w:pPr>
            <w:r/>
            <w:r>
              <w:rPr>
                <w:rFonts w:ascii="Times New Roman" w:hAnsi="Times New Roman"/>
                <w:sz w:val="18"/>
              </w:rPr>
            </w:r>
          </w:p>
        </w:tc>
        <w:tc>
          <w:tcPr>
            <w:tcW w:type="dxa" w:w="2095"/>
          </w:tcPr>
          <w:p>
            <w:pPr>
              <w:spacing w:after="0"/>
              <w:jc w:val="left"/>
            </w:pPr>
            <w:r/>
            <w:r>
              <w:rPr>
                <w:rFonts w:ascii="Times New Roman" w:hAnsi="Times New Roman"/>
                <w:sz w:val="18"/>
              </w:rPr>
            </w:r>
          </w:p>
        </w:tc>
      </w:tr>
      <w:tr>
        <w:tc>
          <w:tcPr>
            <w:tcW w:type="dxa" w:w="958"/>
          </w:tcPr>
          <w:p>
            <w:pPr>
              <w:spacing w:after="0"/>
              <w:jc w:val="center"/>
            </w:pPr>
            <w:r/>
            <w:r>
              <w:rPr>
                <w:rFonts w:ascii="Times New Roman" w:hAnsi="Times New Roman"/>
                <w:sz w:val="18"/>
              </w:rPr>
              <w:t>07</w:t>
            </w:r>
          </w:p>
        </w:tc>
        <w:tc>
          <w:tcPr>
            <w:tcW w:type="dxa" w:w="5625"/>
          </w:tcPr>
          <w:p>
            <w:pPr>
              <w:spacing w:after="0"/>
              <w:jc w:val="left"/>
            </w:pPr>
            <w:r/>
            <w:r>
              <w:rPr>
                <w:rFonts w:ascii="Times New Roman" w:hAnsi="Times New Roman"/>
                <w:sz w:val="18"/>
              </w:rPr>
              <w:t>Монтаж и сварка люков и патрубков в стационарной крыше резервуара</w:t>
            </w:r>
          </w:p>
        </w:tc>
        <w:tc>
          <w:tcPr>
            <w:tcW w:type="dxa" w:w="2095"/>
          </w:tcPr>
          <w:p>
            <w:pPr>
              <w:spacing w:after="0"/>
              <w:jc w:val="left"/>
            </w:pPr>
            <w:r/>
            <w:r>
              <w:rPr>
                <w:rFonts w:ascii="Times New Roman" w:hAnsi="Times New Roman"/>
                <w:sz w:val="18"/>
              </w:rPr>
            </w:r>
          </w:p>
        </w:tc>
        <w:tc>
          <w:tcPr>
            <w:tcW w:type="dxa" w:w="2095"/>
          </w:tcPr>
          <w:p>
            <w:pPr>
              <w:spacing w:after="0"/>
              <w:jc w:val="left"/>
            </w:pPr>
            <w:r/>
            <w:r>
              <w:rPr>
                <w:rFonts w:ascii="Times New Roman" w:hAnsi="Times New Roman"/>
                <w:sz w:val="18"/>
              </w:rPr>
            </w:r>
          </w:p>
        </w:tc>
      </w:tr>
      <w:tr>
        <w:tc>
          <w:tcPr>
            <w:tcW w:type="dxa" w:w="958"/>
          </w:tcPr>
          <w:p>
            <w:pPr>
              <w:spacing w:after="0"/>
              <w:jc w:val="center"/>
            </w:pPr>
            <w:r/>
            <w:r>
              <w:rPr>
                <w:rFonts w:ascii="Times New Roman" w:hAnsi="Times New Roman"/>
                <w:sz w:val="18"/>
              </w:rPr>
              <w:t>08</w:t>
            </w:r>
          </w:p>
        </w:tc>
        <w:tc>
          <w:tcPr>
            <w:tcW w:type="dxa" w:w="5625"/>
          </w:tcPr>
          <w:p>
            <w:pPr>
              <w:spacing w:after="0"/>
              <w:jc w:val="left"/>
            </w:pPr>
            <w:r/>
            <w:r>
              <w:rPr>
                <w:rFonts w:ascii="Times New Roman" w:hAnsi="Times New Roman"/>
                <w:sz w:val="18"/>
              </w:rPr>
              <w:t>Монтаж кольцевой лестницы, площадок обслуживания и ограждений на крыше</w:t>
            </w:r>
          </w:p>
        </w:tc>
        <w:tc>
          <w:tcPr>
            <w:tcW w:type="dxa" w:w="2095"/>
          </w:tcPr>
          <w:p>
            <w:pPr>
              <w:spacing w:after="0"/>
              <w:jc w:val="left"/>
            </w:pPr>
            <w:r/>
            <w:r>
              <w:rPr>
                <w:rFonts w:ascii="Times New Roman" w:hAnsi="Times New Roman"/>
                <w:sz w:val="18"/>
              </w:rPr>
            </w:r>
          </w:p>
        </w:tc>
        <w:tc>
          <w:tcPr>
            <w:tcW w:type="dxa" w:w="2095"/>
          </w:tcPr>
          <w:p>
            <w:pPr>
              <w:spacing w:after="0"/>
              <w:jc w:val="left"/>
            </w:pPr>
            <w:r/>
            <w:r>
              <w:rPr>
                <w:rFonts w:ascii="Times New Roman" w:hAnsi="Times New Roman"/>
                <w:sz w:val="18"/>
              </w:rPr>
            </w:r>
          </w:p>
        </w:tc>
      </w:tr>
      <w:tr>
        <w:tc>
          <w:tcPr>
            <w:tcW w:type="dxa" w:w="958"/>
          </w:tcPr>
          <w:p>
            <w:pPr>
              <w:spacing w:after="0"/>
              <w:jc w:val="center"/>
            </w:pPr>
            <w:r/>
            <w:r>
              <w:rPr>
                <w:rFonts w:ascii="Times New Roman" w:hAnsi="Times New Roman"/>
                <w:sz w:val="18"/>
              </w:rPr>
              <w:t>09</w:t>
            </w:r>
          </w:p>
        </w:tc>
        <w:tc>
          <w:tcPr>
            <w:tcW w:type="dxa" w:w="5625"/>
          </w:tcPr>
          <w:p>
            <w:pPr>
              <w:spacing w:after="0"/>
              <w:jc w:val="left"/>
            </w:pPr>
            <w:r/>
            <w:r>
              <w:rPr>
                <w:rFonts w:ascii="Times New Roman" w:hAnsi="Times New Roman"/>
                <w:sz w:val="18"/>
              </w:rPr>
              <w:t>Устройство анкерного крепления резервуара (10 анкеров М24)</w:t>
            </w:r>
          </w:p>
        </w:tc>
        <w:tc>
          <w:tcPr>
            <w:tcW w:type="dxa" w:w="2095"/>
          </w:tcPr>
          <w:p>
            <w:pPr>
              <w:spacing w:after="0"/>
              <w:jc w:val="left"/>
            </w:pPr>
            <w:r/>
            <w:r>
              <w:rPr>
                <w:rFonts w:ascii="Times New Roman" w:hAnsi="Times New Roman"/>
                <w:sz w:val="18"/>
              </w:rPr>
            </w:r>
          </w:p>
        </w:tc>
        <w:tc>
          <w:tcPr>
            <w:tcW w:type="dxa" w:w="2095"/>
          </w:tcPr>
          <w:p>
            <w:pPr>
              <w:spacing w:after="0"/>
              <w:jc w:val="left"/>
            </w:pPr>
            <w:r/>
            <w:r>
              <w:rPr>
                <w:rFonts w:ascii="Times New Roman" w:hAnsi="Times New Roman"/>
                <w:sz w:val="18"/>
              </w:rPr>
            </w:r>
          </w:p>
        </w:tc>
      </w:tr>
      <w:tr>
        <w:tc>
          <w:tcPr>
            <w:tcW w:type="dxa" w:w="958"/>
          </w:tcPr>
          <w:p>
            <w:pPr>
              <w:spacing w:after="0"/>
              <w:jc w:val="center"/>
            </w:pPr>
            <w:r/>
            <w:r>
              <w:rPr>
                <w:rFonts w:ascii="Times New Roman" w:hAnsi="Times New Roman"/>
                <w:sz w:val="18"/>
              </w:rPr>
              <w:t>10</w:t>
            </w:r>
          </w:p>
        </w:tc>
        <w:tc>
          <w:tcPr>
            <w:tcW w:type="dxa" w:w="5625"/>
          </w:tcPr>
          <w:p>
            <w:pPr>
              <w:spacing w:after="0"/>
              <w:jc w:val="left"/>
            </w:pPr>
            <w:r/>
            <w:r>
              <w:rPr>
                <w:rFonts w:ascii="Times New Roman" w:hAnsi="Times New Roman"/>
                <w:sz w:val="18"/>
              </w:rPr>
              <w:t>Монтаж и присоединение заземляющих проводников резервуара (4 шт.)</w:t>
            </w:r>
          </w:p>
        </w:tc>
        <w:tc>
          <w:tcPr>
            <w:tcW w:type="dxa" w:w="2095"/>
          </w:tcPr>
          <w:p>
            <w:pPr>
              <w:spacing w:after="0"/>
              <w:jc w:val="left"/>
            </w:pPr>
            <w:r/>
            <w:r>
              <w:rPr>
                <w:rFonts w:ascii="Times New Roman" w:hAnsi="Times New Roman"/>
                <w:sz w:val="18"/>
              </w:rPr>
            </w:r>
          </w:p>
        </w:tc>
        <w:tc>
          <w:tcPr>
            <w:tcW w:type="dxa" w:w="2095"/>
          </w:tcPr>
          <w:p>
            <w:pPr>
              <w:spacing w:after="0"/>
              <w:jc w:val="left"/>
            </w:pPr>
            <w:r/>
            <w:r>
              <w:rPr>
                <w:rFonts w:ascii="Times New Roman" w:hAnsi="Times New Roman"/>
                <w:sz w:val="18"/>
              </w:rPr>
            </w:r>
          </w:p>
        </w:tc>
      </w:tr>
      <w:tr>
        <w:tc>
          <w:tcPr>
            <w:tcW w:type="dxa" w:w="958"/>
          </w:tcPr>
          <w:p>
            <w:pPr>
              <w:spacing w:after="0"/>
              <w:jc w:val="center"/>
            </w:pPr>
            <w:r/>
            <w:r>
              <w:rPr>
                <w:rFonts w:ascii="Times New Roman" w:hAnsi="Times New Roman"/>
                <w:sz w:val="18"/>
              </w:rPr>
              <w:t>11</w:t>
            </w:r>
          </w:p>
        </w:tc>
        <w:tc>
          <w:tcPr>
            <w:tcW w:type="dxa" w:w="5625"/>
          </w:tcPr>
          <w:p>
            <w:pPr>
              <w:spacing w:after="0"/>
              <w:jc w:val="left"/>
            </w:pPr>
            <w:r/>
            <w:r>
              <w:rPr>
                <w:rFonts w:ascii="Times New Roman" w:hAnsi="Times New Roman"/>
                <w:sz w:val="18"/>
              </w:rPr>
              <w:t>Абразивоструйная обработка, обеспыливание и обезжиривание наружных поверхностей резервуара</w:t>
            </w:r>
          </w:p>
        </w:tc>
        <w:tc>
          <w:tcPr>
            <w:tcW w:type="dxa" w:w="2095"/>
          </w:tcPr>
          <w:p>
            <w:pPr>
              <w:spacing w:after="0"/>
              <w:jc w:val="left"/>
            </w:pPr>
            <w:r/>
            <w:r>
              <w:rPr>
                <w:rFonts w:ascii="Times New Roman" w:hAnsi="Times New Roman"/>
                <w:sz w:val="18"/>
              </w:rPr>
            </w:r>
          </w:p>
        </w:tc>
        <w:tc>
          <w:tcPr>
            <w:tcW w:type="dxa" w:w="2095"/>
          </w:tcPr>
          <w:p>
            <w:pPr>
              <w:spacing w:after="0"/>
              <w:jc w:val="left"/>
            </w:pPr>
            <w:r/>
            <w:r>
              <w:rPr>
                <w:rFonts w:ascii="Times New Roman" w:hAnsi="Times New Roman"/>
                <w:sz w:val="18"/>
              </w:rPr>
            </w:r>
          </w:p>
        </w:tc>
      </w:tr>
      <w:tr>
        <w:tc>
          <w:tcPr>
            <w:tcW w:type="dxa" w:w="958"/>
          </w:tcPr>
          <w:p>
            <w:pPr>
              <w:spacing w:after="0"/>
              <w:jc w:val="center"/>
            </w:pPr>
            <w:r/>
            <w:r>
              <w:rPr>
                <w:rFonts w:ascii="Times New Roman" w:hAnsi="Times New Roman"/>
                <w:sz w:val="18"/>
              </w:rPr>
              <w:t>12</w:t>
            </w:r>
          </w:p>
        </w:tc>
        <w:tc>
          <w:tcPr>
            <w:tcW w:type="dxa" w:w="5625"/>
          </w:tcPr>
          <w:p>
            <w:pPr>
              <w:spacing w:after="0"/>
              <w:jc w:val="left"/>
            </w:pPr>
            <w:r/>
            <w:r>
              <w:rPr>
                <w:rFonts w:ascii="Times New Roman" w:hAnsi="Times New Roman"/>
                <w:sz w:val="18"/>
              </w:rPr>
              <w:t>Нанесение антикоррозионного лакокрасочного покрытия наружных поверхностей резервуара</w:t>
            </w:r>
          </w:p>
        </w:tc>
        <w:tc>
          <w:tcPr>
            <w:tcW w:type="dxa" w:w="2095"/>
          </w:tcPr>
          <w:p>
            <w:pPr>
              <w:spacing w:after="0"/>
              <w:jc w:val="left"/>
            </w:pPr>
            <w:r/>
            <w:r>
              <w:rPr>
                <w:rFonts w:ascii="Times New Roman" w:hAnsi="Times New Roman"/>
                <w:sz w:val="18"/>
              </w:rPr>
            </w:r>
          </w:p>
        </w:tc>
        <w:tc>
          <w:tcPr>
            <w:tcW w:type="dxa" w:w="2095"/>
          </w:tcPr>
          <w:p>
            <w:pPr>
              <w:spacing w:after="0"/>
              <w:jc w:val="left"/>
            </w:pPr>
            <w:r/>
            <w:r>
              <w:rPr>
                <w:rFonts w:ascii="Times New Roman" w:hAnsi="Times New Roman"/>
                <w:sz w:val="18"/>
              </w:rPr>
            </w:r>
          </w:p>
        </w:tc>
      </w:tr>
    </w:tbl>
    <w:p>
      <w:pPr>
        <w:spacing w:before="0" w:after="160"/>
        <w:jc w:val="both"/>
      </w:pPr>
    </w:p>
    <w:p>
      <w:pPr>
        <w:spacing w:before="0" w:after="80"/>
        <w:jc w:val="both"/>
      </w:pPr>
      <w:r>
        <w:rPr>
          <w:rFonts w:ascii="Times New Roman" w:hAnsi="Times New Roman" w:eastAsia="Times New Roman"/>
          <w:b/>
          <w:i w:val="0"/>
          <w:caps w:val="0"/>
          <w:sz w:val="22"/>
          <w:u w:val="none"/>
        </w:rPr>
        <w:t>Сопутствующие документы, прикладываемые к актам:</w:t>
      </w:r>
    </w:p>
    <w:p>
      <w:pPr>
        <w:spacing w:before="0" w:after="40"/>
        <w:ind w:firstLine="283"/>
        <w:jc w:val="both"/>
      </w:pPr>
      <w:r>
        <w:rPr>
          <w:rFonts w:ascii="Times New Roman" w:hAnsi="Times New Roman" w:eastAsia="Times New Roman"/>
          <w:b w:val="0"/>
          <w:i w:val="0"/>
          <w:caps w:val="0"/>
          <w:sz w:val="20"/>
          <w:u w:val="none"/>
        </w:rPr>
        <w:t>— заводской технический паспорт на металлоконструкции резервуара и сертификаты на металл (по реестру документов о качестве);</w:t>
      </w:r>
    </w:p>
    <w:p>
      <w:pPr>
        <w:spacing w:before="0" w:after="40"/>
        <w:ind w:firstLine="283"/>
        <w:jc w:val="both"/>
      </w:pPr>
      <w:r>
        <w:rPr>
          <w:rFonts w:ascii="Times New Roman" w:hAnsi="Times New Roman" w:eastAsia="Times New Roman"/>
          <w:b w:val="0"/>
          <w:i w:val="0"/>
          <w:caps w:val="0"/>
          <w:sz w:val="20"/>
          <w:u w:val="none"/>
        </w:rPr>
        <w:t>— сертификаты и паспорта качества на сварочные материалы, свидетельства НАКС на сварочные материалы, оборудование и технологию сварки;</w:t>
      </w:r>
    </w:p>
    <w:p>
      <w:pPr>
        <w:spacing w:before="0" w:after="40"/>
        <w:ind w:firstLine="283"/>
        <w:jc w:val="both"/>
      </w:pPr>
      <w:r>
        <w:rPr>
          <w:rFonts w:ascii="Times New Roman" w:hAnsi="Times New Roman" w:eastAsia="Times New Roman"/>
          <w:b w:val="0"/>
          <w:i w:val="0"/>
          <w:caps w:val="0"/>
          <w:sz w:val="20"/>
          <w:u w:val="none"/>
        </w:rPr>
        <w:t>— аттестационные удостоверения сварщиков (НАКС) и удостоверения дефектоскопистов, свидетельство об аттестации лаборатории НК;</w:t>
      </w:r>
    </w:p>
    <w:p>
      <w:pPr>
        <w:spacing w:before="0" w:after="40"/>
        <w:ind w:firstLine="283"/>
        <w:jc w:val="both"/>
      </w:pPr>
      <w:r>
        <w:rPr>
          <w:rFonts w:ascii="Times New Roman" w:hAnsi="Times New Roman" w:eastAsia="Times New Roman"/>
          <w:b w:val="0"/>
          <w:i w:val="0"/>
          <w:caps w:val="0"/>
          <w:sz w:val="20"/>
          <w:u w:val="none"/>
        </w:rPr>
        <w:t>— схемы расположения сварных соединений с клеймами сварщиков;</w:t>
      </w:r>
    </w:p>
    <w:p>
      <w:pPr>
        <w:spacing w:before="0" w:after="40"/>
        <w:ind w:firstLine="283"/>
        <w:jc w:val="both"/>
      </w:pPr>
      <w:r>
        <w:rPr>
          <w:rFonts w:ascii="Times New Roman" w:hAnsi="Times New Roman" w:eastAsia="Times New Roman"/>
          <w:b w:val="0"/>
          <w:i w:val="0"/>
          <w:caps w:val="0"/>
          <w:sz w:val="20"/>
          <w:u w:val="none"/>
        </w:rPr>
        <w:t>— заключения визуально-измерительного и радиографического контроля, акты контроля герметичности вакуумированием, пробой «мел-керосин» и избыточным давлением;</w:t>
      </w:r>
    </w:p>
    <w:p>
      <w:pPr>
        <w:spacing w:before="0" w:after="40"/>
        <w:ind w:firstLine="283"/>
        <w:jc w:val="both"/>
      </w:pPr>
      <w:r>
        <w:rPr>
          <w:rFonts w:ascii="Times New Roman" w:hAnsi="Times New Roman" w:eastAsia="Times New Roman"/>
          <w:b w:val="0"/>
          <w:i w:val="0"/>
          <w:caps w:val="0"/>
          <w:sz w:val="20"/>
          <w:u w:val="none"/>
        </w:rPr>
        <w:t>— исполнительные геодезические схемы;</w:t>
      </w:r>
    </w:p>
    <w:p>
      <w:pPr>
        <w:spacing w:before="0" w:after="40"/>
        <w:ind w:firstLine="283"/>
        <w:jc w:val="both"/>
      </w:pPr>
      <w:r>
        <w:rPr>
          <w:rFonts w:ascii="Times New Roman" w:hAnsi="Times New Roman" w:eastAsia="Times New Roman"/>
          <w:b w:val="0"/>
          <w:i w:val="0"/>
          <w:caps w:val="0"/>
          <w:sz w:val="20"/>
          <w:u w:val="none"/>
        </w:rPr>
        <w:t>— сертификат соответствия и паспорт качества на грунт-эмаль 3 в 1, паспорта на абразивный материал и растворитель, протоколы контроля толщины и сплошности покрытия;</w:t>
      </w:r>
    </w:p>
    <w:p>
      <w:pPr>
        <w:spacing w:before="0" w:after="40"/>
        <w:ind w:firstLine="283"/>
        <w:jc w:val="both"/>
      </w:pPr>
      <w:r>
        <w:rPr>
          <w:rFonts w:ascii="Times New Roman" w:hAnsi="Times New Roman" w:eastAsia="Times New Roman"/>
          <w:b w:val="0"/>
          <w:i w:val="0"/>
          <w:caps w:val="0"/>
          <w:sz w:val="20"/>
          <w:u w:val="none"/>
        </w:rPr>
        <w:t>— журнал сварочных работ, журнал входного контроля, журнал антикоррозионных работ.</w:t>
      </w:r>
    </w:p>
    <w:p>
      <w:pPr>
        <w:spacing w:before="0" w:after="200"/>
        <w:jc w:val="both"/>
      </w:pPr>
    </w:p>
    <w:p>
      <w:pPr>
        <w:spacing w:before="0" w:after="200"/>
        <w:ind w:firstLine="283"/>
        <w:jc w:val="both"/>
      </w:pPr>
      <w:r>
        <w:rPr>
          <w:rFonts w:ascii="Times New Roman" w:hAnsi="Times New Roman" w:eastAsia="Times New Roman"/>
          <w:b w:val="0"/>
          <w:i/>
          <w:caps w:val="0"/>
          <w:sz w:val="19"/>
          <w:u w:val="none"/>
        </w:rPr>
        <w:t>Примечание. Работы каждого этапа завершаются оформлением актов. Выполнение работ последующего этапа без сдачи работ предыдущего этапа запрещено (ППР, лист 14). Выполнение каждой последующей операции технологического процесса разрешается только при документальном подтверждении качества предыдущей (ППР, лист 20).</w:t>
      </w:r>
    </w:p>
    <w:p>
      <w:pPr>
        <w:spacing w:before="0" w:after="40"/>
        <w:jc w:val="left"/>
      </w:pPr>
      <w:r>
        <w:rPr>
          <w:rFonts w:ascii="Times New Roman" w:hAnsi="Times New Roman" w:eastAsia="Times New Roman"/>
          <w:b w:val="0"/>
          <w:i w:val="0"/>
          <w:caps w:val="0"/>
          <w:sz w:val="20"/>
          <w:u w:val="none"/>
        </w:rPr>
        <w:t>Составил (ответственный за производство работ):</w:t>
      </w:r>
    </w:p>
    <w:tbl>
      <w:tblPr>
        <w:tblW w:type="auto" w:w="0"/>
        <w:tblLayout w:type="fixed"/>
        <w:tblLook w:firstColumn="1" w:firstRow="1" w:lastColumn="0" w:lastRow="0" w:noHBand="0" w:noVBand="1" w:val="04A0"/>
      </w:tblPr>
      <w:tblGrid>
        <w:gridCol w:w="3591"/>
        <w:gridCol w:w="3591"/>
        <w:gridCol w:w="3591"/>
      </w:tblGrid>
      <w:tr>
        <w:tc>
          <w:tcPr>
            <w:tcW w:type="dxa" w:w="3402"/>
          </w:tcPr>
          <w:p>
            <w:pPr>
              <w:spacing w:after="0"/>
              <w:jc w:val="center"/>
              <w:pBdr>
                <w:bottom w:val="single" w:sz="6" w:space="1" w:color="000000"/>
              </w:pBdr>
            </w:pPr>
            <w:r/>
            <w:r>
              <w:t xml:space="preserve"> </w:t>
            </w:r>
          </w:p>
          <w:p>
            <w:pPr>
              <w:spacing w:after="0"/>
              <w:jc w:val="center"/>
            </w:pPr>
            <w:r>
              <w:rPr>
                <w:rFonts w:ascii="Times New Roman" w:hAnsi="Times New Roman"/>
                <w:i/>
                <w:sz w:val="14"/>
              </w:rPr>
              <w:t>(должность)</w:t>
            </w:r>
          </w:p>
        </w:tc>
        <w:tc>
          <w:tcPr>
            <w:tcW w:type="dxa" w:w="2551"/>
          </w:tcPr>
          <w:p>
            <w:pPr>
              <w:spacing w:after="0"/>
              <w:jc w:val="center"/>
              <w:pBdr>
                <w:bottom w:val="single" w:sz="6" w:space="1" w:color="000000"/>
              </w:pBdr>
            </w:pPr>
            <w:r/>
            <w:r>
              <w:t xml:space="preserve"> </w:t>
            </w:r>
          </w:p>
          <w:p>
            <w:pPr>
              <w:spacing w:after="0"/>
              <w:jc w:val="center"/>
            </w:pPr>
            <w:r>
              <w:rPr>
                <w:rFonts w:ascii="Times New Roman" w:hAnsi="Times New Roman"/>
                <w:i/>
                <w:sz w:val="14"/>
              </w:rPr>
              <w:t>(подпись)</w:t>
            </w:r>
          </w:p>
        </w:tc>
        <w:tc>
          <w:tcPr>
            <w:tcW w:type="dxa" w:w="3685"/>
          </w:tcPr>
          <w:p>
            <w:pPr>
              <w:spacing w:after="0"/>
              <w:jc w:val="center"/>
              <w:pBdr>
                <w:bottom w:val="single" w:sz="6" w:space="1" w:color="000000"/>
              </w:pBdr>
            </w:pPr>
            <w:r/>
            <w:r>
              <w:t xml:space="preserve"> </w:t>
            </w:r>
          </w:p>
          <w:p>
            <w:pPr>
              <w:spacing w:after="0"/>
              <w:jc w:val="center"/>
            </w:pPr>
            <w:r>
              <w:rPr>
                <w:rFonts w:ascii="Times New Roman" w:hAnsi="Times New Roman"/>
                <w:i/>
                <w:sz w:val="14"/>
              </w:rPr>
              <w:t>(расшифровка подписи)</w:t>
            </w:r>
          </w:p>
        </w:tc>
      </w:tr>
    </w:tbl>
    <w:p>
      <w:pPr>
        <w:spacing w:before="0" w:after="120"/>
        <w:jc w:val="both"/>
      </w:pPr>
    </w:p>
    <w:p>
      <w:pPr>
        <w:spacing w:before="0" w:after="40"/>
        <w:jc w:val="left"/>
      </w:pPr>
      <w:r>
        <w:rPr>
          <w:rFonts w:ascii="Times New Roman" w:hAnsi="Times New Roman" w:eastAsia="Times New Roman"/>
          <w:b w:val="0"/>
          <w:i w:val="0"/>
          <w:caps w:val="0"/>
          <w:sz w:val="20"/>
          <w:u w:val="none"/>
        </w:rPr>
        <w:t>Согласовано (строительный контроль застройщика):</w:t>
      </w:r>
    </w:p>
    <w:tbl>
      <w:tblPr>
        <w:tblW w:type="auto" w:w="0"/>
        <w:tblLayout w:type="fixed"/>
        <w:tblLook w:firstColumn="1" w:firstRow="1" w:lastColumn="0" w:lastRow="0" w:noHBand="0" w:noVBand="1" w:val="04A0"/>
      </w:tblPr>
      <w:tblGrid>
        <w:gridCol w:w="3591"/>
        <w:gridCol w:w="3591"/>
        <w:gridCol w:w="3591"/>
      </w:tblGrid>
      <w:tr>
        <w:tc>
          <w:tcPr>
            <w:tcW w:type="dxa" w:w="3402"/>
          </w:tcPr>
          <w:p>
            <w:pPr>
              <w:spacing w:after="0"/>
              <w:jc w:val="center"/>
              <w:pBdr>
                <w:bottom w:val="single" w:sz="6" w:space="1" w:color="000000"/>
              </w:pBdr>
            </w:pPr>
            <w:r/>
            <w:r>
              <w:t xml:space="preserve"> </w:t>
            </w:r>
          </w:p>
          <w:p>
            <w:pPr>
              <w:spacing w:after="0"/>
              <w:jc w:val="center"/>
            </w:pPr>
            <w:r>
              <w:rPr>
                <w:rFonts w:ascii="Times New Roman" w:hAnsi="Times New Roman"/>
                <w:i/>
                <w:sz w:val="14"/>
              </w:rPr>
              <w:t>(должность)</w:t>
            </w:r>
          </w:p>
        </w:tc>
        <w:tc>
          <w:tcPr>
            <w:tcW w:type="dxa" w:w="2551"/>
          </w:tcPr>
          <w:p>
            <w:pPr>
              <w:spacing w:after="0"/>
              <w:jc w:val="center"/>
              <w:pBdr>
                <w:bottom w:val="single" w:sz="6" w:space="1" w:color="000000"/>
              </w:pBdr>
            </w:pPr>
            <w:r/>
            <w:r>
              <w:t xml:space="preserve"> </w:t>
            </w:r>
          </w:p>
          <w:p>
            <w:pPr>
              <w:spacing w:after="0"/>
              <w:jc w:val="center"/>
            </w:pPr>
            <w:r>
              <w:rPr>
                <w:rFonts w:ascii="Times New Roman" w:hAnsi="Times New Roman"/>
                <w:i/>
                <w:sz w:val="14"/>
              </w:rPr>
              <w:t>(подпись)</w:t>
            </w:r>
          </w:p>
        </w:tc>
        <w:tc>
          <w:tcPr>
            <w:tcW w:type="dxa" w:w="3685"/>
          </w:tcPr>
          <w:p>
            <w:pPr>
              <w:spacing w:after="0"/>
              <w:jc w:val="center"/>
              <w:pBdr>
                <w:bottom w:val="single" w:sz="6" w:space="1" w:color="000000"/>
              </w:pBdr>
            </w:pPr>
            <w:r/>
            <w:r>
              <w:t xml:space="preserve"> </w:t>
            </w:r>
          </w:p>
          <w:p>
            <w:pPr>
              <w:spacing w:after="0"/>
              <w:jc w:val="center"/>
            </w:pPr>
            <w:r>
              <w:rPr>
                <w:rFonts w:ascii="Times New Roman" w:hAnsi="Times New Roman"/>
                <w:i/>
                <w:sz w:val="14"/>
              </w:rPr>
              <w:t>(расшифровка подписи)</w:t>
            </w:r>
          </w:p>
        </w:tc>
      </w:tr>
    </w:tbl>
    <w:p>
      <w:pPr>
        <w:spacing w:before="0" w:after="120"/>
        <w:jc w:val="both"/>
      </w:pPr>
    </w:p>
    <w:sectPr w:rsidR="00FC693F" w:rsidRPr="0006063C" w:rsidSect="00034616">
      <w:pgSz w:w="11906" w:h="16838"/>
      <w:pgMar w:top="850" w:right="567" w:bottom="85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